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highlight w:val="yellow"/>
        </w:rPr>
        <w:t>sample pleading document for review</w:t>
      </w:r>
      <w:r>
        <w:rPr>
          <w:b/>
          <w:color w:val="CC0000"/>
          <w:sz w:val="16"/>
        </w:rPr>
        <w:t xml:space="preserve">  [title_formatting: Apply 'Title' or 'Heading 1' style.]</w:t>
      </w:r>
    </w:p>
    <w:p>
      <w:r>
        <w:rPr>
          <w:highlight w:val="yellow"/>
        </w:rPr>
        <w:t>The color of the organization was favorable to the defense. We must analyze the judgment carefully.</w:t>
      </w:r>
      <w:r>
        <w:rPr>
          <w:b/>
          <w:color w:val="CC0000"/>
          <w:sz w:val="16"/>
        </w:rPr>
        <w:t xml:space="preserve">  [british_spelling: Use 'colour' instead. | british_spelling: Use 'organisation' instead. | british_spelling: Use 'favourable' instead. | +4 more]</w:t>
      </w:r>
    </w:p>
    <w:p>
      <w:r>
        <w:rPr>
          <w:highlight w:val="yellow"/>
        </w:rPr>
        <w:t>The the court held that the decision was was correct and proper.</w:t>
      </w:r>
      <w:r>
        <w:rPr>
          <w:b/>
          <w:color w:val="CC0000"/>
          <w:sz w:val="16"/>
        </w:rPr>
        <w:t xml:space="preserve">  [repeated_words: Remove duplicate 'the'. | repeated_words: Remove duplicate 'was'.]</w:t>
      </w:r>
    </w:p>
    <w:p>
      <w:r>
        <w:t>1. The first clause of the agreement.</w:t>
      </w:r>
    </w:p>
    <w:p>
      <w:r>
        <w:t>2. The second clause concerning obligations.</w:t>
      </w:r>
    </w:p>
    <w:p>
      <w:r>
        <w:rPr>
          <w:highlight w:val="yellow"/>
        </w:rPr>
        <w:t>4. The fourth clause is out of sequence.</w:t>
      </w:r>
      <w:r>
        <w:rPr>
          <w:b/>
          <w:color w:val="CC0000"/>
          <w:sz w:val="16"/>
        </w:rPr>
        <w:t xml:space="preserve">  [sequential_numbering: Renumber to 3.]</w:t>
      </w:r>
    </w:p>
    <w:p>
      <w:pPr>
        <w:pStyle w:val="Heading2"/>
      </w:pPr>
      <w:r>
        <w:rPr>
          <w:highlight w:val="yellow"/>
        </w:rPr>
        <w:t>background and context</w:t>
      </w:r>
      <w:r>
        <w:rPr>
          <w:b/>
          <w:color w:val="CC0000"/>
          <w:sz w:val="16"/>
        </w:rPr>
        <w:t xml:space="preserve">  [heading_capitalisation: Capitalise the first word of the heading.]</w:t>
      </w:r>
    </w:p>
    <w:p>
      <w:pPr>
        <w:spacing w:after="240"/>
      </w:pPr>
      <w:r>
        <w:t>This paragraph has standard spacing.</w:t>
      </w:r>
    </w:p>
    <w:p>
      <w:pPr>
        <w:spacing w:after="120"/>
      </w:pPr>
      <w:r>
        <w:rPr>
          <w:highlight w:val="yellow"/>
        </w:rPr>
        <w:t>This paragraph has different spacing.</w:t>
      </w:r>
      <w:r>
        <w:rPr>
          <w:b/>
          <w:color w:val="CC0000"/>
          <w:sz w:val="16"/>
        </w:rPr>
        <w:t xml:space="preserve">  [paragraph_break_consistency: Standardise paragraph spacing.]</w:t>
      </w:r>
    </w:p>
    <w:p>
      <w:r>
        <w:rPr>
          <w:highlight w:val="yellow"/>
        </w:rPr>
        <w:t>“Special Purpose Vehicle” means a company established for a specific transaction.</w:t>
      </w:r>
      <w:r>
        <w:rPr>
          <w:b/>
          <w:color w:val="CC0000"/>
          <w:sz w:val="16"/>
        </w:rPr>
        <w:t xml:space="preserve">  [single_quotes_default: Use single quotes (‘...’) for outer quotations.]</w:t>
      </w:r>
    </w:p>
    <w:p>
      <w:r>
        <w:rPr>
          <w:highlight w:val="yellow"/>
        </w:rPr>
        <w:t>(1) The first sub-clause uses bracket format.</w:t>
      </w:r>
      <w:r>
        <w:rPr>
          <w:b/>
          <w:color w:val="CC0000"/>
          <w:sz w:val="16"/>
        </w:rPr>
        <w:t xml:space="preserve">  [clause_number_format: Use 'N.' format without brackets.]</w:t>
      </w:r>
    </w:p>
    <w:p>
      <w:r>
        <w:rPr>
          <w:highlight w:val="yellow"/>
        </w:rPr>
        <w:t>The agreement was signed on 03/15/2024 and amended on 12/01/2023.</w:t>
      </w:r>
      <w:r>
        <w:rPr>
          <w:b/>
          <w:color w:val="CC0000"/>
          <w:sz w:val="16"/>
        </w:rPr>
        <w:t xml:space="preserve">  [date_time_format: Use DD/MM/YYYY or written form (e.g. 1 January 2024). | date_time_format: Use DD/MM/YYYY or written form (e.g. 1 January 2024).]</w:t>
      </w:r>
    </w:p>
    <w:p>
      <w:r>
        <w:rPr>
          <w:highlight w:val="yellow"/>
        </w:rPr>
        <w:t>The parties must: (a) file the documents, (b) serve notice, (c) attend the hearing, and (d) comply with orders.</w:t>
      </w:r>
      <w:r>
        <w:rPr>
          <w:b/>
          <w:color w:val="CC0000"/>
          <w:sz w:val="16"/>
        </w:rPr>
        <w:t xml:space="preserve">  [inline_list_format: Use semicolons between inline list items.]</w:t>
      </w:r>
    </w:p>
    <w:p>
      <w:r>
        <w:rPr>
          <w:rFonts w:ascii="Times New Roman" w:hAnsi="Times New Roman"/>
          <w:highlight w:val="yellow"/>
        </w:rPr>
        <w:t xml:space="preserve">This text is in Times New Roman. </w:t>
      </w:r>
      <w:r>
        <w:rPr>
          <w:rFonts w:ascii="Arial" w:hAnsi="Arial"/>
          <w:highlight w:val="yellow"/>
        </w:rPr>
        <w:t>But this text is in Arial.</w:t>
      </w:r>
      <w:r>
        <w:rPr>
          <w:b/>
          <w:color w:val="CC0000"/>
          <w:sz w:val="16"/>
        </w:rPr>
        <w:t xml:space="preserve">  [font_consistency: Use 'Times New Roman' throughout.]</w:t>
      </w:r>
    </w:p>
    <w:p>
      <w:r>
        <w:rPr>
          <w:highlight w:val="yellow"/>
        </w:rPr>
        <w:t>The license was granted under the terms of the agreement.</w:t>
      </w:r>
      <w:r>
        <w:rPr>
          <w:b/>
          <w:color w:val="CC0000"/>
          <w:sz w:val="16"/>
        </w:rPr>
        <w:t xml:space="preserve">  [licence_license: Use 'licence' (noun) or 'license' (verb) per UK convention.]</w:t>
      </w:r>
    </w:p>
    <w:p>
      <w:r>
        <w:rPr>
          <w:highlight w:val="yellow"/>
        </w:rPr>
        <w:t>The document uses color coding for different sections.</w:t>
      </w:r>
      <w:r>
        <w:rPr>
          <w:b/>
          <w:color w:val="CC0000"/>
          <w:sz w:val="16"/>
        </w:rPr>
        <w:t xml:space="preserve">  [british_spelling: Use 'colour' instead. | colour_formatting: Use 'colour'.]</w:t>
      </w:r>
    </w:p>
    <w:p>
      <w:r>
        <w:rPr>
          <w:highlight w:val="yellow"/>
        </w:rPr>
        <w:t>The claimant and/or respondent must file his/her response.</w:t>
      </w:r>
      <w:r>
        <w:rPr>
          <w:b/>
          <w:color w:val="CC0000"/>
          <w:sz w:val="16"/>
        </w:rPr>
        <w:t xml:space="preserve">  [slash_style: Avoid slash constructions; use alternatives. | slash_style: Avoid slash constructions; use alternatives.]</w:t>
      </w:r>
    </w:p>
    <w:p>
      <w:r>
        <w:t>The following items are required:</w:t>
      </w:r>
    </w:p>
    <w:p>
      <w:r>
        <w:rPr>
          <w:highlight w:val="yellow"/>
        </w:rPr>
        <w:t>- First item without punctuation</w:t>
      </w:r>
      <w:r>
        <w:rPr>
          <w:b/>
          <w:color w:val="CC0000"/>
          <w:sz w:val="16"/>
        </w:rPr>
        <w:t xml:space="preserve">  [list_punctuation: Add semicolon or period to list item.]</w:t>
      </w:r>
    </w:p>
    <w:p>
      <w:r>
        <w:rPr>
          <w:highlight w:val="yellow"/>
        </w:rPr>
        <w:t>- Second item also missing punctuation</w:t>
      </w:r>
      <w:r>
        <w:rPr>
          <w:b/>
          <w:color w:val="CC0000"/>
          <w:sz w:val="16"/>
        </w:rPr>
        <w:t xml:space="preserve">  [list_punctuation: Add semicolon or period to list item.]</w:t>
      </w:r>
    </w:p>
    <w:p>
      <w:r>
        <w:t>- Third item has a period.</w:t>
      </w:r>
    </w:p>
    <w:p>
      <w:r>
        <w:rPr>
          <w:highlight w:val="yellow"/>
        </w:rPr>
        <w:t>The court held (in its reasoning that the claim [was valid.</w:t>
      </w:r>
      <w:r>
        <w:rPr>
          <w:b/>
          <w:color w:val="CC0000"/>
          <w:sz w:val="16"/>
        </w:rPr>
        <w:t xml:space="preserve">  [bracket_integrity: Add corresponding closing bracket. | bracket_integrity: Add corresponding closing bracket.]</w:t>
      </w:r>
    </w:p>
    <w:p>
      <w:r>
        <w:rPr>
          <w:highlight w:val="yellow"/>
        </w:rPr>
        <w:t>The witness stated “I saw the incident” and later said "I was certain".</w:t>
      </w:r>
      <w:r>
        <w:rPr>
          <w:b/>
          <w:color w:val="CC0000"/>
          <w:sz w:val="16"/>
        </w:rPr>
        <w:t xml:space="preserve">  [single_quotes_default: Use single quotes (‘...’) for outer quotations.]</w:t>
      </w:r>
    </w:p>
    <w:p>
      <w:r>
        <w:rPr>
          <w:highlight w:val="yellow"/>
        </w:rPr>
        <w:t>The damages were assessed at $50,000 by the tribunal.</w:t>
      </w:r>
      <w:r>
        <w:rPr>
          <w:b/>
          <w:color w:val="CC0000"/>
          <w:sz w:val="16"/>
        </w:rPr>
        <w:t xml:space="preserve">  [currency_number_format: Use GBP (£) or specify currency explicitly.]</w:t>
      </w:r>
    </w:p>
    <w:p>
      <w:r>
        <w:t>The court noted [1] the precedent and [3] the statute.</w:t>
      </w:r>
    </w:p>
    <w:p>
      <w:r>
        <w:rPr>
          <w:highlight w:val="yellow"/>
        </w:rPr>
        <w:t>The audit was conducted by pwc and reviewed by hmrc officials.</w:t>
      </w:r>
      <w:r>
        <w:rPr>
          <w:b/>
          <w:color w:val="CC0000"/>
          <w:sz w:val="16"/>
        </w:rPr>
        <w:t xml:space="preserve">  [brand_name_enforcement: Use 'PwC'. | brand_name_enforcement: Use 'HMRC'.]</w:t>
      </w:r>
    </w:p>
    <w:p>
      <w:r>
        <w:t>Notwithstanding the terms above, and despite earlier agreements, the parties acted in accordance with the new protocol. Pursuant to clause 5, the obligations remain.</w:t>
      </w:r>
    </w:p>
    <w:p>
      <w:r>
        <w:rPr>
          <w:highlight w:val="yellow"/>
        </w:rPr>
        <w:t>See endnote 3 for further discussion of this point.</w:t>
      </w:r>
      <w:r>
        <w:rPr>
          <w:b/>
          <w:color w:val="CC0000"/>
          <w:sz w:val="16"/>
        </w:rPr>
        <w:t xml:space="preserve">  [spell_out_under_ten: Write 'three' instead.]</w:t>
      </w:r>
    </w:p>
    <w:p>
      <w:r>
        <w:t>[fn] See Smith v Jones [2020] UKSC 1.</w:t>
      </w:r>
    </w:p>
    <w:p>
      <w:r>
        <w:rPr>
          <w:highlight w:val="yellow"/>
        </w:rPr>
        <w:t>[fn] see https://example.com</w:t>
      </w:r>
      <w:r>
        <w:rPr>
          <w:b/>
          <w:color w:val="CC0000"/>
          <w:sz w:val="16"/>
        </w:rPr>
        <w:t xml:space="preserve">  [footnote_terminal_full_stop: Add a period at the end of the footnote. | footnote_initial_capital: Capitalise the first word of the footnote.]</w:t>
      </w:r>
    </w:p>
    <w:p>
      <w:r>
        <w:rPr>
          <w:highlight w:val="yellow"/>
        </w:rPr>
        <w:t>[fn] e.g. discussion in paras. 4-6 of the pgs 12-13.</w:t>
      </w:r>
      <w:r>
        <w:rPr>
          <w:b/>
          <w:color w:val="CC0000"/>
          <w:sz w:val="16"/>
        </w:rPr>
        <w:t xml:space="preserve">  [footnote_abbreviation_dictionary: Use 'eg' without dots. | footnote_abbreviation_dictionary: Use 'paras' without dots. | footnote_abbreviation_dictionary: Use 'pp' instead.]</w:t>
      </w:r>
    </w:p>
    <w:p>
      <w:r>
        <w:rPr>
          <w:highlight w:val="yellow"/>
        </w:rPr>
        <w:t>The Solicitor General and Attorney General appeared for the Crown.</w:t>
      </w:r>
      <w:r>
        <w:rPr>
          <w:b/>
          <w:color w:val="CC0000"/>
          <w:sz w:val="16"/>
        </w:rPr>
        <w:t xml:space="preserve">  [mandated_legal_term_forms: Use 'Solicitor-General'. | mandated_legal_term_forms: Use 'Attorney-General'.]</w:t>
      </w:r>
    </w:p>
    <w:p>
      <w:r>
        <w:rPr>
          <w:highlight w:val="yellow"/>
        </w:rPr>
        <w:t>The prime minister addressed the law lords about the matter.</w:t>
      </w:r>
      <w:r>
        <w:rPr>
          <w:b/>
          <w:color w:val="CC0000"/>
          <w:sz w:val="16"/>
        </w:rPr>
        <w:t xml:space="preserve">  [always_capitalise_terms: Use 'Prime Minister'. | always_capitalise_terms: Use 'Law Lords'.]</w:t>
      </w:r>
    </w:p>
    <w:p>
      <w:r>
        <w:rPr>
          <w:highlight w:val="yellow"/>
        </w:rPr>
        <w:t xml:space="preserve">The evidence was </w:t>
      </w:r>
      <w:r>
        <w:rPr>
          <w:i/>
          <w:highlight w:val="yellow"/>
        </w:rPr>
        <w:t>prima facie</w:t>
      </w:r>
      <w:r>
        <w:rPr>
          <w:highlight w:val="yellow"/>
        </w:rPr>
        <w:t xml:space="preserve"> sufficient to establish the claim </w:t>
      </w:r>
      <w:r>
        <w:rPr>
          <w:i/>
          <w:highlight w:val="yellow"/>
        </w:rPr>
        <w:t>per se</w:t>
      </w:r>
      <w:r>
        <w:rPr>
          <w:highlight w:val="yellow"/>
        </w:rPr>
        <w:t>.</w:t>
      </w:r>
      <w:r>
        <w:rPr>
          <w:b/>
          <w:color w:val="CC0000"/>
          <w:sz w:val="16"/>
        </w:rPr>
        <w:t xml:space="preserve">  [anglicised_terms_not_italic: Set 'prima facie' in roman type. | anglicised_terms_not_italic: Set 'per se' in roman type.]</w:t>
      </w:r>
    </w:p>
    <w:p>
      <w:r>
        <w:rPr>
          <w:highlight w:val="yellow"/>
        </w:rPr>
        <w:t xml:space="preserve">The decision of the </w:t>
      </w:r>
      <w:r>
        <w:rPr>
          <w:i/>
          <w:highlight w:val="yellow"/>
        </w:rPr>
        <w:t>Cour de cassation</w:t>
      </w:r>
      <w:r>
        <w:rPr>
          <w:highlight w:val="yellow"/>
        </w:rPr>
        <w:t xml:space="preserve"> was cited with approval.</w:t>
      </w:r>
      <w:r>
        <w:rPr>
          <w:b/>
          <w:color w:val="CC0000"/>
          <w:sz w:val="16"/>
        </w:rPr>
        <w:t xml:space="preserve">  [foreign_names_not_italic: Set 'Cour de cassation' in roman type.]</w:t>
      </w:r>
    </w:p>
    <w:p>
      <w:r>
        <w:rPr>
          <w:highlight w:val="yellow"/>
        </w:rPr>
        <w:t>He argued “the principle is well established” before the court.</w:t>
      </w:r>
      <w:r>
        <w:rPr>
          <w:b/>
          <w:color w:val="CC0000"/>
          <w:sz w:val="16"/>
        </w:rPr>
        <w:t xml:space="preserve">  [single_quotes_default: Use single quotes (‘...’) for outer quotations.]</w:t>
      </w:r>
    </w:p>
    <w:p>
      <w:r>
        <w:rPr>
          <w:highlight w:val="yellow"/>
        </w:rPr>
        <w:t>There were 7 issues raised and 3 witnesses called at the hearing.</w:t>
      </w:r>
      <w:r>
        <w:rPr>
          <w:b/>
          <w:color w:val="CC0000"/>
          <w:sz w:val="16"/>
        </w:rPr>
        <w:t xml:space="preserve">  [spell_out_under_ten: Write 'seven' instead. | spell_out_under_ten: Write 'three' instead.]</w:t>
      </w:r>
    </w:p>
    <w:p/>
    <w:p>
      <w:r>
        <w:rPr>
          <w:b/>
          <w:color w:val="CC0000"/>
        </w:rPr>
        <w:t>=== DOCUMENT-LEVEL ISSUES ===</w:t>
      </w:r>
    </w:p>
    <w:p>
      <w:r>
        <w:rPr>
          <w:color w:val="CC0000"/>
          <w:sz w:val="18"/>
        </w:rPr>
        <w:t>[defined_terms] Defined term 'Special Purpose Vehicle' appears only at its definition. -&gt; Remove unused defined term or add references.</w:t>
      </w:r>
    </w:p>
    <w:p>
      <w:r>
        <w:rPr>
          <w:color w:val="CC0000"/>
          <w:sz w:val="18"/>
        </w:rPr>
        <w:t>[quotation_mark_consistency] Mixed quotation marks: 6 smart, 2 straight. -&gt; Standardise quotation marks.</w:t>
      </w:r>
    </w:p>
    <w:p>
      <w:r>
        <w:rPr>
          <w:color w:val="CC0000"/>
          <w:sz w:val="18"/>
        </w:rPr>
        <w:t>[footnote_integrity] Footnote reference [3] out of sequence (expected [2]). -&gt; Renumber footnote to [2].</w:t>
      </w:r>
    </w:p>
    <w:p>
      <w:r>
        <w:rPr>
          <w:color w:val="CC0000"/>
          <w:sz w:val="18"/>
        </w:rPr>
        <w:t>[phrase_consistency] Inconsistent phrasing: notwithstanding, despite all used. -&gt; Standardise to 'despite' or choose one form.</w:t>
      </w:r>
    </w:p>
    <w:p>
      <w:r>
        <w:rPr>
          <w:color w:val="CC0000"/>
          <w:sz w:val="18"/>
        </w:rPr>
        <w:t>[phrase_consistency] Inconsistent phrasing: pursuant to, in accordance with, under all used. -&gt; Standardise to 'under' or choose one form.</w:t>
      </w:r>
    </w:p>
    <w:p>
      <w:r>
        <w:rPr>
          <w:color w:val="CC0000"/>
          <w:sz w:val="18"/>
        </w:rPr>
        <w:t>[footnotes_not_endnotes] Reference to endnotes detected. -&gt; Use footnotes rather than endnotes.</w:t>
      </w:r>
    </w:p>
    <w:p>
      <w:r>
        <w:rPr>
          <w:color w:val="CC0000"/>
          <w:sz w:val="18"/>
        </w:rPr>
        <w:t>[smart_quote_consistency] Mixed quote styles: 2 straight, 6 curly. -&gt; Use curly quotation marks consistently.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