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rsidR="00476A79" w:rsidRPr="00476A79" w:rsidRDefault="00476A79" w:rsidP="00476A79">
      <w:pPr>
        <w:rPr>
          <w:rFonts w:ascii="Open Sans" w:hAnsi="Open Sans"/>
          <w:bCs/>
        </w:rPr>
      </w:pPr>
      <w:r w:rsidRPr="00476A79">
        <w:rPr>
          <w:rFonts w:ascii="Open Sans" w:hAnsi="Open Sans"/>
          <w:bCs/>
        </w:rPr>
        <w:t>Pages 557-566</w:t>
      </w:r>
    </w:p>
    <w:p w:rsidR="00476A79" w:rsidRPr="00476A79" w:rsidRDefault="00476A79" w:rsidP="00E04DDB">
      <w:pPr>
        <w:rPr>
          <w:rFonts w:ascii="Open Sans" w:hAnsi="Open Sans"/>
          <w:bCs/>
        </w:rPr>
      </w:pPr>
    </w:p>
    <w:p w:rsidR="00E04DDB" w:rsidRPr="00E04DDB" w:rsidRDefault="00E04DDB" w:rsidP="00E04DDB">
      <w:pPr>
        <w:rPr>
          <w:rFonts w:ascii="Open Sans" w:hAnsi="Open Sans"/>
          <w:b/>
          <w:bCs/>
        </w:rPr>
      </w:pPr>
      <w:r w:rsidRPr="00E04DDB">
        <w:rPr>
          <w:rFonts w:ascii="Open Sans" w:hAnsi="Open Sans"/>
          <w:b/>
          <w:bCs/>
        </w:rPr>
        <w:t xml:space="preserve">Abstract: </w:t>
      </w:r>
    </w:p>
    <w:p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rsidR="00476A79" w:rsidRDefault="00476A79" w:rsidP="00E04DDB">
      <w:pPr>
        <w:rPr>
          <w:rFonts w:ascii="Open Sans" w:hAnsi="Open Sans"/>
          <w:bCs/>
        </w:rPr>
      </w:pPr>
    </w:p>
    <w:p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Berlin, Heidelberg, 557-566. DOI=http://dx.doi.org.ezproxy.falmouth.ac.uk/10.1007/978-3-642-02774-1_60</w:t>
      </w:r>
    </w:p>
    <w:p w:rsidR="00476A79" w:rsidRDefault="00476A79" w:rsidP="00E04DDB">
      <w:pPr>
        <w:rPr>
          <w:rFonts w:ascii="Open Sans" w:hAnsi="Open Sans"/>
          <w:bCs/>
        </w:rPr>
      </w:pPr>
    </w:p>
    <w:p w:rsidR="00476A79" w:rsidRPr="00E04DDB" w:rsidRDefault="00C332F5" w:rsidP="00E04DDB">
      <w:pPr>
        <w:rPr>
          <w:rFonts w:ascii="Open Sans" w:hAnsi="Open Sans"/>
          <w:bCs/>
        </w:rPr>
      </w:pPr>
      <w:hyperlink r:id="rId4" w:history="1">
        <w:r w:rsidR="00476A79" w:rsidRPr="00BA167B">
          <w:rPr>
            <w:rStyle w:val="Hyperlink"/>
            <w:rFonts w:ascii="Open Sans" w:hAnsi="Open Sans"/>
            <w:bCs/>
          </w:rPr>
          <w:t>http://citeseerx.ist.psu.edu/viewdoc/download?doi=10.1.1.588.2260&amp;rep=rep1&amp;type=pdf</w:t>
        </w:r>
      </w:hyperlink>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1: Game Play</w:t>
            </w:r>
          </w:p>
        </w:tc>
      </w:tr>
    </w:tbl>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tcBorders>
              <w:top w:val="nil"/>
              <w:left w:val="single" w:sz="4" w:space="0" w:color="auto"/>
            </w:tcBorders>
            <w:shd w:val="clear" w:color="auto" w:fill="5F497A" w:themeFill="accent4" w:themeFillShade="BF"/>
            <w:vAlign w:val="center"/>
          </w:tcPr>
          <w:p w:rsidR="00972361" w:rsidRPr="00E4539F" w:rsidRDefault="00972361" w:rsidP="006E51F0">
            <w:pPr>
              <w:jc w:val="center"/>
              <w:rPr>
                <w:rFonts w:ascii="Open Sans" w:hAnsi="Open Sans"/>
                <w:b/>
                <w:color w:val="FFFFFF" w:themeColor="background1"/>
              </w:rPr>
            </w:pPr>
            <w:r w:rsidRPr="00E4539F">
              <w:rPr>
                <w:rFonts w:ascii="Open Sans" w:hAnsi="Open Sans"/>
                <w:b/>
                <w:color w:val="FFFFFF" w:themeColor="background1"/>
              </w:rPr>
              <w:t>Heuristic</w:t>
            </w:r>
          </w:p>
        </w:tc>
        <w:tc>
          <w:tcPr>
            <w:tcW w:w="3708" w:type="pct"/>
            <w:tcBorders>
              <w:top w:val="nil"/>
            </w:tcBorders>
            <w:shd w:val="clear" w:color="auto" w:fill="5F497A" w:themeFill="accent4" w:themeFillShade="BF"/>
          </w:tcPr>
          <w:p w:rsidR="00972361" w:rsidRPr="00E4539F" w:rsidRDefault="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A. Heuristic: Enduring Play</w:t>
            </w:r>
          </w:p>
        </w:tc>
        <w:tc>
          <w:tcPr>
            <w:tcW w:w="3708" w:type="pct"/>
            <w:vMerge w:val="restart"/>
            <w:shd w:val="clear" w:color="auto" w:fill="CCC0D9" w:themeFill="accent4" w:themeFillTint="66"/>
          </w:tcPr>
          <w:p w:rsidR="00972361" w:rsidRPr="006E51F0" w:rsidRDefault="00C57B4E">
            <w:pPr>
              <w:rPr>
                <w:rFonts w:ascii="Open Sans" w:hAnsi="Open Sans"/>
              </w:rPr>
            </w:pPr>
            <w:r>
              <w:rPr>
                <w:rFonts w:ascii="Open Sans" w:hAnsi="Open Sans"/>
              </w:rPr>
              <w:t>Hard to play no tutorial or explanation of controls.</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B. Challenge, Strategy and Pace</w:t>
            </w:r>
          </w:p>
        </w:tc>
        <w:tc>
          <w:tcPr>
            <w:tcW w:w="3708" w:type="pct"/>
            <w:vMerge w:val="restart"/>
            <w:shd w:val="clear" w:color="auto" w:fill="CCC0D9" w:themeFill="accent4" w:themeFillTint="66"/>
          </w:tcPr>
          <w:p w:rsidR="00972361" w:rsidRPr="006E51F0" w:rsidRDefault="00C57B4E">
            <w:pPr>
              <w:rPr>
                <w:rFonts w:ascii="Open Sans" w:hAnsi="Open Sans"/>
              </w:rPr>
            </w:pPr>
            <w:r>
              <w:rPr>
                <w:rFonts w:ascii="Open Sans" w:hAnsi="Open Sans"/>
              </w:rPr>
              <w:t>Got hard Quickly</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 xml:space="preserve">C. Consistency in Game </w:t>
            </w:r>
          </w:p>
          <w:p w:rsidR="00972361" w:rsidRPr="006E51F0" w:rsidRDefault="00972361" w:rsidP="00972361">
            <w:pPr>
              <w:jc w:val="center"/>
              <w:rPr>
                <w:rFonts w:ascii="Open Sans" w:hAnsi="Open Sans"/>
                <w:b/>
              </w:rPr>
            </w:pPr>
            <w:r w:rsidRPr="006E51F0">
              <w:rPr>
                <w:rFonts w:ascii="Open Sans" w:hAnsi="Open Sans"/>
                <w:b/>
              </w:rPr>
              <w:t>World</w:t>
            </w:r>
          </w:p>
        </w:tc>
        <w:tc>
          <w:tcPr>
            <w:tcW w:w="3708" w:type="pct"/>
            <w:vMerge w:val="restart"/>
            <w:shd w:val="clear" w:color="auto" w:fill="CCC0D9" w:themeFill="accent4" w:themeFillTint="66"/>
          </w:tcPr>
          <w:p w:rsidR="00972361" w:rsidRPr="006E51F0" w:rsidRDefault="00C57B4E">
            <w:pPr>
              <w:rPr>
                <w:rFonts w:ascii="Open Sans" w:hAnsi="Open Sans"/>
              </w:rPr>
            </w:pPr>
            <w:r>
              <w:rPr>
                <w:rFonts w:ascii="Open Sans" w:hAnsi="Open Sans"/>
              </w:rPr>
              <w:t>Consistent, same art</w:t>
            </w:r>
            <w:r w:rsidR="00C332F5">
              <w:rPr>
                <w:rFonts w:ascii="Open Sans" w:hAnsi="Open Sans"/>
              </w:rPr>
              <w:t xml:space="preserve"> `</w:t>
            </w:r>
            <w:bookmarkStart w:id="0" w:name="_GoBack"/>
            <w:bookmarkEnd w:id="0"/>
            <w:r>
              <w:rPr>
                <w:rFonts w:ascii="Open Sans" w:hAnsi="Open Sans"/>
              </w:rPr>
              <w:t>style</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bl>
    <w:p w:rsidR="00972361" w:rsidRPr="006E51F0" w:rsidRDefault="00972361">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shd w:val="clear" w:color="auto" w:fill="5F497A" w:themeFill="accent4" w:themeFillShade="BF"/>
            <w:vAlign w:val="center"/>
          </w:tcPr>
          <w:p w:rsidR="00972361" w:rsidRPr="00E4539F" w:rsidRDefault="00972361" w:rsidP="00972361">
            <w:pPr>
              <w:rPr>
                <w:rFonts w:ascii="Open Sans" w:hAnsi="Open Sans"/>
                <w:b/>
                <w:color w:val="FFFFFF" w:themeColor="background1"/>
              </w:rPr>
            </w:pPr>
            <w:r w:rsidRPr="00E4539F">
              <w:rPr>
                <w:rFonts w:ascii="Open Sans" w:hAnsi="Open Sans"/>
                <w:b/>
                <w:color w:val="FFFFFF" w:themeColor="background1"/>
              </w:rPr>
              <w:lastRenderedPageBreak/>
              <w:t>Heuristic</w:t>
            </w:r>
          </w:p>
        </w:tc>
        <w:tc>
          <w:tcPr>
            <w:tcW w:w="3708" w:type="pct"/>
            <w:shd w:val="clear" w:color="auto" w:fill="5F497A" w:themeFill="accent4" w:themeFillShade="BF"/>
          </w:tcPr>
          <w:p w:rsidR="00972361" w:rsidRPr="00E4539F" w:rsidRDefault="00972361" w:rsidP="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D. Goals</w:t>
            </w:r>
          </w:p>
        </w:tc>
        <w:tc>
          <w:tcPr>
            <w:tcW w:w="3708" w:type="pct"/>
            <w:vMerge w:val="restart"/>
            <w:shd w:val="clear" w:color="auto" w:fill="CCC0D9" w:themeFill="accent4" w:themeFillTint="66"/>
          </w:tcPr>
          <w:p w:rsidR="00972361" w:rsidRPr="006E51F0" w:rsidRDefault="00C57B4E" w:rsidP="00972361">
            <w:pPr>
              <w:rPr>
                <w:rFonts w:ascii="Open Sans" w:hAnsi="Open Sans"/>
              </w:rPr>
            </w:pPr>
            <w:r>
              <w:rPr>
                <w:rFonts w:ascii="Open Sans" w:hAnsi="Open Sans"/>
              </w:rPr>
              <w:t>Reach the end,</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E: Variety of Players and Game Styles</w:t>
            </w:r>
          </w:p>
        </w:tc>
        <w:tc>
          <w:tcPr>
            <w:tcW w:w="3708" w:type="pct"/>
            <w:vMerge w:val="restart"/>
            <w:shd w:val="clear" w:color="auto" w:fill="CCC0D9" w:themeFill="accent4" w:themeFillTint="66"/>
          </w:tcPr>
          <w:p w:rsidR="00972361" w:rsidRPr="006E51F0" w:rsidRDefault="00C57B4E" w:rsidP="00972361">
            <w:pPr>
              <w:rPr>
                <w:rFonts w:ascii="Open Sans" w:hAnsi="Open Sans"/>
              </w:rPr>
            </w:pPr>
            <w:r>
              <w:rPr>
                <w:rFonts w:ascii="Open Sans" w:hAnsi="Open Sans"/>
              </w:rPr>
              <w:t>none</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F. Players Perception of Control</w:t>
            </w:r>
          </w:p>
        </w:tc>
        <w:tc>
          <w:tcPr>
            <w:tcW w:w="3708" w:type="pct"/>
            <w:vMerge w:val="restart"/>
            <w:shd w:val="clear" w:color="auto" w:fill="CCC0D9" w:themeFill="accent4" w:themeFillTint="66"/>
          </w:tcPr>
          <w:p w:rsidR="00972361" w:rsidRPr="006E51F0" w:rsidRDefault="00C57B4E" w:rsidP="00972361">
            <w:pPr>
              <w:rPr>
                <w:rFonts w:ascii="Open Sans" w:hAnsi="Open Sans"/>
              </w:rPr>
            </w:pPr>
            <w:r>
              <w:rPr>
                <w:rFonts w:ascii="Open Sans" w:hAnsi="Open Sans"/>
              </w:rPr>
              <w:t>Trial and error to find the controls</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bl>
    <w:p w:rsidR="00972361" w:rsidRPr="006E51F0" w:rsidRDefault="00972361">
      <w:pPr>
        <w:rPr>
          <w:rFonts w:ascii="Open Sans" w:hAnsi="Open Sans"/>
        </w:rPr>
      </w:pPr>
    </w:p>
    <w:p w:rsidR="00972361" w:rsidRPr="006E51F0" w:rsidRDefault="00972361">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2: Coolness/Entertainment/Humour/Emotional Immersion</w:t>
            </w:r>
          </w:p>
        </w:tc>
      </w:tr>
    </w:tbl>
    <w:p w:rsidR="00E4539F" w:rsidRPr="006E51F0" w:rsidRDefault="00E4539F" w:rsidP="006E51F0">
      <w:pPr>
        <w:rPr>
          <w:rFonts w:ascii="Open Sans" w:hAnsi="Open Sans"/>
        </w:rPr>
      </w:pPr>
    </w:p>
    <w:tbl>
      <w:tblPr>
        <w:tblStyle w:val="TableGrid"/>
        <w:tblW w:w="0" w:type="auto"/>
        <w:tblLook w:val="04A0" w:firstRow="1" w:lastRow="0" w:firstColumn="1" w:lastColumn="0" w:noHBand="0" w:noVBand="1"/>
      </w:tblPr>
      <w:tblGrid>
        <w:gridCol w:w="3763"/>
        <w:gridCol w:w="10776"/>
      </w:tblGrid>
      <w:tr w:rsidR="00E4539F" w:rsidTr="00E04DDB">
        <w:trPr>
          <w:trHeight w:val="518"/>
        </w:trPr>
        <w:tc>
          <w:tcPr>
            <w:tcW w:w="3794" w:type="dxa"/>
            <w:shd w:val="clear" w:color="auto" w:fill="5F497A" w:themeFill="accent4" w:themeFillShade="BF"/>
            <w:vAlign w:val="center"/>
          </w:tcPr>
          <w:p w:rsidR="00E4539F" w:rsidRPr="00E4539F" w:rsidRDefault="00E4539F" w:rsidP="00E04DDB">
            <w:pPr>
              <w:jc w:val="center"/>
              <w:rPr>
                <w:rFonts w:ascii="Open Sans" w:hAnsi="Open Sans"/>
                <w:b/>
                <w:color w:val="FFFFFF" w:themeColor="background1"/>
              </w:rPr>
            </w:pPr>
            <w:r w:rsidRPr="00E4539F">
              <w:rPr>
                <w:rFonts w:ascii="Open Sans" w:hAnsi="Open Sans"/>
                <w:b/>
                <w:color w:val="FFFFFF" w:themeColor="background1"/>
              </w:rPr>
              <w:t>Heuristic</w:t>
            </w:r>
          </w:p>
        </w:tc>
        <w:tc>
          <w:tcPr>
            <w:tcW w:w="10971" w:type="dxa"/>
            <w:shd w:val="clear" w:color="auto" w:fill="5F497A" w:themeFill="accent4" w:themeFillShade="BF"/>
          </w:tcPr>
          <w:p w:rsidR="00E4539F" w:rsidRPr="00E4539F" w:rsidRDefault="00E4539F" w:rsidP="00E4539F">
            <w:pPr>
              <w:rPr>
                <w:rFonts w:ascii="Open Sans" w:hAnsi="Open Sans"/>
                <w:color w:val="FFFFFF" w:themeColor="background1"/>
              </w:rPr>
            </w:pPr>
            <w:r w:rsidRPr="00E4539F">
              <w:rPr>
                <w:rFonts w:ascii="Open Sans" w:hAnsi="Open Sans"/>
                <w:color w:val="FFFFFF" w:themeColor="background1"/>
              </w:rPr>
              <w:t>Notes</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Emotional Connection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C57B4E">
            <w:pPr>
              <w:rPr>
                <w:rFonts w:ascii="Open Sans" w:hAnsi="Open Sans"/>
              </w:rPr>
            </w:pPr>
            <w:r>
              <w:rPr>
                <w:rFonts w:ascii="Open Sans" w:hAnsi="Open Sans"/>
              </w:rPr>
              <w:t>None it’s a black hole</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Coolness/Entertainment</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C57B4E">
            <w:pPr>
              <w:rPr>
                <w:rFonts w:ascii="Open Sans" w:hAnsi="Open Sans"/>
              </w:rPr>
            </w:pPr>
            <w:r>
              <w:rPr>
                <w:rFonts w:ascii="Open Sans" w:hAnsi="Open Sans"/>
              </w:rPr>
              <w:t>Challenging entertainment</w:t>
            </w:r>
          </w:p>
        </w:tc>
      </w:tr>
      <w:tr w:rsidR="00E4539F" w:rsidTr="00E04DDB">
        <w:trPr>
          <w:trHeight w:val="2010"/>
        </w:trPr>
        <w:tc>
          <w:tcPr>
            <w:tcW w:w="3794" w:type="dxa"/>
            <w:shd w:val="clear" w:color="auto" w:fill="FDE9D9" w:themeFill="accent6" w:themeFillTint="33"/>
            <w:vAlign w:val="center"/>
          </w:tcPr>
          <w:p w:rsidR="00E4539F" w:rsidRDefault="00E4539F" w:rsidP="00E04DDB">
            <w:pPr>
              <w:jc w:val="center"/>
              <w:rPr>
                <w:rFonts w:ascii="Open Sans" w:hAnsi="Open Sans"/>
              </w:rPr>
            </w:pPr>
            <w:r>
              <w:rPr>
                <w:rFonts w:ascii="Open Sans" w:hAnsi="Open Sans"/>
                <w:b/>
              </w:rPr>
              <w:t>C:</w:t>
            </w:r>
            <w:r w:rsidRPr="006E51F0">
              <w:rPr>
                <w:rFonts w:ascii="Open Sans" w:hAnsi="Open Sans"/>
                <w:b/>
              </w:rPr>
              <w:t xml:space="preserve"> </w:t>
            </w:r>
            <w:r w:rsidR="00E04DDB" w:rsidRPr="006E51F0">
              <w:rPr>
                <w:rFonts w:ascii="Open Sans" w:hAnsi="Open Sans"/>
                <w:b/>
              </w:rPr>
              <w:t>Humour</w:t>
            </w:r>
          </w:p>
        </w:tc>
        <w:tc>
          <w:tcPr>
            <w:tcW w:w="10971" w:type="dxa"/>
            <w:shd w:val="clear" w:color="auto" w:fill="FDE9D9" w:themeFill="accent6" w:themeFillTint="33"/>
          </w:tcPr>
          <w:p w:rsidR="00E4539F" w:rsidRDefault="00C57B4E">
            <w:pPr>
              <w:rPr>
                <w:rFonts w:ascii="Open Sans" w:hAnsi="Open Sans"/>
              </w:rPr>
            </w:pPr>
            <w:r>
              <w:rPr>
                <w:rFonts w:ascii="Open Sans" w:hAnsi="Open Sans"/>
              </w:rPr>
              <w:t>None</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tabs>
                <w:tab w:val="left" w:pos="3815"/>
              </w:tabs>
              <w:jc w:val="center"/>
              <w:rPr>
                <w:rFonts w:ascii="Open Sans" w:hAnsi="Open Sans"/>
              </w:rPr>
            </w:pPr>
            <w:r w:rsidRPr="006E51F0">
              <w:rPr>
                <w:rFonts w:ascii="Open Sans" w:hAnsi="Open Sans"/>
                <w:b/>
              </w:rPr>
              <w:t>D.</w:t>
            </w:r>
            <w:r w:rsidRPr="006E51F0">
              <w:rPr>
                <w:rFonts w:ascii="Open Sans" w:eastAsia="Times New Roman" w:hAnsi="Open Sans" w:cs="Times New Roman"/>
                <w:b/>
              </w:rPr>
              <w:t xml:space="preserve"> Immersion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C57B4E">
            <w:pPr>
              <w:rPr>
                <w:rFonts w:ascii="Open Sans" w:hAnsi="Open Sans"/>
              </w:rPr>
            </w:pPr>
            <w:r>
              <w:rPr>
                <w:rFonts w:ascii="Open Sans" w:hAnsi="Open Sans"/>
              </w:rPr>
              <w:t>Was immersed in the puzzle, finding what to do</w:t>
            </w:r>
          </w:p>
        </w:tc>
      </w:tr>
    </w:tbl>
    <w:p w:rsidR="00652022" w:rsidRDefault="00652022">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3: Usability &amp; Game Mechanics</w:t>
            </w:r>
          </w:p>
        </w:tc>
      </w:tr>
    </w:tbl>
    <w:p w:rsidR="00E4539F" w:rsidRPr="00E4539F" w:rsidRDefault="00E4539F" w:rsidP="00E4539F"/>
    <w:tbl>
      <w:tblPr>
        <w:tblStyle w:val="TableGrid"/>
        <w:tblW w:w="5000" w:type="pct"/>
        <w:tblLook w:val="04A0" w:firstRow="1" w:lastRow="0" w:firstColumn="1" w:lastColumn="0" w:noHBand="0" w:noVBand="1"/>
      </w:tblPr>
      <w:tblGrid>
        <w:gridCol w:w="3815"/>
        <w:gridCol w:w="10950"/>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Documentation/Tutorial</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No documentation</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Light meter, death.</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Doesn’t provide feedback</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327"/>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Terminology</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Easy enough to understand</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Double jump when you get all the light</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Pr="006E51F0">
              <w:rPr>
                <w:rFonts w:ascii="Open Sans" w:eastAsia="Times New Roman" w:hAnsi="Open Sans" w:cs="Times New Roman"/>
                <w:b/>
              </w:rPr>
              <w:t>Screen Layout</w:t>
            </w:r>
          </w:p>
          <w:p w:rsidR="006E51F0" w:rsidRPr="006E51F0" w:rsidRDefault="006E51F0" w:rsidP="006E51F0">
            <w:pPr>
              <w:jc w:val="center"/>
              <w:rPr>
                <w:rFonts w:ascii="Open Sans" w:eastAsia="Times New Roman" w:hAnsi="Open Sans" w:cs="Times New Roman"/>
                <w:b/>
              </w:rPr>
            </w:pP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Camera could be zoomed out more</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p w:rsidR="006E51F0" w:rsidRPr="006E51F0" w:rsidRDefault="006E51F0">
      <w:pPr>
        <w:rPr>
          <w:rFonts w:ascii="Open Sans" w:hAnsi="Open Sans"/>
        </w:rPr>
      </w:pPr>
    </w:p>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815"/>
        <w:gridCol w:w="10950"/>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Navigation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Easy , basic menus</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H: Error Prevention</w:t>
            </w: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You could restart</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I. </w:t>
            </w:r>
            <w:r w:rsidRPr="006E51F0">
              <w:rPr>
                <w:rFonts w:ascii="Open Sans" w:eastAsia="Times New Roman" w:hAnsi="Open Sans" w:cs="Times New Roman"/>
                <w:b/>
              </w:rPr>
              <w:t>Game Story Immersion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C57B4E" w:rsidP="006E51F0">
            <w:pPr>
              <w:rPr>
                <w:rFonts w:ascii="Open Sans" w:hAnsi="Open Sans"/>
              </w:rPr>
            </w:pPr>
            <w:r>
              <w:rPr>
                <w:rFonts w:ascii="Open Sans" w:hAnsi="Open Sans"/>
              </w:rPr>
              <w:t>No immersion in story</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76A79"/>
    <w:rsid w:val="00652022"/>
    <w:rsid w:val="006E51F0"/>
    <w:rsid w:val="00972361"/>
    <w:rsid w:val="00C332F5"/>
    <w:rsid w:val="00C57B4E"/>
    <w:rsid w:val="00E04DDB"/>
    <w:rsid w:val="00E4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CCA8F"/>
  <w14:defaultImageDpi w14:val="300"/>
  <w15:docId w15:val="{6E3FC5A8-8DA3-48CE-9D9C-25D5E5D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588.226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ROBERTS OZOLINS-OZOLS</cp:lastModifiedBy>
  <cp:revision>2</cp:revision>
  <dcterms:created xsi:type="dcterms:W3CDTF">2017-10-24T11:59:00Z</dcterms:created>
  <dcterms:modified xsi:type="dcterms:W3CDTF">2017-10-24T11:59:00Z</dcterms:modified>
</cp:coreProperties>
</file>