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du contexte (environnement de l’application, </w:t>
      </w:r>
      <w:r w:rsidDel="00000000" w:rsidR="00000000" w:rsidRPr="00000000">
        <w:rPr>
          <w:b w:val="1"/>
          <w:rtl w:val="0"/>
        </w:rPr>
        <w:t xml:space="preserve">QUI </w:t>
      </w:r>
      <w:r w:rsidDel="00000000" w:rsidR="00000000" w:rsidRPr="00000000">
        <w:rPr>
          <w:rtl w:val="0"/>
        </w:rPr>
        <w:t xml:space="preserve">devra utiliser le logiciel)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L’application touche un large spectre d’utilisateurs. Visant aussi bien les sportifs amateurs que les professionnels (</w:t>
      </w:r>
      <w:r w:rsidDel="00000000" w:rsidR="00000000" w:rsidRPr="00000000">
        <w:rPr>
          <w:i w:val="1"/>
          <w:rtl w:val="0"/>
        </w:rPr>
        <w:t xml:space="preserve">“les drogués du sport” </w:t>
      </w:r>
      <w:r w:rsidDel="00000000" w:rsidR="00000000" w:rsidRPr="00000000">
        <w:rPr>
          <w:rtl w:val="0"/>
        </w:rPr>
        <w:t xml:space="preserve">cf. Jordanou</w:t>
      </w:r>
      <w:r w:rsidDel="00000000" w:rsidR="00000000" w:rsidRPr="00000000">
        <w:rPr>
          <w:rtl w:val="0"/>
        </w:rPr>
        <w:t xml:space="preserve">) tout en ne délaissant pas les non initiés.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