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701"/>
      </w:tblGrid>
      <w:tr w:rsidR="008E4BDE" w:rsidRPr="008E4BDE" w14:paraId="7E4B55C7" w14:textId="77777777" w:rsidTr="00916E59">
        <w:trPr>
          <w:jc w:val="center"/>
        </w:trPr>
        <w:tc>
          <w:tcPr>
            <w:tcW w:w="1701" w:type="dxa"/>
          </w:tcPr>
          <w:p w14:paraId="083E8E15" w14:textId="6FB35948" w:rsidR="008E4BDE" w:rsidRDefault="008E4BDE" w:rsidP="008E4BDE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5E25886" wp14:editId="4E7515FE">
                  <wp:extent cx="784800" cy="72000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14:paraId="62DD65BD" w14:textId="7B88A956" w:rsidR="008E4BDE" w:rsidRPr="008E4BDE" w:rsidRDefault="008E4BDE" w:rsidP="008E4BDE">
            <w:pPr>
              <w:ind w:firstLine="0"/>
              <w:jc w:val="center"/>
              <w:rPr>
                <w:rFonts w:cstheme="minorHAnsi"/>
                <w:b/>
                <w:bCs/>
                <w:smallCaps/>
              </w:rPr>
            </w:pPr>
            <w:r w:rsidRPr="008E4BDE">
              <w:rPr>
                <w:rFonts w:cstheme="minorHAnsi"/>
                <w:b/>
                <w:bCs/>
                <w:smallCaps/>
                <w:sz w:val="32"/>
                <w:szCs w:val="32"/>
              </w:rPr>
              <w:t>Burgonya</w:t>
            </w:r>
          </w:p>
        </w:tc>
        <w:tc>
          <w:tcPr>
            <w:tcW w:w="1701" w:type="dxa"/>
          </w:tcPr>
          <w:p w14:paraId="6294E0A5" w14:textId="6613AFEE" w:rsidR="008E4BDE" w:rsidRDefault="008E4BDE" w:rsidP="008E4BDE">
            <w:pPr>
              <w:ind w:firstLine="0"/>
              <w:jc w:val="right"/>
            </w:pPr>
            <w:r>
              <w:rPr>
                <w:noProof/>
              </w:rPr>
              <w:drawing>
                <wp:inline distT="0" distB="0" distL="0" distR="0" wp14:anchorId="1C513CD7" wp14:editId="7397D5D9">
                  <wp:extent cx="784800" cy="720000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79C5E" w14:textId="1D8ADD65" w:rsidR="002F102B" w:rsidRDefault="002F102B" w:rsidP="002F102B">
      <w:r>
        <w:t xml:space="preserve">A burgonya </w:t>
      </w:r>
      <w:r w:rsidRPr="00916E59">
        <w:rPr>
          <w:i/>
          <w:iCs/>
        </w:rPr>
        <w:t>(</w:t>
      </w:r>
      <w:proofErr w:type="spellStart"/>
      <w:r w:rsidRPr="00916E59">
        <w:rPr>
          <w:i/>
          <w:iCs/>
        </w:rPr>
        <w:t>Solanum</w:t>
      </w:r>
      <w:proofErr w:type="spellEnd"/>
      <w:r w:rsidRPr="00916E59">
        <w:rPr>
          <w:i/>
          <w:iCs/>
        </w:rPr>
        <w:t xml:space="preserve"> </w:t>
      </w:r>
      <w:proofErr w:type="spellStart"/>
      <w:r w:rsidRPr="00916E59">
        <w:rPr>
          <w:i/>
          <w:iCs/>
        </w:rPr>
        <w:t>tuberosum</w:t>
      </w:r>
      <w:proofErr w:type="spellEnd"/>
      <w:r>
        <w:t xml:space="preserve">), a köznyelvben krumpli, tájnyelvi nevén </w:t>
      </w:r>
      <w:proofErr w:type="spellStart"/>
      <w:r>
        <w:t>krumpedli</w:t>
      </w:r>
      <w:proofErr w:type="spellEnd"/>
      <w:r>
        <w:t xml:space="preserve">, kolompér, kompér, kolompír, </w:t>
      </w:r>
      <w:proofErr w:type="spellStart"/>
      <w:r>
        <w:t>korompér</w:t>
      </w:r>
      <w:proofErr w:type="spellEnd"/>
      <w:r>
        <w:t xml:space="preserve">, </w:t>
      </w:r>
      <w:proofErr w:type="spellStart"/>
      <w:r>
        <w:t>krompér</w:t>
      </w:r>
      <w:proofErr w:type="spellEnd"/>
      <w:r>
        <w:t xml:space="preserve">, </w:t>
      </w:r>
      <w:proofErr w:type="spellStart"/>
      <w:r>
        <w:t>grulya</w:t>
      </w:r>
      <w:proofErr w:type="spellEnd"/>
      <w:r>
        <w:t>, földialma, svábtök vagy pityóka (Erdélyben). A burgonyafélék (</w:t>
      </w:r>
      <w:proofErr w:type="spellStart"/>
      <w:r w:rsidRPr="00916E59">
        <w:rPr>
          <w:i/>
          <w:iCs/>
        </w:rPr>
        <w:t>Solanaceae</w:t>
      </w:r>
      <w:proofErr w:type="spellEnd"/>
      <w:r>
        <w:t>) családba tartozó növény, amit keményítőben gazdag gumójáért termesztenek világszerte.</w:t>
      </w:r>
    </w:p>
    <w:p w14:paraId="3316A8E0" w14:textId="57B2C79D" w:rsidR="002F102B" w:rsidRDefault="002F102B" w:rsidP="008E4BDE">
      <w:pPr>
        <w:pStyle w:val="Nincstrkz"/>
      </w:pPr>
      <w:r>
        <w:t>Származása, élőhelye</w:t>
      </w:r>
    </w:p>
    <w:p w14:paraId="07597457" w14:textId="534B5A6F" w:rsidR="002F102B" w:rsidRDefault="002F102B" w:rsidP="002F102B">
      <w:r>
        <w:t xml:space="preserve">Peru és Chile hegyvidékén őshonos, ott az őslakosok már körülbelül. 5000 éve termesztik, de fogyasztása már több mint hétezer évvel </w:t>
      </w:r>
      <w:proofErr w:type="spellStart"/>
      <w:r>
        <w:t>ezelőttre</w:t>
      </w:r>
      <w:proofErr w:type="spellEnd"/>
      <w:r>
        <w:t xml:space="preserve"> tehető. Európába először Pizarro expedíciója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14:paraId="0DD0F4B7" w14:textId="76F744C4" w:rsidR="002F102B" w:rsidRDefault="002F102B" w:rsidP="002F102B">
      <w:r>
        <w:t xml:space="preserve">Ausztráliába az angolok vitték a 18. században. Ez a legfontosabb termesztett, nem gabonanövény, így több ezer fajtája ismert. </w:t>
      </w:r>
    </w:p>
    <w:p w14:paraId="2448D26B" w14:textId="0CD9313D" w:rsidR="002F102B" w:rsidRDefault="00916E59" w:rsidP="008E4BDE">
      <w:pPr>
        <w:pStyle w:val="Nincstrkz"/>
      </w:pPr>
      <w:r>
        <w:rPr>
          <w:noProof/>
        </w:rPr>
        <w:drawing>
          <wp:anchor distT="144145" distB="144145" distL="144145" distR="144145" simplePos="0" relativeHeight="251658240" behindDoc="1" locked="0" layoutInCell="1" allowOverlap="1" wp14:anchorId="5C04B04D" wp14:editId="0342ADA2">
            <wp:simplePos x="0" y="0"/>
            <wp:positionH relativeFrom="margin">
              <wp:align>right</wp:align>
            </wp:positionH>
            <wp:positionV relativeFrom="paragraph">
              <wp:posOffset>46355</wp:posOffset>
            </wp:positionV>
            <wp:extent cx="1080000" cy="1616400"/>
            <wp:effectExtent l="0" t="0" r="6350" b="3175"/>
            <wp:wrapTight wrapText="bothSides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02B">
        <w:t>Megjelenése, felépítése</w:t>
      </w:r>
    </w:p>
    <w:p w14:paraId="18BD26B8" w14:textId="77777777" w:rsidR="002F102B" w:rsidRDefault="002F102B" w:rsidP="002F102B">
      <w:r>
        <w:t xml:space="preserve">Egy krumplinövény (50–90 cm) magasra </w:t>
      </w:r>
      <w:proofErr w:type="spellStart"/>
      <w:r>
        <w:t>növő</w:t>
      </w:r>
      <w:proofErr w:type="spellEnd"/>
      <w:r>
        <w:t>, lágy szárú növény. A föld feletti rész szárcsomóiból nőnek a hajtások és levelek, a föld alattiból a gyökerek és a tarackok. A tarack (</w:t>
      </w:r>
      <w:proofErr w:type="spellStart"/>
      <w:r>
        <w:t>sztóló</w:t>
      </w:r>
      <w:proofErr w:type="spellEnd"/>
      <w:r>
        <w:t>) csúcsának megvastagodásából alakul ki a gumó (ággumó). A gumóról, vegetatívan szaporított krumplinak csak a szár és a tarack föld alatti csomóiból előtörő, járulékos gyökerei vannak. Ezek a sűrűn elágazó gyökerek 50–60 cm mélyre hatolnak le. Páratlanul szárnyalt, összetett leveleinek széle ép. A párta és a csésze összeforrása miatt öttagú, fehér, lila, olykor vöröses virágai bogernyőbe tömörülnek. Termése kétrekeszes, sokmagvú bogyó.</w:t>
      </w:r>
    </w:p>
    <w:p w14:paraId="705C04B6" w14:textId="77777777" w:rsidR="00916E59" w:rsidRDefault="002F102B" w:rsidP="00916E59">
      <w:pPr>
        <w:pStyle w:val="Nincstrkz"/>
      </w:pPr>
      <w:r>
        <w:t>Főzési típusok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588"/>
        <w:gridCol w:w="4932"/>
        <w:gridCol w:w="2552"/>
      </w:tblGrid>
      <w:tr w:rsidR="00916E59" w14:paraId="78990BDC" w14:textId="77777777" w:rsidTr="00230739">
        <w:trPr>
          <w:jc w:val="center"/>
        </w:trPr>
        <w:tc>
          <w:tcPr>
            <w:tcW w:w="1588" w:type="dxa"/>
            <w:vAlign w:val="center"/>
          </w:tcPr>
          <w:p w14:paraId="601B4262" w14:textId="5E0C5653" w:rsidR="00916E59" w:rsidRPr="00230739" w:rsidRDefault="00916E59" w:rsidP="00230739">
            <w:pPr>
              <w:ind w:left="-120"/>
              <w:jc w:val="center"/>
              <w:rPr>
                <w:b/>
                <w:bCs/>
              </w:rPr>
            </w:pPr>
            <w:r w:rsidRPr="00230739">
              <w:rPr>
                <w:b/>
                <w:bCs/>
              </w:rPr>
              <w:t>Főzési típus</w:t>
            </w:r>
          </w:p>
        </w:tc>
        <w:tc>
          <w:tcPr>
            <w:tcW w:w="4932" w:type="dxa"/>
            <w:vAlign w:val="center"/>
          </w:tcPr>
          <w:p w14:paraId="10CE8086" w14:textId="6CAA91F5" w:rsidR="00916E59" w:rsidRPr="00230739" w:rsidRDefault="00916E59" w:rsidP="00E25216">
            <w:pPr>
              <w:jc w:val="center"/>
              <w:rPr>
                <w:b/>
                <w:bCs/>
              </w:rPr>
            </w:pPr>
            <w:r w:rsidRPr="00230739">
              <w:rPr>
                <w:b/>
                <w:bCs/>
              </w:rPr>
              <w:t>Jellemzők</w:t>
            </w:r>
          </w:p>
        </w:tc>
        <w:tc>
          <w:tcPr>
            <w:tcW w:w="2552" w:type="dxa"/>
            <w:vAlign w:val="center"/>
          </w:tcPr>
          <w:p w14:paraId="5D253CC4" w14:textId="6173F900" w:rsidR="00916E59" w:rsidRPr="00230739" w:rsidRDefault="00916E59" w:rsidP="00E25216">
            <w:pPr>
              <w:jc w:val="center"/>
              <w:rPr>
                <w:b/>
                <w:bCs/>
              </w:rPr>
            </w:pPr>
            <w:r w:rsidRPr="00230739">
              <w:rPr>
                <w:b/>
                <w:bCs/>
              </w:rPr>
              <w:t>Alkalmasság</w:t>
            </w:r>
          </w:p>
        </w:tc>
      </w:tr>
      <w:tr w:rsidR="00916E59" w14:paraId="1E9BD226" w14:textId="77777777" w:rsidTr="00230739">
        <w:trPr>
          <w:trHeight w:hRule="exact" w:val="1418"/>
          <w:jc w:val="center"/>
        </w:trPr>
        <w:tc>
          <w:tcPr>
            <w:tcW w:w="1588" w:type="dxa"/>
            <w:shd w:val="clear" w:color="auto" w:fill="92D050"/>
            <w:vAlign w:val="center"/>
          </w:tcPr>
          <w:p w14:paraId="13240C9F" w14:textId="77777777" w:rsidR="00916E59" w:rsidRPr="00E25216" w:rsidRDefault="00916E59" w:rsidP="00E25216">
            <w:pPr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A</w:t>
            </w:r>
          </w:p>
          <w:p w14:paraId="2268DCE7" w14:textId="6904ED80" w:rsidR="00916E59" w:rsidRPr="00E25216" w:rsidRDefault="00916E59" w:rsidP="00E25216">
            <w:pPr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Salátának való</w:t>
            </w:r>
          </w:p>
        </w:tc>
        <w:tc>
          <w:tcPr>
            <w:tcW w:w="4932" w:type="dxa"/>
            <w:vAlign w:val="center"/>
          </w:tcPr>
          <w:p w14:paraId="32740EF7" w14:textId="77777777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Finomszemcsés textúra.</w:t>
            </w:r>
          </w:p>
          <w:p w14:paraId="296EE03D" w14:textId="45F2A8D0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Főzés után is egyben maradó gumó.</w:t>
            </w:r>
          </w:p>
          <w:p w14:paraId="2BEF45A3" w14:textId="17B3DD5F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Keményítőtartalma alacsony (9-12%).</w:t>
            </w:r>
          </w:p>
        </w:tc>
        <w:tc>
          <w:tcPr>
            <w:tcW w:w="2552" w:type="dxa"/>
            <w:vAlign w:val="center"/>
          </w:tcPr>
          <w:p w14:paraId="154F4F24" w14:textId="5C1F3D4E" w:rsidR="00916E59" w:rsidRDefault="00916E59" w:rsidP="00E25216">
            <w:pPr>
              <w:jc w:val="center"/>
            </w:pPr>
            <w:r>
              <w:t>Burgonyasaláta, hidegkonyhai készítmények</w:t>
            </w:r>
          </w:p>
        </w:tc>
      </w:tr>
      <w:tr w:rsidR="00916E59" w14:paraId="1C75A81A" w14:textId="77777777" w:rsidTr="00230739">
        <w:trPr>
          <w:jc w:val="center"/>
        </w:trPr>
        <w:tc>
          <w:tcPr>
            <w:tcW w:w="1588" w:type="dxa"/>
            <w:shd w:val="clear" w:color="auto" w:fill="FF0000"/>
            <w:vAlign w:val="center"/>
          </w:tcPr>
          <w:p w14:paraId="397FC271" w14:textId="77777777" w:rsidR="00916E59" w:rsidRPr="00E25216" w:rsidRDefault="00916E59" w:rsidP="00E25216">
            <w:pPr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B</w:t>
            </w:r>
          </w:p>
          <w:p w14:paraId="5AD9CCE0" w14:textId="75533EC4" w:rsidR="00916E59" w:rsidRPr="00E25216" w:rsidRDefault="00916E59" w:rsidP="00E25216">
            <w:pPr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Főznivaló</w:t>
            </w:r>
          </w:p>
        </w:tc>
        <w:tc>
          <w:tcPr>
            <w:tcW w:w="4932" w:type="dxa"/>
            <w:vAlign w:val="center"/>
          </w:tcPr>
          <w:p w14:paraId="14C5EA6E" w14:textId="77777777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Közepesen finom textúra.</w:t>
            </w:r>
          </w:p>
          <w:p w14:paraId="07BF4572" w14:textId="011EBD99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Kissé szétfövő. Kissé lisztes vagy kissé szappanos konzisztencia.</w:t>
            </w:r>
          </w:p>
          <w:p w14:paraId="70959BBE" w14:textId="135C3ED2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A keményítőtartalma magasabb (13-17%).</w:t>
            </w:r>
          </w:p>
        </w:tc>
        <w:tc>
          <w:tcPr>
            <w:tcW w:w="2552" w:type="dxa"/>
            <w:vAlign w:val="center"/>
          </w:tcPr>
          <w:p w14:paraId="7E72C1B5" w14:textId="77777777" w:rsidR="00916E59" w:rsidRDefault="00916E59" w:rsidP="00E25216">
            <w:pPr>
              <w:jc w:val="center"/>
            </w:pPr>
            <w:r>
              <w:t xml:space="preserve">Vegyes </w:t>
            </w:r>
            <w:proofErr w:type="spellStart"/>
            <w:r>
              <w:t>hasznosítású</w:t>
            </w:r>
            <w:proofErr w:type="spellEnd"/>
            <w:r>
              <w:t xml:space="preserve"> étkezési burgonya, főtt és rakott típusú burgonyás ételek, levesek, főzelékek készítésére alkalmas.</w:t>
            </w:r>
          </w:p>
          <w:p w14:paraId="3684B738" w14:textId="77777777" w:rsidR="00916E59" w:rsidRDefault="00916E59" w:rsidP="00E25216">
            <w:pPr>
              <w:jc w:val="center"/>
            </w:pPr>
          </w:p>
        </w:tc>
      </w:tr>
      <w:tr w:rsidR="00916E59" w14:paraId="781296EF" w14:textId="77777777" w:rsidTr="00230739">
        <w:trPr>
          <w:trHeight w:hRule="exact" w:val="1418"/>
          <w:jc w:val="center"/>
        </w:trPr>
        <w:tc>
          <w:tcPr>
            <w:tcW w:w="1588" w:type="dxa"/>
            <w:shd w:val="clear" w:color="auto" w:fill="00B0F0"/>
            <w:vAlign w:val="center"/>
          </w:tcPr>
          <w:p w14:paraId="70DC426E" w14:textId="77777777" w:rsidR="00916E59" w:rsidRPr="00E25216" w:rsidRDefault="00916E59" w:rsidP="00E25216">
            <w:pPr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C</w:t>
            </w:r>
          </w:p>
          <w:p w14:paraId="68BEAF3B" w14:textId="4CED5F62" w:rsidR="00916E59" w:rsidRPr="00E25216" w:rsidRDefault="00916E59" w:rsidP="00E25216">
            <w:pPr>
              <w:jc w:val="center"/>
              <w:rPr>
                <w:color w:val="FFFFFF" w:themeColor="background1"/>
              </w:rPr>
            </w:pPr>
            <w:r w:rsidRPr="00E25216">
              <w:rPr>
                <w:color w:val="FFFFFF" w:themeColor="background1"/>
              </w:rPr>
              <w:t>Sütnivaló</w:t>
            </w:r>
          </w:p>
        </w:tc>
        <w:tc>
          <w:tcPr>
            <w:tcW w:w="4932" w:type="dxa"/>
            <w:vAlign w:val="center"/>
          </w:tcPr>
          <w:p w14:paraId="66B87E07" w14:textId="77777777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 xml:space="preserve">Laza szerkezetű, közepesnél nagyobb </w:t>
            </w:r>
            <w:proofErr w:type="spellStart"/>
            <w:r>
              <w:t>szemcsézet</w:t>
            </w:r>
            <w:proofErr w:type="spellEnd"/>
            <w:r>
              <w:t>.</w:t>
            </w:r>
          </w:p>
          <w:p w14:paraId="4EC7CB8D" w14:textId="0B5B7C61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Szétfövő, lisztes, száraz, porhanyós.</w:t>
            </w:r>
          </w:p>
          <w:p w14:paraId="765556B4" w14:textId="1AE6C58E" w:rsidR="00916E59" w:rsidRDefault="00916E59" w:rsidP="00230739">
            <w:pPr>
              <w:pStyle w:val="Listaszerbekezds"/>
              <w:numPr>
                <w:ilvl w:val="0"/>
                <w:numId w:val="3"/>
              </w:numPr>
              <w:jc w:val="left"/>
            </w:pPr>
            <w:r>
              <w:t>Magas keményítőtartalmú (18-22%).</w:t>
            </w:r>
          </w:p>
        </w:tc>
        <w:tc>
          <w:tcPr>
            <w:tcW w:w="2552" w:type="dxa"/>
            <w:vAlign w:val="center"/>
          </w:tcPr>
          <w:p w14:paraId="21973CD0" w14:textId="77777777" w:rsidR="00916E59" w:rsidRDefault="00916E59" w:rsidP="00E25216">
            <w:pPr>
              <w:jc w:val="center"/>
            </w:pPr>
            <w:r>
              <w:t>Püré-pehely, chips, hasábburgonya és burgonyás tészták alapanyaga</w:t>
            </w:r>
          </w:p>
          <w:p w14:paraId="42EC234A" w14:textId="77777777" w:rsidR="00916E59" w:rsidRDefault="00916E59" w:rsidP="00E25216">
            <w:pPr>
              <w:jc w:val="center"/>
            </w:pPr>
          </w:p>
        </w:tc>
      </w:tr>
    </w:tbl>
    <w:p w14:paraId="2F155B7C" w14:textId="77777777" w:rsidR="00230739" w:rsidRDefault="00230739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7F43F8B9" w14:textId="77777777" w:rsidR="00230739" w:rsidRDefault="002F102B" w:rsidP="00916E59">
      <w:pPr>
        <w:pStyle w:val="Nincstrkz"/>
      </w:pPr>
      <w:r>
        <w:lastRenderedPageBreak/>
        <w:t>Néhány magyar fajta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230739" w14:paraId="042F229D" w14:textId="77777777" w:rsidTr="00230739">
        <w:trPr>
          <w:jc w:val="center"/>
        </w:trPr>
        <w:tc>
          <w:tcPr>
            <w:tcW w:w="2835" w:type="dxa"/>
          </w:tcPr>
          <w:p w14:paraId="4679CFEF" w14:textId="3C7455F4" w:rsidR="00230739" w:rsidRPr="00230739" w:rsidRDefault="00230739" w:rsidP="00230739">
            <w:pPr>
              <w:rPr>
                <w:sz w:val="24"/>
                <w:szCs w:val="24"/>
              </w:rPr>
            </w:pPr>
            <w:r w:rsidRPr="00230739">
              <w:rPr>
                <w:sz w:val="24"/>
                <w:szCs w:val="24"/>
              </w:rPr>
              <w:t>Somogyi sárga kifli</w:t>
            </w:r>
          </w:p>
        </w:tc>
        <w:tc>
          <w:tcPr>
            <w:tcW w:w="2835" w:type="dxa"/>
          </w:tcPr>
          <w:p w14:paraId="4A2AED3F" w14:textId="6D60C45A" w:rsidR="00230739" w:rsidRPr="00230739" w:rsidRDefault="00230739" w:rsidP="00230739">
            <w:pPr>
              <w:rPr>
                <w:sz w:val="24"/>
                <w:szCs w:val="24"/>
              </w:rPr>
            </w:pPr>
            <w:r w:rsidRPr="00230739">
              <w:rPr>
                <w:sz w:val="24"/>
                <w:szCs w:val="24"/>
              </w:rPr>
              <w:t>Balatoni rózsa</w:t>
            </w:r>
          </w:p>
        </w:tc>
        <w:tc>
          <w:tcPr>
            <w:tcW w:w="2835" w:type="dxa"/>
          </w:tcPr>
          <w:p w14:paraId="6BDC7987" w14:textId="07738200" w:rsidR="00230739" w:rsidRPr="00230739" w:rsidRDefault="00230739" w:rsidP="00230739">
            <w:pPr>
              <w:rPr>
                <w:sz w:val="24"/>
                <w:szCs w:val="24"/>
              </w:rPr>
            </w:pPr>
            <w:r w:rsidRPr="00230739">
              <w:rPr>
                <w:sz w:val="24"/>
                <w:szCs w:val="24"/>
              </w:rPr>
              <w:t>Rioja (</w:t>
            </w:r>
            <w:proofErr w:type="spellStart"/>
            <w:r w:rsidRPr="00230739">
              <w:rPr>
                <w:sz w:val="24"/>
                <w:szCs w:val="24"/>
              </w:rPr>
              <w:t>Szászszorszép</w:t>
            </w:r>
            <w:proofErr w:type="spellEnd"/>
            <w:r w:rsidRPr="00230739">
              <w:rPr>
                <w:sz w:val="24"/>
                <w:szCs w:val="24"/>
              </w:rPr>
              <w:t>)</w:t>
            </w:r>
          </w:p>
        </w:tc>
      </w:tr>
      <w:tr w:rsidR="00230739" w14:paraId="63973E2D" w14:textId="77777777" w:rsidTr="00230739">
        <w:trPr>
          <w:jc w:val="center"/>
        </w:trPr>
        <w:tc>
          <w:tcPr>
            <w:tcW w:w="2835" w:type="dxa"/>
          </w:tcPr>
          <w:p w14:paraId="1F4F8A2C" w14:textId="63900E0A" w:rsidR="00230739" w:rsidRDefault="00230739" w:rsidP="00916E59">
            <w:pPr>
              <w:pStyle w:val="Nincstrkz"/>
              <w:ind w:firstLine="0"/>
            </w:pPr>
            <w:r>
              <w:rPr>
                <w:noProof/>
              </w:rPr>
              <w:drawing>
                <wp:inline distT="0" distB="0" distL="0" distR="0" wp14:anchorId="565BAEC6" wp14:editId="17D26553">
                  <wp:extent cx="1800000" cy="1598400"/>
                  <wp:effectExtent l="0" t="0" r="0" b="190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9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4974891C" w14:textId="13A0358E" w:rsidR="00230739" w:rsidRDefault="00230739" w:rsidP="00916E59">
            <w:pPr>
              <w:pStyle w:val="Nincstrkz"/>
              <w:ind w:firstLine="0"/>
            </w:pPr>
            <w:r>
              <w:rPr>
                <w:noProof/>
              </w:rPr>
              <w:drawing>
                <wp:inline distT="0" distB="0" distL="0" distR="0" wp14:anchorId="04335671" wp14:editId="527AE9A5">
                  <wp:extent cx="1800000" cy="1540800"/>
                  <wp:effectExtent l="0" t="0" r="0" b="2540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16BCC9D2" w14:textId="3DB02462" w:rsidR="00230739" w:rsidRDefault="00230739" w:rsidP="00916E59">
            <w:pPr>
              <w:pStyle w:val="Nincstrkz"/>
              <w:ind w:firstLine="0"/>
            </w:pPr>
            <w:r>
              <w:rPr>
                <w:noProof/>
              </w:rPr>
              <w:drawing>
                <wp:inline distT="0" distB="0" distL="0" distR="0" wp14:anchorId="5D2076DB" wp14:editId="417C916A">
                  <wp:extent cx="1800000" cy="1656000"/>
                  <wp:effectExtent l="0" t="0" r="0" b="1905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739" w14:paraId="405891D7" w14:textId="77777777" w:rsidTr="00230739">
        <w:trPr>
          <w:jc w:val="center"/>
        </w:trPr>
        <w:tc>
          <w:tcPr>
            <w:tcW w:w="2835" w:type="dxa"/>
          </w:tcPr>
          <w:p w14:paraId="3C3929BA" w14:textId="3007F0CD" w:rsidR="00230739" w:rsidRDefault="00230739" w:rsidP="00B537C4">
            <w:pPr>
              <w:ind w:firstLine="0"/>
            </w:pPr>
            <w:r>
              <w:t xml:space="preserve">Gumója   </w:t>
            </w:r>
            <w:proofErr w:type="gramStart"/>
            <w:r>
              <w:t>jellegzetes  „</w:t>
            </w:r>
            <w:proofErr w:type="gramEnd"/>
            <w:r>
              <w:t xml:space="preserve">kifli” alakú. </w:t>
            </w:r>
            <w:proofErr w:type="gramStart"/>
            <w:r>
              <w:t>Héja  sárga</w:t>
            </w:r>
            <w:proofErr w:type="gramEnd"/>
            <w:r>
              <w:t>, húsa   ugyancsak   sárga színű. Termőképessége alacsony. Jellegzetesen jó ízű desszertburgonya, elsősorban   saláta és   hidegkonyhai készítmények számára alkalmas.</w:t>
            </w:r>
          </w:p>
        </w:tc>
        <w:tc>
          <w:tcPr>
            <w:tcW w:w="2835" w:type="dxa"/>
          </w:tcPr>
          <w:p w14:paraId="78029531" w14:textId="44CE0E50" w:rsidR="00230739" w:rsidRDefault="00230739" w:rsidP="00B537C4">
            <w:pPr>
              <w:ind w:firstLine="0"/>
            </w:pPr>
            <w:r>
              <w:t xml:space="preserve">Termőképessége jó. Gumója közepes   méretű, </w:t>
            </w:r>
            <w:proofErr w:type="gramStart"/>
            <w:r>
              <w:t>ovális  alakú</w:t>
            </w:r>
            <w:proofErr w:type="gramEnd"/>
            <w:r>
              <w:t xml:space="preserve">. Héjszíne   rózsa, húsa halványsárga   színű, formatartó képessége jó, gumója piacos megjelenésű. Konzisztenciája kissé </w:t>
            </w:r>
            <w:proofErr w:type="gramStart"/>
            <w:r>
              <w:t xml:space="preserve">szappanos,   </w:t>
            </w:r>
            <w:proofErr w:type="gramEnd"/>
            <w:r>
              <w:t xml:space="preserve"> íze jó. </w:t>
            </w:r>
          </w:p>
        </w:tc>
        <w:tc>
          <w:tcPr>
            <w:tcW w:w="2835" w:type="dxa"/>
          </w:tcPr>
          <w:p w14:paraId="162263BA" w14:textId="754EE2D5" w:rsidR="00230739" w:rsidRDefault="00230739" w:rsidP="00B537C4">
            <w:pPr>
              <w:ind w:firstLine="0"/>
            </w:pPr>
            <w:r>
              <w:t xml:space="preserve">Gumója hosszas </w:t>
            </w:r>
            <w:proofErr w:type="spellStart"/>
            <w:r>
              <w:t>ovál</w:t>
            </w:r>
            <w:proofErr w:type="spellEnd"/>
            <w:r>
              <w:t xml:space="preserve"> alakú, szabályos. Héja piros, húsa sárgás-fehér színű. Középkorai érésű, bőtermő étkezési burgonya. Keményítőtartalma    magas, konzisztenciája    lisztes. Kedvező gumóformája, kiegyenlített mérete következtében    rendkívül piacos megjelenésű.</w:t>
            </w:r>
          </w:p>
        </w:tc>
      </w:tr>
    </w:tbl>
    <w:p w14:paraId="39EE7EFE" w14:textId="0D473188" w:rsidR="002F102B" w:rsidRDefault="002F102B" w:rsidP="00583E75">
      <w:pPr>
        <w:pStyle w:val="Nincstrkz"/>
        <w:ind w:firstLine="0"/>
      </w:pPr>
    </w:p>
    <w:p w14:paraId="51812AA4" w14:textId="786967A8" w:rsidR="002F102B" w:rsidRDefault="002F102B" w:rsidP="00916E59">
      <w:pPr>
        <w:pStyle w:val="Nincstrkz"/>
      </w:pPr>
      <w:r>
        <w:t>Különleges fajták</w:t>
      </w:r>
    </w:p>
    <w:p w14:paraId="634DB902" w14:textId="39ACDC16" w:rsidR="002F102B" w:rsidRPr="003C1F60" w:rsidRDefault="002F102B" w:rsidP="003C1F60">
      <w:pPr>
        <w:spacing w:before="120" w:after="120"/>
        <w:rPr>
          <w:b/>
          <w:bCs/>
          <w:sz w:val="24"/>
          <w:szCs w:val="24"/>
        </w:rPr>
      </w:pPr>
      <w:r w:rsidRPr="003C1F60">
        <w:rPr>
          <w:b/>
          <w:bCs/>
          <w:sz w:val="24"/>
          <w:szCs w:val="24"/>
        </w:rPr>
        <w:t>Perui lila</w:t>
      </w:r>
    </w:p>
    <w:p w14:paraId="37BF5CFD" w14:textId="6938C552" w:rsidR="002F102B" w:rsidRDefault="003C1F60" w:rsidP="002F102B">
      <w:r>
        <w:rPr>
          <w:noProof/>
        </w:rPr>
        <w:drawing>
          <wp:anchor distT="0" distB="0" distL="114300" distR="114300" simplePos="0" relativeHeight="251660288" behindDoc="1" locked="0" layoutInCell="1" allowOverlap="1" wp14:anchorId="41F6CBA2" wp14:editId="52B4F4A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799590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65" y="21291"/>
                <wp:lineTo x="21265" y="0"/>
                <wp:lineTo x="0" y="0"/>
              </wp:wrapPolygon>
            </wp:wrapTight>
            <wp:docPr id="12" name="Kép 12" descr="A képen beltéri, rendezett, zöld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beltéri, rendezett, zöldsé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02B">
        <w:t>A perui lila egy Peruból származó ősi fajta, melynek eredete az 1800-as évek elejéig vezethető vissza. Nyugat-Európában és Észak-Amerikában sok helyütt termesztik ma is, angol nyelvterületen a „</w:t>
      </w:r>
      <w:proofErr w:type="spellStart"/>
      <w:r w:rsidR="002F102B">
        <w:t>Purple</w:t>
      </w:r>
      <w:proofErr w:type="spellEnd"/>
      <w:r w:rsidR="002F102B">
        <w:t xml:space="preserve"> </w:t>
      </w:r>
      <w:proofErr w:type="spellStart"/>
      <w:r w:rsidR="002F102B">
        <w:t>Peruvian</w:t>
      </w:r>
      <w:proofErr w:type="spellEnd"/>
      <w:r w:rsidR="002F102B">
        <w:t>" és a „</w:t>
      </w:r>
      <w:proofErr w:type="spellStart"/>
      <w:r w:rsidR="002F102B">
        <w:t>Blue</w:t>
      </w:r>
      <w:proofErr w:type="spellEnd"/>
      <w:r w:rsidR="002F102B">
        <w:t xml:space="preserve"> </w:t>
      </w:r>
      <w:proofErr w:type="spellStart"/>
      <w:r w:rsidR="002F102B">
        <w:t>Peruvian</w:t>
      </w:r>
      <w:proofErr w:type="spellEnd"/>
      <w:r w:rsidR="002F102B">
        <w:t>" néven ismerik, míg francia és német nyelvterületeken leginkább a „</w:t>
      </w:r>
      <w:proofErr w:type="spellStart"/>
      <w:r w:rsidR="002F102B">
        <w:t>Vitelotte</w:t>
      </w:r>
      <w:proofErr w:type="spellEnd"/>
      <w:r w:rsidR="002F102B">
        <w:t>" fajtanév használata terjedt el, mindezen nevek ugyanezt a kedvelt régi fajtát takarják.</w:t>
      </w:r>
    </w:p>
    <w:p w14:paraId="435F38E4" w14:textId="4B8013B2" w:rsidR="002F102B" w:rsidRDefault="002F102B" w:rsidP="002F102B">
      <w:proofErr w:type="gramStart"/>
      <w:r>
        <w:t>Közepes,</w:t>
      </w:r>
      <w:proofErr w:type="gramEnd"/>
      <w:r>
        <w:t xml:space="preserve"> vagy nagy méretű megnyúlt-hengeres krumplikat nevel közepesen mélyen ülő szemekkel, kívül feketéslila héjjal. A hús színe gyönyörű, márványozott lila színű, az íze kifejezetten kellemes, gesztenyére, illetve mogyoróra emlékeztető. Közepes szárazanyag-tartalmú, és bár jó minőségű chips és más olajban sült burgonya készíthető belőle, mégis inkább salátákhoz, hidegtálakhoz, mindenféle főtt burgonyából kiinduló körethez és ételhez ajánljuk. Alakja tipikus kifliburgonya, salátákban szeletelve nagyon látványos.</w:t>
      </w:r>
    </w:p>
    <w:p w14:paraId="37165AA5" w14:textId="47193374" w:rsidR="002F102B" w:rsidRPr="003C1F60" w:rsidRDefault="003C1F60" w:rsidP="003C1F60">
      <w:pPr>
        <w:spacing w:before="120" w:after="120"/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9680A8" wp14:editId="551E8F4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1799590" cy="1198245"/>
            <wp:effectExtent l="0" t="0" r="0" b="1905"/>
            <wp:wrapTight wrapText="bothSides">
              <wp:wrapPolygon edited="0">
                <wp:start x="0" y="0"/>
                <wp:lineTo x="0" y="21291"/>
                <wp:lineTo x="21265" y="21291"/>
                <wp:lineTo x="2126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02B" w:rsidRPr="003C1F60">
        <w:rPr>
          <w:b/>
          <w:bCs/>
          <w:sz w:val="24"/>
          <w:szCs w:val="24"/>
        </w:rPr>
        <w:t>Skót-felföldi vörös</w:t>
      </w:r>
    </w:p>
    <w:p w14:paraId="6FA04148" w14:textId="7944D32E" w:rsidR="002F102B" w:rsidRDefault="002F102B" w:rsidP="002F102B">
      <w:r>
        <w:t>A Skót-felföldi vörös feltehetően a lelkes gyűjtőkkel került a Viktória-korabeli Skóciába, ahol az 1850-es évektől kezdve termesztették. Önálló fajtaként „</w:t>
      </w:r>
      <w:proofErr w:type="spellStart"/>
      <w:r>
        <w:t>Highland</w:t>
      </w:r>
      <w:proofErr w:type="spellEnd"/>
      <w:r>
        <w:t xml:space="preserve"> </w:t>
      </w:r>
      <w:proofErr w:type="spellStart"/>
      <w:r>
        <w:t>Burgundy</w:t>
      </w:r>
      <w:proofErr w:type="spellEnd"/>
      <w:r>
        <w:t xml:space="preserve"> Red" néven 1936-ban került be az angol nemzeti fajtagyűjteménybe.</w:t>
      </w:r>
    </w:p>
    <w:p w14:paraId="35ECDC84" w14:textId="2117BC73" w:rsidR="00D8778A" w:rsidRDefault="002F102B" w:rsidP="002F102B">
      <w:r>
        <w:t xml:space="preserve">A Skót-felföldi vörös nagy méretű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>
        <w:t>antocianinok</w:t>
      </w:r>
      <w:proofErr w:type="spellEnd"/>
      <w:r>
        <w:t xml:space="preserve"> adják, így ez a fajta is gyakran felkerül az egészséges étrendet követők bevásárlólistájára. Kifejezetten magas szárazanyag-tartalmú, tökéletes és gyönyörű színes chips készíthető belőle, de emellett, kiváltképp a nyári időszakban, saláták alapanyagaként és különleges hatású köretekhez is jól használható.</w:t>
      </w:r>
    </w:p>
    <w:sectPr w:rsidR="00D8778A" w:rsidSect="002F102B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9.5pt;height:9.75pt" o:bullet="t">
        <v:imagedata r:id="rId1" o:title="kiskrumpli"/>
      </v:shape>
    </w:pict>
  </w:numPicBullet>
  <w:abstractNum w:abstractNumId="0" w15:restartNumberingAfterBreak="0">
    <w:nsid w:val="70787F3C"/>
    <w:multiLevelType w:val="hybridMultilevel"/>
    <w:tmpl w:val="003E8DD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5C42D0C"/>
    <w:multiLevelType w:val="hybridMultilevel"/>
    <w:tmpl w:val="A1606BC8"/>
    <w:lvl w:ilvl="0" w:tplc="74FA01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162D2"/>
    <w:multiLevelType w:val="hybridMultilevel"/>
    <w:tmpl w:val="BE5EC6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6"/>
    <w:rsid w:val="00230739"/>
    <w:rsid w:val="002461F6"/>
    <w:rsid w:val="002F102B"/>
    <w:rsid w:val="003C1F60"/>
    <w:rsid w:val="00583E75"/>
    <w:rsid w:val="00773E45"/>
    <w:rsid w:val="008E4BDE"/>
    <w:rsid w:val="00916E59"/>
    <w:rsid w:val="00B537C4"/>
    <w:rsid w:val="00D8778A"/>
    <w:rsid w:val="00E2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AC47"/>
  <w15:chartTrackingRefBased/>
  <w15:docId w15:val="{867CD92F-6454-403F-9F88-7C80700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102B"/>
    <w:pPr>
      <w:spacing w:after="0" w:line="240" w:lineRule="auto"/>
      <w:ind w:firstLine="284"/>
      <w:jc w:val="both"/>
    </w:pPr>
    <w:rPr>
      <w:rFonts w:ascii="Times New Roman" w:hAnsi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E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aliases w:val="alcím"/>
    <w:uiPriority w:val="1"/>
    <w:qFormat/>
    <w:rsid w:val="008E4BDE"/>
    <w:pPr>
      <w:spacing w:before="120" w:after="120" w:line="240" w:lineRule="auto"/>
      <w:ind w:firstLine="284"/>
      <w:jc w:val="both"/>
    </w:pPr>
    <w:rPr>
      <w:rFonts w:ascii="Times New Roman" w:hAnsi="Times New Roman"/>
      <w:b/>
      <w:sz w:val="28"/>
    </w:rPr>
  </w:style>
  <w:style w:type="paragraph" w:styleId="Listaszerbekezds">
    <w:name w:val="List Paragraph"/>
    <w:basedOn w:val="Norml"/>
    <w:uiPriority w:val="34"/>
    <w:qFormat/>
    <w:rsid w:val="00E2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620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6</cp:revision>
  <dcterms:created xsi:type="dcterms:W3CDTF">2021-10-23T09:22:00Z</dcterms:created>
  <dcterms:modified xsi:type="dcterms:W3CDTF">2021-10-23T10:21:00Z</dcterms:modified>
</cp:coreProperties>
</file>