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5033449"/>
    <w:p w14:paraId="24BFBF0B" w14:textId="1F92F602" w:rsidR="00EE7FCD" w:rsidRDefault="0080482A" w:rsidP="00706DB1">
      <w:pPr>
        <w:pStyle w:val="Cmsor1"/>
      </w:pPr>
      <w:r>
        <w:rPr>
          <w:noProof/>
        </w:rPr>
        <mc:AlternateContent>
          <mc:Choice Requires="wps">
            <w:drawing>
              <wp:anchor distT="0" distB="0" distL="114300" distR="114300" simplePos="0" relativeHeight="251660288" behindDoc="1" locked="0" layoutInCell="1" allowOverlap="1" wp14:anchorId="63F47FB2" wp14:editId="60143117">
                <wp:simplePos x="0" y="0"/>
                <wp:positionH relativeFrom="column">
                  <wp:posOffset>4653280</wp:posOffset>
                </wp:positionH>
                <wp:positionV relativeFrom="paragraph">
                  <wp:posOffset>1992630</wp:posOffset>
                </wp:positionV>
                <wp:extent cx="1464945"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1464945" cy="635"/>
                        </a:xfrm>
                        <a:prstGeom prst="rect">
                          <a:avLst/>
                        </a:prstGeom>
                        <a:solidFill>
                          <a:prstClr val="white"/>
                        </a:solidFill>
                        <a:ln>
                          <a:noFill/>
                        </a:ln>
                      </wps:spPr>
                      <wps:txbx>
                        <w:txbxContent>
                          <w:p w14:paraId="125EC4A4" w14:textId="1465AC48" w:rsidR="0080482A" w:rsidRPr="003003D0" w:rsidRDefault="0080482A" w:rsidP="00841640">
                            <w:pPr>
                              <w:rPr>
                                <w:noProof/>
                              </w:rPr>
                            </w:pPr>
                            <w:r w:rsidRPr="00841640">
                              <w:rPr>
                                <w:i/>
                                <w:iCs/>
                              </w:rPr>
                              <w:t>Galileo</w:t>
                            </w:r>
                            <w:r>
                              <w:t xml:space="preserve"> </w:t>
                            </w:r>
                            <w:r w:rsidRPr="001A6734">
                              <w:rPr>
                                <w:i/>
                                <w:iCs/>
                              </w:rPr>
                              <w:t>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F47FB2" id="_x0000_t202" coordsize="21600,21600" o:spt="202" path="m,l,21600r21600,l21600,xe">
                <v:stroke joinstyle="miter"/>
                <v:path gradientshapeok="t" o:connecttype="rect"/>
              </v:shapetype>
              <v:shape id="Szövegdoboz 3" o:spid="_x0000_s1026" type="#_x0000_t202" style="position:absolute;left:0;text-align:left;margin-left:366.4pt;margin-top:156.9pt;width:11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" stroked="f">
                <v:textbox style="mso-fit-shape-to-text:t" inset="0,0,0,0">
                  <w:txbxContent>
                    <w:p w14:paraId="125EC4A4" w14:textId="1465AC48" w:rsidR="0080482A" w:rsidRPr="003003D0" w:rsidRDefault="0080482A" w:rsidP="00841640">
                      <w:pPr>
                        <w:rPr>
                          <w:noProof/>
                        </w:rPr>
                      </w:pPr>
                      <w:r w:rsidRPr="00841640">
                        <w:rPr>
                          <w:i/>
                          <w:iCs/>
                        </w:rPr>
                        <w:t>Galileo</w:t>
                      </w:r>
                      <w:r>
                        <w:t xml:space="preserve"> </w:t>
                      </w:r>
                      <w:r w:rsidRPr="001A6734">
                        <w:rPr>
                          <w:i/>
                          <w:iCs/>
                        </w:rPr>
                        <w:t>Galilei</w:t>
                      </w:r>
                    </w:p>
                  </w:txbxContent>
                </v:textbox>
                <w10:wrap type="tight"/>
              </v:shape>
            </w:pict>
          </mc:Fallback>
        </mc:AlternateContent>
      </w:r>
      <w:r>
        <w:rPr>
          <w:noProof/>
        </w:rPr>
        <w:drawing>
          <wp:anchor distT="0" distB="0" distL="114300" distR="114300" simplePos="0" relativeHeight="251658240" behindDoc="1" locked="0" layoutInCell="1" allowOverlap="1" wp14:anchorId="16C8382B" wp14:editId="0294B202">
            <wp:simplePos x="0" y="0"/>
            <wp:positionH relativeFrom="margin">
              <wp:align>right</wp:align>
            </wp:positionH>
            <wp:positionV relativeFrom="paragraph">
              <wp:posOffset>136478</wp:posOffset>
            </wp:positionV>
            <wp:extent cx="1464945" cy="1799590"/>
            <wp:effectExtent l="0" t="0" r="1905" b="0"/>
            <wp:wrapTight wrapText="bothSides">
              <wp:wrapPolygon edited="0">
                <wp:start x="0" y="0"/>
                <wp:lineTo x="0" y="21265"/>
                <wp:lineTo x="21347" y="21265"/>
                <wp:lineTo x="2134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45" cy="1799590"/>
                    </a:xfrm>
                    <a:prstGeom prst="rect">
                      <a:avLst/>
                    </a:prstGeom>
                    <a:noFill/>
                    <a:ln>
                      <a:noFill/>
                    </a:ln>
                  </pic:spPr>
                </pic:pic>
              </a:graphicData>
            </a:graphic>
          </wp:anchor>
        </w:drawing>
      </w:r>
      <w:r w:rsidR="00EE7FCD">
        <w:t>Galileo Galilei</w:t>
      </w:r>
      <w:bookmarkEnd w:id="0"/>
    </w:p>
    <w:p w14:paraId="6B10E156" w14:textId="77777777" w:rsidR="00EE7FCD" w:rsidRDefault="00EE7FCD" w:rsidP="00EE7FCD">
      <w:r>
        <w:t xml:space="preserve">Galileo Galilei (Pisa, 1564. február 15. – </w:t>
      </w:r>
      <w:proofErr w:type="spellStart"/>
      <w:r>
        <w:t>Arcetri</w:t>
      </w:r>
      <w:proofErr w:type="spellEnd"/>
      <w: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14:paraId="01A18001" w14:textId="76D3CC7A" w:rsidR="00EE7FCD" w:rsidRDefault="00EE7FCD" w:rsidP="00706DB1">
      <w:pPr>
        <w:pStyle w:val="Cmsor2"/>
      </w:pPr>
      <w:bookmarkStart w:id="1" w:name="_Toc85033450"/>
      <w:r>
        <w:t>Élete</w:t>
      </w:r>
      <w:bookmarkEnd w:id="1"/>
    </w:p>
    <w:tbl>
      <w:tblPr>
        <w:tblStyle w:val="Rcsostblzat"/>
        <w:tblpPr w:leftFromText="141" w:rightFromText="141" w:vertAnchor="text" w:horzAnchor="margin" w:tblpXSpec="right" w:tblpY="77"/>
        <w:tblW w:w="0" w:type="auto"/>
        <w:tblLook w:val="04A0" w:firstRow="1" w:lastRow="0" w:firstColumn="1" w:lastColumn="0" w:noHBand="0" w:noVBand="1"/>
      </w:tblPr>
      <w:tblGrid>
        <w:gridCol w:w="1304"/>
        <w:gridCol w:w="2835"/>
      </w:tblGrid>
      <w:tr w:rsidR="00C764E7" w:rsidRPr="001A6734" w14:paraId="5B4B4A35" w14:textId="77777777" w:rsidTr="00C764E7">
        <w:tc>
          <w:tcPr>
            <w:tcW w:w="4139" w:type="dxa"/>
            <w:gridSpan w:val="2"/>
            <w:tcBorders>
              <w:top w:val="single" w:sz="8" w:space="0" w:color="000000" w:themeColor="text1"/>
              <w:left w:val="single" w:sz="24" w:space="0" w:color="E7E6E6" w:themeColor="background2"/>
              <w:bottom w:val="nil"/>
              <w:right w:val="single" w:sz="24" w:space="0" w:color="E7E6E6" w:themeColor="background2"/>
            </w:tcBorders>
            <w:shd w:val="clear" w:color="auto" w:fill="E7E6E6" w:themeFill="background2"/>
          </w:tcPr>
          <w:p w14:paraId="49519EF0" w14:textId="77777777" w:rsidR="00C764E7" w:rsidRPr="001A6734" w:rsidRDefault="00C764E7" w:rsidP="00C764E7">
            <w:pPr>
              <w:pStyle w:val="Alcm"/>
              <w:jc w:val="center"/>
            </w:pPr>
            <w:r w:rsidRPr="001A6734">
              <w:t>Életrajzi adatok</w:t>
            </w:r>
          </w:p>
        </w:tc>
      </w:tr>
      <w:tr w:rsidR="00C764E7" w:rsidRPr="001A6734" w14:paraId="5CB7FAB8" w14:textId="77777777" w:rsidTr="00C764E7">
        <w:tc>
          <w:tcPr>
            <w:tcW w:w="1304" w:type="dxa"/>
            <w:tcBorders>
              <w:top w:val="nil"/>
              <w:left w:val="single" w:sz="24" w:space="0" w:color="E7E6E6" w:themeColor="background2"/>
              <w:bottom w:val="nil"/>
              <w:right w:val="nil"/>
            </w:tcBorders>
          </w:tcPr>
          <w:p w14:paraId="726AB81B" w14:textId="77777777" w:rsidR="00C764E7" w:rsidRPr="00C764E7" w:rsidRDefault="00C764E7" w:rsidP="00C764E7">
            <w:pPr>
              <w:pStyle w:val="Alcm"/>
              <w:rPr>
                <w:sz w:val="12"/>
                <w:szCs w:val="12"/>
              </w:rPr>
            </w:pPr>
            <w:r w:rsidRPr="00C764E7">
              <w:rPr>
                <w:sz w:val="12"/>
                <w:szCs w:val="12"/>
              </w:rPr>
              <w:t>Született</w:t>
            </w:r>
          </w:p>
        </w:tc>
        <w:tc>
          <w:tcPr>
            <w:tcW w:w="2835" w:type="dxa"/>
            <w:tcBorders>
              <w:top w:val="nil"/>
              <w:left w:val="nil"/>
              <w:bottom w:val="nil"/>
              <w:right w:val="single" w:sz="24" w:space="0" w:color="E7E6E6" w:themeColor="background2"/>
            </w:tcBorders>
          </w:tcPr>
          <w:p w14:paraId="0325D062" w14:textId="77777777" w:rsidR="00C764E7" w:rsidRPr="00C764E7" w:rsidRDefault="00C764E7" w:rsidP="00C764E7">
            <w:pPr>
              <w:pStyle w:val="Alcm"/>
              <w:rPr>
                <w:sz w:val="12"/>
                <w:szCs w:val="12"/>
              </w:rPr>
            </w:pPr>
            <w:r w:rsidRPr="00C764E7">
              <w:rPr>
                <w:sz w:val="12"/>
                <w:szCs w:val="12"/>
              </w:rPr>
              <w:t>1564. február 15., Pisa</w:t>
            </w:r>
          </w:p>
        </w:tc>
      </w:tr>
      <w:tr w:rsidR="00C764E7" w:rsidRPr="001A6734" w14:paraId="790307F7" w14:textId="77777777" w:rsidTr="00C764E7">
        <w:tc>
          <w:tcPr>
            <w:tcW w:w="1304" w:type="dxa"/>
            <w:tcBorders>
              <w:top w:val="nil"/>
              <w:left w:val="single" w:sz="24" w:space="0" w:color="E7E6E6" w:themeColor="background2"/>
              <w:bottom w:val="nil"/>
              <w:right w:val="nil"/>
            </w:tcBorders>
          </w:tcPr>
          <w:p w14:paraId="191A4AC0" w14:textId="77777777" w:rsidR="00C764E7" w:rsidRPr="00C764E7" w:rsidRDefault="00C764E7" w:rsidP="00C764E7">
            <w:pPr>
              <w:pStyle w:val="Alcm"/>
              <w:rPr>
                <w:sz w:val="12"/>
                <w:szCs w:val="12"/>
              </w:rPr>
            </w:pPr>
            <w:r w:rsidRPr="00C764E7">
              <w:rPr>
                <w:sz w:val="12"/>
                <w:szCs w:val="12"/>
              </w:rPr>
              <w:t>Elhunyt</w:t>
            </w:r>
          </w:p>
        </w:tc>
        <w:tc>
          <w:tcPr>
            <w:tcW w:w="2835" w:type="dxa"/>
            <w:tcBorders>
              <w:top w:val="nil"/>
              <w:left w:val="nil"/>
              <w:bottom w:val="nil"/>
              <w:right w:val="single" w:sz="24" w:space="0" w:color="E7E6E6" w:themeColor="background2"/>
            </w:tcBorders>
          </w:tcPr>
          <w:p w14:paraId="20B2736E" w14:textId="77777777" w:rsidR="00C764E7" w:rsidRPr="00C764E7" w:rsidRDefault="00C764E7" w:rsidP="00C764E7">
            <w:pPr>
              <w:pStyle w:val="Alcm"/>
              <w:rPr>
                <w:sz w:val="12"/>
                <w:szCs w:val="12"/>
              </w:rPr>
            </w:pPr>
            <w:r w:rsidRPr="00C764E7">
              <w:rPr>
                <w:sz w:val="12"/>
                <w:szCs w:val="12"/>
              </w:rPr>
              <w:t xml:space="preserve">1642. január 8. (77 évesen), </w:t>
            </w:r>
            <w:proofErr w:type="spellStart"/>
            <w:r w:rsidRPr="00C764E7">
              <w:rPr>
                <w:sz w:val="12"/>
                <w:szCs w:val="12"/>
              </w:rPr>
              <w:t>Arcetri</w:t>
            </w:r>
            <w:proofErr w:type="spellEnd"/>
          </w:p>
        </w:tc>
      </w:tr>
      <w:tr w:rsidR="00C764E7" w:rsidRPr="001A6734" w14:paraId="65D4DB3C" w14:textId="77777777" w:rsidTr="00C764E7">
        <w:tc>
          <w:tcPr>
            <w:tcW w:w="1304" w:type="dxa"/>
            <w:tcBorders>
              <w:top w:val="nil"/>
              <w:left w:val="single" w:sz="24" w:space="0" w:color="E7E6E6" w:themeColor="background2"/>
              <w:bottom w:val="nil"/>
              <w:right w:val="nil"/>
            </w:tcBorders>
          </w:tcPr>
          <w:p w14:paraId="04559A1A" w14:textId="77777777" w:rsidR="00C764E7" w:rsidRPr="00C764E7" w:rsidRDefault="00C764E7" w:rsidP="00C764E7">
            <w:pPr>
              <w:pStyle w:val="Alcm"/>
              <w:rPr>
                <w:sz w:val="12"/>
                <w:szCs w:val="12"/>
              </w:rPr>
            </w:pPr>
            <w:r w:rsidRPr="00C764E7">
              <w:rPr>
                <w:sz w:val="12"/>
                <w:szCs w:val="12"/>
              </w:rPr>
              <w:t>Sírhely</w:t>
            </w:r>
          </w:p>
        </w:tc>
        <w:tc>
          <w:tcPr>
            <w:tcW w:w="2835" w:type="dxa"/>
            <w:tcBorders>
              <w:top w:val="nil"/>
              <w:left w:val="nil"/>
              <w:bottom w:val="nil"/>
              <w:right w:val="single" w:sz="24" w:space="0" w:color="E7E6E6" w:themeColor="background2"/>
            </w:tcBorders>
          </w:tcPr>
          <w:p w14:paraId="6305853A" w14:textId="77777777" w:rsidR="00C764E7" w:rsidRPr="00C764E7" w:rsidRDefault="00C764E7" w:rsidP="00C764E7">
            <w:pPr>
              <w:pStyle w:val="Alcm"/>
              <w:rPr>
                <w:sz w:val="12"/>
                <w:szCs w:val="12"/>
              </w:rPr>
            </w:pPr>
            <w:r w:rsidRPr="00C764E7">
              <w:rPr>
                <w:sz w:val="12"/>
                <w:szCs w:val="12"/>
              </w:rPr>
              <w:t>Santa Croce templom</w:t>
            </w:r>
          </w:p>
        </w:tc>
      </w:tr>
      <w:tr w:rsidR="00C764E7" w:rsidRPr="001A6734" w14:paraId="2E7FBD54" w14:textId="77777777" w:rsidTr="00C764E7">
        <w:tc>
          <w:tcPr>
            <w:tcW w:w="1304" w:type="dxa"/>
            <w:tcBorders>
              <w:top w:val="nil"/>
              <w:left w:val="single" w:sz="24" w:space="0" w:color="E7E6E6" w:themeColor="background2"/>
              <w:bottom w:val="nil"/>
              <w:right w:val="nil"/>
            </w:tcBorders>
          </w:tcPr>
          <w:p w14:paraId="31EB6C7B" w14:textId="77777777" w:rsidR="00C764E7" w:rsidRPr="00C764E7" w:rsidRDefault="00C764E7" w:rsidP="00C764E7">
            <w:pPr>
              <w:pStyle w:val="Alcm"/>
              <w:rPr>
                <w:sz w:val="12"/>
                <w:szCs w:val="12"/>
              </w:rPr>
            </w:pPr>
            <w:r w:rsidRPr="00C764E7">
              <w:rPr>
                <w:sz w:val="12"/>
                <w:szCs w:val="12"/>
              </w:rPr>
              <w:t>Ismeretes mint</w:t>
            </w:r>
          </w:p>
        </w:tc>
        <w:tc>
          <w:tcPr>
            <w:tcW w:w="2835" w:type="dxa"/>
            <w:tcBorders>
              <w:top w:val="nil"/>
              <w:left w:val="nil"/>
              <w:bottom w:val="nil"/>
              <w:right w:val="single" w:sz="24" w:space="0" w:color="E7E6E6" w:themeColor="background2"/>
            </w:tcBorders>
          </w:tcPr>
          <w:p w14:paraId="2FAD82CD" w14:textId="77777777" w:rsidR="00C764E7" w:rsidRPr="00C764E7" w:rsidRDefault="00C764E7" w:rsidP="00C764E7">
            <w:pPr>
              <w:pStyle w:val="Alcm"/>
              <w:rPr>
                <w:sz w:val="12"/>
                <w:szCs w:val="12"/>
              </w:rPr>
            </w:pPr>
            <w:r w:rsidRPr="00C764E7">
              <w:rPr>
                <w:sz w:val="12"/>
                <w:szCs w:val="12"/>
              </w:rPr>
              <w:t>heliocentrikus világkép és a távcsöves megfigyelés (Jupiter holdjai, Hold hegyei, Vénusz fázisa) terjesztője</w:t>
            </w:r>
          </w:p>
        </w:tc>
      </w:tr>
      <w:tr w:rsidR="00C764E7" w:rsidRPr="001A6734" w14:paraId="289C10B0" w14:textId="77777777" w:rsidTr="00C764E7">
        <w:tc>
          <w:tcPr>
            <w:tcW w:w="1304" w:type="dxa"/>
            <w:tcBorders>
              <w:top w:val="nil"/>
              <w:left w:val="single" w:sz="24" w:space="0" w:color="E7E6E6" w:themeColor="background2"/>
              <w:bottom w:val="nil"/>
              <w:right w:val="nil"/>
            </w:tcBorders>
          </w:tcPr>
          <w:p w14:paraId="758F0499" w14:textId="77777777" w:rsidR="00C764E7" w:rsidRPr="00C764E7" w:rsidRDefault="00C764E7" w:rsidP="00C764E7">
            <w:pPr>
              <w:pStyle w:val="Alcm"/>
              <w:rPr>
                <w:sz w:val="12"/>
                <w:szCs w:val="12"/>
              </w:rPr>
            </w:pPr>
            <w:r w:rsidRPr="00C764E7">
              <w:rPr>
                <w:sz w:val="12"/>
                <w:szCs w:val="12"/>
              </w:rPr>
              <w:t>Nemzetiség</w:t>
            </w:r>
          </w:p>
        </w:tc>
        <w:tc>
          <w:tcPr>
            <w:tcW w:w="2835" w:type="dxa"/>
            <w:tcBorders>
              <w:top w:val="nil"/>
              <w:left w:val="nil"/>
              <w:bottom w:val="nil"/>
              <w:right w:val="single" w:sz="24" w:space="0" w:color="E7E6E6" w:themeColor="background2"/>
            </w:tcBorders>
          </w:tcPr>
          <w:p w14:paraId="0AB04D8F" w14:textId="77777777" w:rsidR="00C764E7" w:rsidRPr="00C764E7" w:rsidRDefault="00C764E7" w:rsidP="00C764E7">
            <w:pPr>
              <w:pStyle w:val="Alcm"/>
              <w:rPr>
                <w:sz w:val="12"/>
                <w:szCs w:val="12"/>
              </w:rPr>
            </w:pPr>
            <w:r w:rsidRPr="00C764E7">
              <w:rPr>
                <w:sz w:val="12"/>
                <w:szCs w:val="12"/>
              </w:rPr>
              <w:t>olasz</w:t>
            </w:r>
          </w:p>
        </w:tc>
      </w:tr>
      <w:tr w:rsidR="00C764E7" w:rsidRPr="001A6734" w14:paraId="4CF52D5E" w14:textId="77777777" w:rsidTr="00C764E7">
        <w:tc>
          <w:tcPr>
            <w:tcW w:w="1304" w:type="dxa"/>
            <w:tcBorders>
              <w:top w:val="nil"/>
              <w:left w:val="single" w:sz="24" w:space="0" w:color="E7E6E6" w:themeColor="background2"/>
              <w:bottom w:val="nil"/>
              <w:right w:val="nil"/>
            </w:tcBorders>
          </w:tcPr>
          <w:p w14:paraId="0638EA16" w14:textId="77777777" w:rsidR="00C764E7" w:rsidRPr="00C764E7" w:rsidRDefault="00C764E7" w:rsidP="00C764E7">
            <w:pPr>
              <w:pStyle w:val="Alcm"/>
              <w:rPr>
                <w:sz w:val="12"/>
                <w:szCs w:val="12"/>
              </w:rPr>
            </w:pPr>
            <w:r w:rsidRPr="00C764E7">
              <w:rPr>
                <w:sz w:val="12"/>
                <w:szCs w:val="12"/>
              </w:rPr>
              <w:t>Házastárs</w:t>
            </w:r>
          </w:p>
        </w:tc>
        <w:tc>
          <w:tcPr>
            <w:tcW w:w="2835" w:type="dxa"/>
            <w:tcBorders>
              <w:top w:val="nil"/>
              <w:left w:val="nil"/>
              <w:bottom w:val="nil"/>
              <w:right w:val="single" w:sz="24" w:space="0" w:color="E7E6E6" w:themeColor="background2"/>
            </w:tcBorders>
          </w:tcPr>
          <w:p w14:paraId="5078FFAB" w14:textId="77777777" w:rsidR="00C764E7" w:rsidRPr="00C764E7" w:rsidRDefault="00C764E7" w:rsidP="00C764E7">
            <w:pPr>
              <w:pStyle w:val="Alcm"/>
              <w:rPr>
                <w:sz w:val="12"/>
                <w:szCs w:val="12"/>
              </w:rPr>
            </w:pPr>
            <w:r w:rsidRPr="00C764E7">
              <w:rPr>
                <w:sz w:val="12"/>
                <w:szCs w:val="12"/>
              </w:rPr>
              <w:t>nincs</w:t>
            </w:r>
          </w:p>
        </w:tc>
      </w:tr>
      <w:tr w:rsidR="00C764E7" w:rsidRPr="001A6734" w14:paraId="0EA198D0" w14:textId="77777777" w:rsidTr="00C764E7">
        <w:tc>
          <w:tcPr>
            <w:tcW w:w="1304" w:type="dxa"/>
            <w:tcBorders>
              <w:top w:val="nil"/>
              <w:left w:val="single" w:sz="24" w:space="0" w:color="E7E6E6" w:themeColor="background2"/>
              <w:bottom w:val="nil"/>
              <w:right w:val="nil"/>
            </w:tcBorders>
          </w:tcPr>
          <w:p w14:paraId="74DA5EB7" w14:textId="77777777" w:rsidR="00C764E7" w:rsidRPr="00C764E7" w:rsidRDefault="00C764E7" w:rsidP="00C764E7">
            <w:pPr>
              <w:pStyle w:val="Alcm"/>
              <w:rPr>
                <w:sz w:val="12"/>
                <w:szCs w:val="12"/>
              </w:rPr>
            </w:pPr>
            <w:r w:rsidRPr="00C764E7">
              <w:rPr>
                <w:sz w:val="12"/>
                <w:szCs w:val="12"/>
              </w:rPr>
              <w:t>Élettárs</w:t>
            </w:r>
          </w:p>
        </w:tc>
        <w:tc>
          <w:tcPr>
            <w:tcW w:w="2835" w:type="dxa"/>
            <w:tcBorders>
              <w:top w:val="nil"/>
              <w:left w:val="nil"/>
              <w:bottom w:val="nil"/>
              <w:right w:val="single" w:sz="24" w:space="0" w:color="E7E6E6" w:themeColor="background2"/>
            </w:tcBorders>
          </w:tcPr>
          <w:p w14:paraId="78707E13" w14:textId="77777777" w:rsidR="00C764E7" w:rsidRPr="00C764E7" w:rsidRDefault="00C764E7" w:rsidP="00C764E7">
            <w:pPr>
              <w:pStyle w:val="Alcm"/>
              <w:rPr>
                <w:sz w:val="12"/>
                <w:szCs w:val="12"/>
              </w:rPr>
            </w:pPr>
            <w:r w:rsidRPr="00C764E7">
              <w:rPr>
                <w:sz w:val="12"/>
                <w:szCs w:val="12"/>
              </w:rPr>
              <w:t xml:space="preserve">Marina </w:t>
            </w:r>
            <w:proofErr w:type="spellStart"/>
            <w:r w:rsidRPr="00C764E7">
              <w:rPr>
                <w:sz w:val="12"/>
                <w:szCs w:val="12"/>
              </w:rPr>
              <w:t>Gamba</w:t>
            </w:r>
            <w:proofErr w:type="spellEnd"/>
          </w:p>
        </w:tc>
      </w:tr>
      <w:tr w:rsidR="00C764E7" w:rsidRPr="001A6734" w14:paraId="241F87FD" w14:textId="77777777" w:rsidTr="00C764E7">
        <w:tc>
          <w:tcPr>
            <w:tcW w:w="1304" w:type="dxa"/>
            <w:tcBorders>
              <w:top w:val="nil"/>
              <w:left w:val="single" w:sz="24" w:space="0" w:color="E7E6E6" w:themeColor="background2"/>
              <w:bottom w:val="nil"/>
              <w:right w:val="nil"/>
            </w:tcBorders>
          </w:tcPr>
          <w:p w14:paraId="68702B6B" w14:textId="77777777" w:rsidR="00C764E7" w:rsidRPr="00C764E7" w:rsidRDefault="00C764E7" w:rsidP="00C764E7">
            <w:pPr>
              <w:pStyle w:val="Alcm"/>
              <w:rPr>
                <w:sz w:val="12"/>
                <w:szCs w:val="12"/>
              </w:rPr>
            </w:pPr>
            <w:r w:rsidRPr="00C764E7">
              <w:rPr>
                <w:sz w:val="12"/>
                <w:szCs w:val="12"/>
              </w:rPr>
              <w:t>Gyermekek</w:t>
            </w:r>
          </w:p>
        </w:tc>
        <w:tc>
          <w:tcPr>
            <w:tcW w:w="2835" w:type="dxa"/>
            <w:tcBorders>
              <w:top w:val="nil"/>
              <w:left w:val="nil"/>
              <w:bottom w:val="nil"/>
              <w:right w:val="single" w:sz="24" w:space="0" w:color="E7E6E6" w:themeColor="background2"/>
            </w:tcBorders>
          </w:tcPr>
          <w:p w14:paraId="323E8921" w14:textId="77777777" w:rsidR="00C764E7" w:rsidRPr="00C764E7" w:rsidRDefault="00C764E7" w:rsidP="00C764E7">
            <w:pPr>
              <w:pStyle w:val="Alcm"/>
              <w:rPr>
                <w:sz w:val="12"/>
                <w:szCs w:val="12"/>
              </w:rPr>
            </w:pPr>
            <w:r w:rsidRPr="00C764E7">
              <w:rPr>
                <w:sz w:val="12"/>
                <w:szCs w:val="12"/>
              </w:rPr>
              <w:t xml:space="preserve">Vincenzo </w:t>
            </w:r>
            <w:proofErr w:type="spellStart"/>
            <w:r w:rsidRPr="00C764E7">
              <w:rPr>
                <w:sz w:val="12"/>
                <w:szCs w:val="12"/>
              </w:rPr>
              <w:t>Gamba</w:t>
            </w:r>
            <w:proofErr w:type="spellEnd"/>
            <w:r w:rsidRPr="00C764E7">
              <w:rPr>
                <w:sz w:val="12"/>
                <w:szCs w:val="12"/>
              </w:rPr>
              <w:t xml:space="preserve">, Maria </w:t>
            </w:r>
            <w:proofErr w:type="spellStart"/>
            <w:r w:rsidRPr="00C764E7">
              <w:rPr>
                <w:sz w:val="12"/>
                <w:szCs w:val="12"/>
              </w:rPr>
              <w:t>Celeste</w:t>
            </w:r>
            <w:proofErr w:type="spellEnd"/>
          </w:p>
        </w:tc>
      </w:tr>
      <w:tr w:rsidR="00C764E7" w:rsidRPr="001A6734" w14:paraId="7D7FB7D0" w14:textId="77777777" w:rsidTr="00C764E7">
        <w:tc>
          <w:tcPr>
            <w:tcW w:w="1304" w:type="dxa"/>
            <w:tcBorders>
              <w:top w:val="nil"/>
              <w:left w:val="single" w:sz="24" w:space="0" w:color="E7E6E6" w:themeColor="background2"/>
              <w:bottom w:val="nil"/>
              <w:right w:val="nil"/>
            </w:tcBorders>
          </w:tcPr>
          <w:p w14:paraId="68B0B5F2" w14:textId="77777777" w:rsidR="00C764E7" w:rsidRPr="00C764E7" w:rsidRDefault="00C764E7" w:rsidP="00C764E7">
            <w:pPr>
              <w:pStyle w:val="Alcm"/>
              <w:rPr>
                <w:sz w:val="12"/>
                <w:szCs w:val="12"/>
              </w:rPr>
            </w:pPr>
            <w:r w:rsidRPr="00C764E7">
              <w:rPr>
                <w:sz w:val="12"/>
                <w:szCs w:val="12"/>
              </w:rPr>
              <w:t>Iskolái</w:t>
            </w:r>
          </w:p>
        </w:tc>
        <w:tc>
          <w:tcPr>
            <w:tcW w:w="2835" w:type="dxa"/>
            <w:tcBorders>
              <w:top w:val="nil"/>
              <w:left w:val="nil"/>
              <w:bottom w:val="nil"/>
              <w:right w:val="single" w:sz="24" w:space="0" w:color="E7E6E6" w:themeColor="background2"/>
            </w:tcBorders>
          </w:tcPr>
          <w:p w14:paraId="5E40F83A" w14:textId="77777777" w:rsidR="00C764E7" w:rsidRPr="00C764E7" w:rsidRDefault="00C764E7" w:rsidP="00C764E7">
            <w:pPr>
              <w:pStyle w:val="Alcm"/>
              <w:rPr>
                <w:sz w:val="12"/>
                <w:szCs w:val="12"/>
              </w:rPr>
            </w:pPr>
            <w:r w:rsidRPr="00C764E7">
              <w:rPr>
                <w:sz w:val="12"/>
                <w:szCs w:val="12"/>
              </w:rPr>
              <w:t>Pisai Egyetem</w:t>
            </w:r>
          </w:p>
        </w:tc>
      </w:tr>
      <w:tr w:rsidR="00C764E7" w:rsidRPr="001A6734" w14:paraId="61E5E262" w14:textId="77777777" w:rsidTr="00C764E7">
        <w:tc>
          <w:tcPr>
            <w:tcW w:w="4139" w:type="dxa"/>
            <w:gridSpan w:val="2"/>
            <w:tcBorders>
              <w:top w:val="nil"/>
              <w:left w:val="single" w:sz="24" w:space="0" w:color="E7E6E6" w:themeColor="background2"/>
              <w:bottom w:val="nil"/>
              <w:right w:val="single" w:sz="24" w:space="0" w:color="E7E6E6" w:themeColor="background2"/>
            </w:tcBorders>
            <w:shd w:val="clear" w:color="auto" w:fill="E7E6E6" w:themeFill="background2"/>
          </w:tcPr>
          <w:p w14:paraId="27BB923C" w14:textId="77777777" w:rsidR="00C764E7" w:rsidRPr="00C764E7" w:rsidRDefault="00C764E7" w:rsidP="00C764E7">
            <w:pPr>
              <w:pStyle w:val="Alcm"/>
              <w:jc w:val="center"/>
              <w:rPr>
                <w:sz w:val="12"/>
                <w:szCs w:val="12"/>
              </w:rPr>
            </w:pPr>
            <w:r w:rsidRPr="00C764E7">
              <w:rPr>
                <w:sz w:val="12"/>
                <w:szCs w:val="12"/>
              </w:rPr>
              <w:t>Pályafutása</w:t>
            </w:r>
          </w:p>
        </w:tc>
      </w:tr>
      <w:tr w:rsidR="00C764E7" w:rsidRPr="001A6734" w14:paraId="16461DD0" w14:textId="77777777" w:rsidTr="00C764E7">
        <w:tc>
          <w:tcPr>
            <w:tcW w:w="1304" w:type="dxa"/>
            <w:tcBorders>
              <w:top w:val="nil"/>
              <w:left w:val="single" w:sz="24" w:space="0" w:color="E7E6E6" w:themeColor="background2"/>
              <w:bottom w:val="nil"/>
              <w:right w:val="nil"/>
            </w:tcBorders>
          </w:tcPr>
          <w:p w14:paraId="4B2ABA98" w14:textId="77777777" w:rsidR="00C764E7" w:rsidRPr="00C764E7" w:rsidRDefault="00C764E7" w:rsidP="00C764E7">
            <w:pPr>
              <w:pStyle w:val="Alcm"/>
              <w:rPr>
                <w:sz w:val="12"/>
                <w:szCs w:val="12"/>
              </w:rPr>
            </w:pPr>
            <w:r w:rsidRPr="00C764E7">
              <w:rPr>
                <w:sz w:val="12"/>
                <w:szCs w:val="12"/>
              </w:rPr>
              <w:t>Szakterület</w:t>
            </w:r>
          </w:p>
        </w:tc>
        <w:tc>
          <w:tcPr>
            <w:tcW w:w="2835" w:type="dxa"/>
            <w:tcBorders>
              <w:top w:val="nil"/>
              <w:left w:val="nil"/>
              <w:bottom w:val="nil"/>
              <w:right w:val="single" w:sz="24" w:space="0" w:color="E7E6E6" w:themeColor="background2"/>
            </w:tcBorders>
          </w:tcPr>
          <w:p w14:paraId="41452FC3" w14:textId="77777777" w:rsidR="00C764E7" w:rsidRPr="00C764E7" w:rsidRDefault="00C764E7" w:rsidP="00C764E7">
            <w:pPr>
              <w:pStyle w:val="Alcm"/>
              <w:rPr>
                <w:sz w:val="12"/>
                <w:szCs w:val="12"/>
              </w:rPr>
            </w:pPr>
            <w:r w:rsidRPr="00C764E7">
              <w:rPr>
                <w:sz w:val="12"/>
                <w:szCs w:val="12"/>
              </w:rPr>
              <w:t>fizika, csillagászat</w:t>
            </w:r>
          </w:p>
        </w:tc>
      </w:tr>
      <w:tr w:rsidR="00C764E7" w:rsidRPr="001A6734" w14:paraId="6F1902B5" w14:textId="77777777" w:rsidTr="00C764E7">
        <w:tc>
          <w:tcPr>
            <w:tcW w:w="1304" w:type="dxa"/>
            <w:tcBorders>
              <w:top w:val="nil"/>
              <w:left w:val="single" w:sz="24" w:space="0" w:color="E7E6E6" w:themeColor="background2"/>
              <w:bottom w:val="nil"/>
              <w:right w:val="nil"/>
            </w:tcBorders>
          </w:tcPr>
          <w:p w14:paraId="1AF28377" w14:textId="77777777" w:rsidR="00C764E7" w:rsidRPr="00C764E7" w:rsidRDefault="00C764E7" w:rsidP="00C764E7">
            <w:pPr>
              <w:pStyle w:val="Alcm"/>
              <w:rPr>
                <w:sz w:val="12"/>
                <w:szCs w:val="12"/>
              </w:rPr>
            </w:pPr>
            <w:r w:rsidRPr="00C764E7">
              <w:rPr>
                <w:sz w:val="12"/>
                <w:szCs w:val="12"/>
              </w:rPr>
              <w:t>Hatással volt</w:t>
            </w:r>
          </w:p>
        </w:tc>
        <w:tc>
          <w:tcPr>
            <w:tcW w:w="2835" w:type="dxa"/>
            <w:tcBorders>
              <w:top w:val="nil"/>
              <w:left w:val="nil"/>
              <w:bottom w:val="nil"/>
              <w:right w:val="single" w:sz="24" w:space="0" w:color="E7E6E6" w:themeColor="background2"/>
            </w:tcBorders>
          </w:tcPr>
          <w:p w14:paraId="64AA29F8" w14:textId="77777777" w:rsidR="00C764E7" w:rsidRPr="00C764E7" w:rsidRDefault="00C764E7" w:rsidP="00C764E7">
            <w:pPr>
              <w:pStyle w:val="Alcm"/>
              <w:rPr>
                <w:sz w:val="12"/>
                <w:szCs w:val="12"/>
              </w:rPr>
            </w:pPr>
            <w:proofErr w:type="spellStart"/>
            <w:r w:rsidRPr="00C764E7">
              <w:rPr>
                <w:sz w:val="12"/>
                <w:szCs w:val="12"/>
              </w:rPr>
              <w:t>Benedetto</w:t>
            </w:r>
            <w:proofErr w:type="spellEnd"/>
            <w:r w:rsidRPr="00C764E7">
              <w:rPr>
                <w:sz w:val="12"/>
                <w:szCs w:val="12"/>
              </w:rPr>
              <w:t xml:space="preserve"> </w:t>
            </w:r>
            <w:proofErr w:type="spellStart"/>
            <w:r w:rsidRPr="00C764E7">
              <w:rPr>
                <w:sz w:val="12"/>
                <w:szCs w:val="12"/>
              </w:rPr>
              <w:t>Castelli</w:t>
            </w:r>
            <w:proofErr w:type="spellEnd"/>
            <w:r w:rsidRPr="00C764E7">
              <w:rPr>
                <w:sz w:val="12"/>
                <w:szCs w:val="12"/>
              </w:rPr>
              <w:t xml:space="preserve">, Mario </w:t>
            </w:r>
            <w:proofErr w:type="spellStart"/>
            <w:r w:rsidRPr="00C764E7">
              <w:rPr>
                <w:sz w:val="12"/>
                <w:szCs w:val="12"/>
              </w:rPr>
              <w:t>Guiducci</w:t>
            </w:r>
            <w:proofErr w:type="spellEnd"/>
            <w:r w:rsidRPr="00C764E7">
              <w:rPr>
                <w:sz w:val="12"/>
                <w:szCs w:val="12"/>
              </w:rPr>
              <w:t xml:space="preserve">, </w:t>
            </w:r>
            <w:proofErr w:type="spellStart"/>
            <w:r w:rsidRPr="00C764E7">
              <w:rPr>
                <w:sz w:val="12"/>
                <w:szCs w:val="12"/>
              </w:rPr>
              <w:t>Vincenzio</w:t>
            </w:r>
            <w:proofErr w:type="spellEnd"/>
            <w:r w:rsidRPr="00C764E7">
              <w:rPr>
                <w:sz w:val="12"/>
                <w:szCs w:val="12"/>
              </w:rPr>
              <w:t xml:space="preserve"> </w:t>
            </w:r>
            <w:proofErr w:type="spellStart"/>
            <w:r w:rsidRPr="00C764E7">
              <w:rPr>
                <w:sz w:val="12"/>
                <w:szCs w:val="12"/>
              </w:rPr>
              <w:t>Viviani</w:t>
            </w:r>
            <w:proofErr w:type="spellEnd"/>
          </w:p>
        </w:tc>
      </w:tr>
      <w:tr w:rsidR="00C764E7" w:rsidRPr="001A6734" w14:paraId="173305C4" w14:textId="77777777" w:rsidTr="00C764E7">
        <w:tc>
          <w:tcPr>
            <w:tcW w:w="1304" w:type="dxa"/>
            <w:tcBorders>
              <w:top w:val="nil"/>
              <w:left w:val="single" w:sz="24" w:space="0" w:color="E7E6E6" w:themeColor="background2"/>
              <w:bottom w:val="single" w:sz="8" w:space="0" w:color="000000" w:themeColor="text1"/>
              <w:right w:val="nil"/>
            </w:tcBorders>
          </w:tcPr>
          <w:p w14:paraId="2D89BE02" w14:textId="77777777" w:rsidR="00C764E7" w:rsidRPr="00C764E7" w:rsidRDefault="00C764E7" w:rsidP="00C764E7">
            <w:pPr>
              <w:pStyle w:val="Alcm"/>
              <w:rPr>
                <w:sz w:val="12"/>
                <w:szCs w:val="12"/>
              </w:rPr>
            </w:pPr>
            <w:r w:rsidRPr="00C764E7">
              <w:rPr>
                <w:sz w:val="12"/>
                <w:szCs w:val="12"/>
              </w:rPr>
              <w:t>Hatással voltak rá</w:t>
            </w:r>
          </w:p>
        </w:tc>
        <w:tc>
          <w:tcPr>
            <w:tcW w:w="2835" w:type="dxa"/>
            <w:tcBorders>
              <w:top w:val="nil"/>
              <w:left w:val="nil"/>
              <w:bottom w:val="single" w:sz="8" w:space="0" w:color="000000" w:themeColor="text1"/>
              <w:right w:val="single" w:sz="24" w:space="0" w:color="E7E6E6" w:themeColor="background2"/>
            </w:tcBorders>
          </w:tcPr>
          <w:p w14:paraId="184B2E11" w14:textId="77777777" w:rsidR="00C764E7" w:rsidRPr="00C764E7" w:rsidRDefault="00C764E7" w:rsidP="00C764E7">
            <w:pPr>
              <w:pStyle w:val="Alcm"/>
              <w:rPr>
                <w:sz w:val="12"/>
                <w:szCs w:val="12"/>
              </w:rPr>
            </w:pPr>
            <w:proofErr w:type="spellStart"/>
            <w:r w:rsidRPr="00C764E7">
              <w:rPr>
                <w:sz w:val="12"/>
                <w:szCs w:val="12"/>
              </w:rPr>
              <w:t>Nikolausz</w:t>
            </w:r>
            <w:proofErr w:type="spellEnd"/>
            <w:r w:rsidRPr="00C764E7">
              <w:rPr>
                <w:sz w:val="12"/>
                <w:szCs w:val="12"/>
              </w:rPr>
              <w:t xml:space="preserve"> Kopernikusz</w:t>
            </w:r>
          </w:p>
        </w:tc>
      </w:tr>
    </w:tbl>
    <w:p w14:paraId="2BB85F3C" w14:textId="77777777" w:rsidR="00EE7FCD" w:rsidRDefault="00EE7FCD" w:rsidP="001A6734">
      <w:r>
        <w:t>Galileo Galilei Pisában (</w:t>
      </w:r>
      <w:proofErr w:type="spellStart"/>
      <w:r>
        <w:t>Toszkánai</w:t>
      </w:r>
      <w:proofErr w:type="spellEnd"/>
      <w:r>
        <w:t xml:space="preserve"> Nagyhercegség) látta meg a napvilágot 1564-ben, </w:t>
      </w:r>
      <w:proofErr w:type="spellStart"/>
      <w:r>
        <w:t>Giulia</w:t>
      </w:r>
      <w:proofErr w:type="spellEnd"/>
      <w:r>
        <w:t xml:space="preserve"> </w:t>
      </w:r>
      <w:proofErr w:type="spellStart"/>
      <w:r>
        <w:t>Ammannati</w:t>
      </w:r>
      <w:proofErr w:type="spellEnd"/>
      <w: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14:paraId="5B2A5577" w14:textId="77777777" w:rsidR="00EE7FCD" w:rsidRDefault="00EE7FCD" w:rsidP="00EE7FCD">
      <w:r>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14:paraId="021DA551" w14:textId="77777777" w:rsidR="00EE7FCD" w:rsidRDefault="00EE7FCD" w:rsidP="00706DB1">
      <w:pPr>
        <w:pStyle w:val="Cmsor2"/>
      </w:pPr>
      <w:bookmarkStart w:id="2" w:name="_Toc85033451"/>
      <w:r>
        <w:t>Munkássága</w:t>
      </w:r>
      <w:bookmarkEnd w:id="2"/>
    </w:p>
    <w:p w14:paraId="465BBF96" w14:textId="77777777" w:rsidR="00EE7FCD" w:rsidRDefault="00EE7FCD" w:rsidP="00EE7FCD">
      <w:r>
        <w:t>C</w:t>
      </w:r>
      <w:r w:rsidRPr="00706DB1">
        <w:rPr>
          <w:rStyle w:val="CmChar"/>
        </w:rPr>
        <w:t>sillagászat</w:t>
      </w:r>
    </w:p>
    <w:p w14:paraId="48D1A8F2" w14:textId="77777777" w:rsidR="00EE7FCD" w:rsidRDefault="00EE7FCD" w:rsidP="00EE7FCD">
      <w:r>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t>Sidereus</w:t>
      </w:r>
      <w:proofErr w:type="spellEnd"/>
      <w:r>
        <w:t xml:space="preserve"> Nuncius (Csillagászati Hírnök) című rövid értekezésében, melyet maga illusztrált. Így Galilei volt az első, aki írásos műben számolt be távcsöves csillagászati megfigyeléseiről. Ennek 400 éves évfordulójára a 2009-es évet a Csillagászat Nemzetközi Évévé nyilvánította az ENSZ.</w:t>
      </w:r>
    </w:p>
    <w:p w14:paraId="2E4B3963" w14:textId="77777777" w:rsidR="00EE7FCD" w:rsidRDefault="00EE7FCD" w:rsidP="00EE7FCD">
      <w:r>
        <w:t xml:space="preserve">1610. január 7-én Galilei felfedezett a Jupiter négy nagy holdja közül hármat: az Iót, az </w:t>
      </w:r>
      <w:proofErr w:type="spellStart"/>
      <w:r>
        <w:t>Európét</w:t>
      </w:r>
      <w:proofErr w:type="spellEnd"/>
      <w:r>
        <w:t xml:space="preserve"> és a </w:t>
      </w:r>
      <w:proofErr w:type="spellStart"/>
      <w:r>
        <w:t>Kallisztót</w:t>
      </w:r>
      <w:proofErr w:type="spellEnd"/>
      <w:r>
        <w:t xml:space="preserve">. Pár nappal később a Ganümédészt is sikerült feljegyeznie. Rájött, hogy ezek a holdak </w:t>
      </w:r>
      <w:r>
        <w:lastRenderedPageBreak/>
        <w:t>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14:paraId="16E54CE8" w14:textId="77777777" w:rsidR="00EE7FCD" w:rsidRDefault="00EE7FCD" w:rsidP="00EE7FCD">
      <w:r>
        <w:t>A Szaturnusz gyűrűit is ő észlelte először, de rajzain a gyűrűt a bolygó mellett két szemközti oldalon álló holdként ábrázolta, tehát megfigyelte ugyan a gyűrűt, de annak természetét nem ismerte fel.</w:t>
      </w:r>
    </w:p>
    <w:p w14:paraId="75C40DC3" w14:textId="77777777" w:rsidR="00EE7FCD" w:rsidRDefault="00EE7FCD" w:rsidP="00EE7FCD">
      <w: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14:paraId="7D50D57E" w14:textId="77777777" w:rsidR="00EE7FCD" w:rsidRDefault="00EE7FCD" w:rsidP="00EE7FCD">
      <w:r>
        <w:t xml:space="preserve">Galilei volt az első az európaiak közül, akik napfoltokat figyeltek meg, bár a kínai csillagászok ezt már bizonyíthatóan korábban megtették. A napfoltok léte egy másik problémát vetett fel a régebbi filozófia által tökéletesnek hitt „menny” fogalmával. Továbbá a mozgásukban megfigyelt évenkénti változás – először Francesco </w:t>
      </w:r>
      <w:proofErr w:type="spellStart"/>
      <w:r>
        <w:t>Sizzi</w:t>
      </w:r>
      <w:proofErr w:type="spellEnd"/>
      <w:r>
        <w:t xml:space="preserve"> jegyezte le – hatalmas </w:t>
      </w:r>
      <w:proofErr w:type="gramStart"/>
      <w:r>
        <w:t>eltéréseket mutatott</w:t>
      </w:r>
      <w:proofErr w:type="gramEnd"/>
      <w:r>
        <w:t xml:space="preserve"> a Föld-középpontú világnézettől és </w:t>
      </w:r>
      <w:proofErr w:type="spellStart"/>
      <w:r>
        <w:t>Tycho</w:t>
      </w:r>
      <w:proofErr w:type="spellEnd"/>
      <w:r>
        <w:t xml:space="preserve"> </w:t>
      </w:r>
      <w:proofErr w:type="spellStart"/>
      <w:r>
        <w:t>Brahétől</w:t>
      </w:r>
      <w:proofErr w:type="spellEnd"/>
      <w:r>
        <w:t xml:space="preserve">. A napfoltok felfedezése körüli vita hosszú és zord viszályhoz vezetett Christoph </w:t>
      </w:r>
      <w:proofErr w:type="spellStart"/>
      <w:r>
        <w:t>Scheinerrel</w:t>
      </w:r>
      <w:proofErr w:type="spellEnd"/>
      <w:r>
        <w:t xml:space="preserve">, valamint David </w:t>
      </w:r>
      <w:proofErr w:type="spellStart"/>
      <w:r>
        <w:t>Fabriciusszal</w:t>
      </w:r>
      <w:proofErr w:type="spellEnd"/>
      <w:r>
        <w:t xml:space="preserve"> és a fiával, Johannesszel.</w:t>
      </w:r>
    </w:p>
    <w:p w14:paraId="211B3318" w14:textId="77777777" w:rsidR="00EE7FCD" w:rsidRDefault="00EE7FCD" w:rsidP="00EE7FCD">
      <w: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14:paraId="2B83DDFC" w14:textId="77777777" w:rsidR="00EE7FCD" w:rsidRDefault="00EE7FCD" w:rsidP="00EE7FCD">
      <w:r>
        <w:t>Galilei távcsövével megállapította, hogy a szabad szemmel folytonosnak látszó Tejút csillagok sokaságából áll. Ezzel egy régi vitát döntött el. Azonosított sok más csillagot, amelyek szabad szemmel nem, vagy nehezen láthatóak.</w:t>
      </w:r>
    </w:p>
    <w:p w14:paraId="7CE7E436" w14:textId="77777777" w:rsidR="00EE7FCD" w:rsidRDefault="00EE7FCD" w:rsidP="00EE7FCD">
      <w: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t>Kowal</w:t>
      </w:r>
      <w:proofErr w:type="spellEnd"/>
      <w:r>
        <w:t xml:space="preserve"> és S. Drake kutatásaik közben felfedezték azokat.)</w:t>
      </w:r>
    </w:p>
    <w:p w14:paraId="672AD963" w14:textId="642EE457" w:rsidR="00EE7FCD" w:rsidRDefault="00EE7FCD" w:rsidP="00706DB1">
      <w:pPr>
        <w:pStyle w:val="Cm"/>
      </w:pPr>
      <w:bookmarkStart w:id="3" w:name="_Toc85033452"/>
      <w:r>
        <w:t>Fizika</w:t>
      </w:r>
      <w:bookmarkEnd w:id="3"/>
    </w:p>
    <w:p w14:paraId="71E288D9" w14:textId="53E06866" w:rsidR="00EE7FCD" w:rsidRDefault="00EE7FCD" w:rsidP="00EE7FCD">
      <w:r>
        <w:t xml:space="preserve">Galilei elméleti és gyakorlati munkája a testek mozgásán, Kepler és Descartes független tevékenységével együtt, a Newton által később felfedezett klasszikus mechanika </w:t>
      </w:r>
      <w:proofErr w:type="spellStart"/>
      <w:r>
        <w:t>előfutára</w:t>
      </w:r>
      <w:proofErr w:type="spellEnd"/>
      <w:r>
        <w:t xml:space="preserve"> volt. Úttörő volt, mivel az európai hagyományoktól eltérően precíz kísérleteket hajtott végre, ragaszkodva a természet szabályainak matematikai leírásához.</w:t>
      </w:r>
    </w:p>
    <w:p w14:paraId="1AA8DD87" w14:textId="52AB304B" w:rsidR="00EE7FCD" w:rsidRDefault="00EE7FCD" w:rsidP="00EE7FCD">
      <w: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t>Viviani</w:t>
      </w:r>
      <w:proofErr w:type="spellEnd"/>
      <w: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14:paraId="5B473EB6" w14:textId="28D1F86D" w:rsidR="00EE7FCD" w:rsidRDefault="00EE7FCD" w:rsidP="00EE7FCD">
      <w:r>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t>megőrzik</w:t>
      </w:r>
      <w:proofErr w:type="spellEnd"/>
      <w:r>
        <w:t xml:space="preserve"> a sebességüket, amíg egy másik erő – gyakran súrlódási – nem hat rájuk, megcáfolva az elfogadott arisztotelészi hipotézist, miszerint a testek „természetüknél fogva” lelassulnak és megállnak, ha nem hat rájuk erő. Ez az alapelv testesítette meg Newton első mozgástörvényét. </w:t>
      </w:r>
    </w:p>
    <w:p w14:paraId="573DAE92" w14:textId="2D38FE2F" w:rsidR="00EE7FCD" w:rsidRDefault="00EE7FCD" w:rsidP="00EE7FCD">
      <w:r>
        <w:lastRenderedPageBreak/>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14:paraId="745F0ACD" w14:textId="01C6D285" w:rsidR="00EE7FCD" w:rsidRDefault="00841640" w:rsidP="00EE7FCD">
      <w:r>
        <w:rPr>
          <w:noProof/>
        </w:rPr>
        <mc:AlternateContent>
          <mc:Choice Requires="wps">
            <w:drawing>
              <wp:anchor distT="0" distB="0" distL="114300" distR="114300" simplePos="0" relativeHeight="251663360" behindDoc="1" locked="0" layoutInCell="1" allowOverlap="1" wp14:anchorId="4386F1C9" wp14:editId="635A8BEA">
                <wp:simplePos x="0" y="0"/>
                <wp:positionH relativeFrom="column">
                  <wp:posOffset>3757930</wp:posOffset>
                </wp:positionH>
                <wp:positionV relativeFrom="paragraph">
                  <wp:posOffset>2897505</wp:posOffset>
                </wp:positionV>
                <wp:extent cx="2361565" cy="635"/>
                <wp:effectExtent l="0" t="0" r="0" b="0"/>
                <wp:wrapTight wrapText="bothSides">
                  <wp:wrapPolygon edited="0">
                    <wp:start x="0" y="0"/>
                    <wp:lineTo x="0" y="21600"/>
                    <wp:lineTo x="21600" y="21600"/>
                    <wp:lineTo x="21600" y="0"/>
                  </wp:wrapPolygon>
                </wp:wrapTight>
                <wp:docPr id="5" name="Szövegdoboz 5"/>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0FC0F60E" w14:textId="45DB12BC" w:rsidR="00841640" w:rsidRPr="00841640" w:rsidRDefault="00841640" w:rsidP="00841640">
                            <w:pPr>
                              <w:ind w:firstLine="0"/>
                              <w:jc w:val="center"/>
                              <w:rPr>
                                <w:i/>
                                <w:iCs/>
                                <w:noProof/>
                              </w:rPr>
                            </w:pPr>
                            <w:r w:rsidRPr="00841640">
                              <w:rPr>
                                <w:i/>
                                <w:iCs/>
                              </w:rPr>
                              <w:t>Szabadesés Galilei előtt és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6F1C9" id="Szövegdoboz 5" o:spid="_x0000_s1027" type="#_x0000_t202" style="position:absolute;left:0;text-align:left;margin-left:295.9pt;margin-top:228.15pt;width:18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" stroked="f">
                <v:textbox style="mso-fit-shape-to-text:t" inset="0,0,0,0">
                  <w:txbxContent>
                    <w:p w14:paraId="0FC0F60E" w14:textId="45DB12BC" w:rsidR="00841640" w:rsidRPr="00841640" w:rsidRDefault="00841640" w:rsidP="00841640">
                      <w:pPr>
                        <w:ind w:firstLine="0"/>
                        <w:jc w:val="center"/>
                        <w:rPr>
                          <w:i/>
                          <w:iCs/>
                          <w:noProof/>
                        </w:rPr>
                      </w:pPr>
                      <w:r w:rsidRPr="00841640">
                        <w:rPr>
                          <w:i/>
                          <w:iCs/>
                        </w:rPr>
                        <w:t>Szabadesés Galilei előtt és után</w:t>
                      </w:r>
                    </w:p>
                  </w:txbxContent>
                </v:textbox>
                <w10:wrap type="tight"/>
              </v:shape>
            </w:pict>
          </mc:Fallback>
        </mc:AlternateContent>
      </w:r>
      <w:r>
        <w:rPr>
          <w:noProof/>
        </w:rPr>
        <w:drawing>
          <wp:anchor distT="0" distB="0" distL="114300" distR="114300" simplePos="0" relativeHeight="251661312" behindDoc="1" locked="0" layoutInCell="1" allowOverlap="1" wp14:anchorId="590C0C33" wp14:editId="64986C5A">
            <wp:simplePos x="0" y="0"/>
            <wp:positionH relativeFrom="margin">
              <wp:align>right</wp:align>
            </wp:positionH>
            <wp:positionV relativeFrom="paragraph">
              <wp:posOffset>680995</wp:posOffset>
            </wp:positionV>
            <wp:extent cx="2361565" cy="2159635"/>
            <wp:effectExtent l="0" t="0" r="635" b="0"/>
            <wp:wrapTight wrapText="bothSides">
              <wp:wrapPolygon edited="0">
                <wp:start x="0" y="0"/>
                <wp:lineTo x="0" y="21340"/>
                <wp:lineTo x="21432" y="21340"/>
                <wp:lineTo x="21432"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FCD">
        <w:t xml:space="preserve">Az 1600-as évek elején Galilei és egy társa megpróbálta megmérni a fény sebességét. Mindketten egy hegytetőn álltak redőnyös lámpát tartva. Galilei kinyitotta a redőnyt, </w:t>
      </w:r>
      <w:proofErr w:type="gramStart"/>
      <w:r w:rsidR="00EE7FCD">
        <w:t>majd</w:t>
      </w:r>
      <w:proofErr w:type="gramEnd"/>
      <w:r w:rsidR="00EE7FCD">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14:paraId="7D2E4CA9" w14:textId="152734D5" w:rsidR="00EE7FCD" w:rsidRDefault="00EE7FCD" w:rsidP="00EE7FCD">
      <w:r>
        <w:t>Kevesebben tudják, hogy ő is azon elsők között volt, akik rájöttek: a hangnak is van frekvenciája. Miután két vésőt különböző sebességgel dörzsölt össze, kapcsolatot talált a hangmagasság és a vésők rezgése között (frekvencia).</w:t>
      </w:r>
    </w:p>
    <w:p w14:paraId="743FE8B3" w14:textId="77777777" w:rsidR="00EE7FCD" w:rsidRDefault="00EE7FCD" w:rsidP="00EE7FCD">
      <w:r>
        <w:t>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elhanyagolhatóak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14:paraId="52CF1E3A" w14:textId="77777777" w:rsidR="00EE7FCD" w:rsidRDefault="00EE7FCD" w:rsidP="00EE7FCD">
      <w:r>
        <w:t>Galilei előrelépett a klasszikus relativitáselméletben is. Eszerint senki sem tudja egy test sebességét megállapítani viszonyítási pont nélkül. Később ezt fejlesztette tovább Einstein is.</w:t>
      </w:r>
    </w:p>
    <w:p w14:paraId="6EC77301" w14:textId="77777777" w:rsidR="00EE7FCD" w:rsidRDefault="00EE7FCD" w:rsidP="00706DB1">
      <w:pPr>
        <w:pStyle w:val="Cm"/>
      </w:pPr>
      <w:bookmarkStart w:id="4" w:name="_Toc85033453"/>
      <w:r>
        <w:t>Matematika</w:t>
      </w:r>
      <w:bookmarkEnd w:id="4"/>
    </w:p>
    <w:p w14:paraId="7493E8B1" w14:textId="77777777" w:rsidR="00EE7FCD" w:rsidRDefault="00EE7FCD" w:rsidP="00EE7FCD">
      <w:r>
        <w:t xml:space="preserve">Miközben Galilei matematikai alkalmazásai a kísérleti fizikában újítók voltak, a matematikai eljárásai hétköznapinak mondhatók. Az analízisei és a bizonyításai az Elemek ötödik könyvében leírt </w:t>
      </w:r>
      <w:proofErr w:type="spellStart"/>
      <w:r>
        <w:t>eudoxoszi</w:t>
      </w:r>
      <w:proofErr w:type="spellEnd"/>
      <w:r>
        <w:t xml:space="preserve"> elképzeléseken alapultak. Ez az elmélet csak egy századdal korábban vált elérhetővé, </w:t>
      </w:r>
      <w:proofErr w:type="spellStart"/>
      <w:r>
        <w:t>Tartaglia</w:t>
      </w:r>
      <w:proofErr w:type="spellEnd"/>
      <w:r>
        <w:t xml:space="preserve"> és a többiek pontos fordításának köszönhetően, de Galilei élete végére Descartes munkásságának köszönhetően túlhaladottá vált.</w:t>
      </w:r>
    </w:p>
    <w:p w14:paraId="6952CDE7" w14:textId="77777777" w:rsidR="00EE7FCD" w:rsidRDefault="00EE7FCD" w:rsidP="00EE7FCD">
      <w:r>
        <w:t xml:space="preserve">Galilei alkotott újat is a matematikában. Megmutatta: noha a legtöbb egész nem négyzetszám, mégis ugyanannyi egész van, mint négyzetszám. A feltételezett ellentmondást 250 évvel később Georg </w:t>
      </w:r>
      <w:proofErr w:type="spellStart"/>
      <w:r>
        <w:t>Cantor</w:t>
      </w:r>
      <w:proofErr w:type="spellEnd"/>
      <w:r>
        <w:t xml:space="preserve"> oldotta fel.</w:t>
      </w:r>
    </w:p>
    <w:p w14:paraId="28B1FDA5" w14:textId="77777777" w:rsidR="00EE7FCD" w:rsidRDefault="00EE7FCD" w:rsidP="00706DB1">
      <w:pPr>
        <w:pStyle w:val="Cm"/>
      </w:pPr>
      <w:bookmarkStart w:id="5" w:name="_Toc85033454"/>
      <w:r>
        <w:t>Filozófia</w:t>
      </w:r>
      <w:bookmarkEnd w:id="5"/>
    </w:p>
    <w:p w14:paraId="4F5C7DE7" w14:textId="77777777" w:rsidR="00EE7FCD" w:rsidRDefault="00EE7FCD" w:rsidP="00EE7FCD">
      <w:r>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14:paraId="2A56F464" w14:textId="77777777" w:rsidR="00EE7FCD" w:rsidRDefault="00EE7FCD" w:rsidP="00EE7FCD">
      <w:r>
        <w:t>A fizikai jelenségek megismerésének módja az elemzés (</w:t>
      </w:r>
      <w:proofErr w:type="spellStart"/>
      <w:r>
        <w:t>metodo</w:t>
      </w:r>
      <w:proofErr w:type="spellEnd"/>
      <w:r>
        <w:t xml:space="preserve"> </w:t>
      </w:r>
      <w:proofErr w:type="spellStart"/>
      <w:r>
        <w:t>risolutivo</w:t>
      </w:r>
      <w:proofErr w:type="spellEnd"/>
      <w:r>
        <w:t>) és a szintézis (</w:t>
      </w:r>
      <w:proofErr w:type="spellStart"/>
      <w:r>
        <w:t>metodo</w:t>
      </w:r>
      <w:proofErr w:type="spellEnd"/>
      <w:r>
        <w:t xml:space="preserve"> </w:t>
      </w:r>
      <w:proofErr w:type="spellStart"/>
      <w:r>
        <w:t>composito</w:t>
      </w:r>
      <w:proofErr w:type="spellEnd"/>
      <w:r>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14:paraId="64EA6243" w14:textId="77777777" w:rsidR="00EE7FCD" w:rsidRDefault="00EE7FCD" w:rsidP="00EE7FCD">
      <w:r>
        <w:t xml:space="preserve">Az érzetminőségeknek, az ún. szekunderkvalitásoknak nem tulajdonított valóságos létet. Démokritosz nyomán állította, hogy a minőségi tulajdonságok „látszat szerintiek”, s ezeket az ún. elsődleges minőségre, a kiterjedésre vezeti vissza. A „kiterjedéssel bíró mozgó testet” tekinti realitásnak. </w:t>
      </w:r>
      <w:r>
        <w:lastRenderedPageBreak/>
        <w:t>Nem veszi azonban észre, hogy a mozgó testet végeredményben ugyanúgy érzékeljük, mint a szekunderkvalitásokat. Filozófiájának materialista tartalma Descartes (</w:t>
      </w:r>
      <w:proofErr w:type="spellStart"/>
      <w:r>
        <w:t>res</w:t>
      </w:r>
      <w:proofErr w:type="spellEnd"/>
      <w:r>
        <w:t xml:space="preserve"> </w:t>
      </w:r>
      <w:proofErr w:type="spellStart"/>
      <w:r>
        <w:t>extensa</w:t>
      </w:r>
      <w:proofErr w:type="spellEnd"/>
      <w:r>
        <w:t>), az empiristák (a szellemi szubsztancia tagadása), Kant (a realitás megismerhetőségének tagadása) rendszerében is tetten érhető.</w:t>
      </w:r>
    </w:p>
    <w:p w14:paraId="0EC89E8D" w14:textId="77777777" w:rsidR="00EE7FCD" w:rsidRDefault="00EE7FCD" w:rsidP="00706DB1">
      <w:pPr>
        <w:pStyle w:val="Cmsor2"/>
      </w:pPr>
      <w:bookmarkStart w:id="6" w:name="_Toc85033455"/>
      <w:r>
        <w:t>Pere</w:t>
      </w:r>
      <w:bookmarkEnd w:id="6"/>
    </w:p>
    <w:p w14:paraId="41774484" w14:textId="77777777" w:rsidR="00EE7FCD" w:rsidRDefault="00EE7FCD" w:rsidP="00EE7FCD">
      <w:r>
        <w:t>A per előtti évek</w:t>
      </w:r>
    </w:p>
    <w:p w14:paraId="178C45C3" w14:textId="77777777" w:rsidR="00EE7FCD" w:rsidRDefault="00EE7FCD" w:rsidP="00EE7FCD">
      <w: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t>modellt</w:t>
      </w:r>
      <w:proofErr w:type="gramEnd"/>
      <w:r>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t>Benedetto</w:t>
      </w:r>
      <w:proofErr w:type="spellEnd"/>
      <w:r>
        <w:t xml:space="preserve"> </w:t>
      </w:r>
      <w:proofErr w:type="spellStart"/>
      <w:r>
        <w:t>Castelli</w:t>
      </w:r>
      <w:proofErr w:type="spellEnd"/>
      <w:r>
        <w:t xml:space="preserve"> matematikus levélben értesítette Galileit a beszélgetésről, az egyik tanár pedig részletesen is beszámolt neki az ellenvetésekről. Galilei december 21-én hosszú levelet küldött </w:t>
      </w:r>
      <w:proofErr w:type="spellStart"/>
      <w:r>
        <w:t>Castellinek</w:t>
      </w:r>
      <w:proofErr w:type="spellEnd"/>
      <w:r>
        <w:t xml:space="preserve">. Ebben fejtette ki először nézetét a szerinte helyes írásmagyarázatról a természeti jelenségekkel kapcsolatban és Kopernikusz elméletéről. </w:t>
      </w:r>
      <w:proofErr w:type="spellStart"/>
      <w:r>
        <w:t>Castelli</w:t>
      </w:r>
      <w:proofErr w:type="spellEnd"/>
      <w: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t>inquisitio</w:t>
      </w:r>
      <w:proofErr w:type="spellEnd"/>
      <w:r>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14:paraId="7B5CFA17" w14:textId="77777777" w:rsidR="00EE7FCD" w:rsidRDefault="00EE7FCD" w:rsidP="00EE7FCD">
      <w:r>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t>Maffeo</w:t>
      </w:r>
      <w:proofErr w:type="spellEnd"/>
      <w:r>
        <w:t xml:space="preserve"> </w:t>
      </w:r>
      <w:proofErr w:type="spellStart"/>
      <w:r>
        <w:t>Barberini</w:t>
      </w:r>
      <w:proofErr w:type="spellEnd"/>
      <w:r>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14:paraId="38F343A9" w14:textId="77777777" w:rsidR="00EE7FCD" w:rsidRDefault="00EE7FCD" w:rsidP="00706DB1">
      <w:pPr>
        <w:pStyle w:val="Cm"/>
      </w:pPr>
      <w:bookmarkStart w:id="7" w:name="_Toc85033456"/>
      <w:r>
        <w:t>A per közvetlen előzményei</w:t>
      </w:r>
      <w:bookmarkEnd w:id="7"/>
    </w:p>
    <w:p w14:paraId="6777753F" w14:textId="77777777" w:rsidR="00EE7FCD" w:rsidRDefault="00EE7FCD" w:rsidP="00EE7FCD">
      <w:r>
        <w:t xml:space="preserve">1623-ban a pápai trónra VIII. Orbán pápa néven </w:t>
      </w:r>
      <w:proofErr w:type="spellStart"/>
      <w:r>
        <w:t>Barberini</w:t>
      </w:r>
      <w:proofErr w:type="spellEnd"/>
      <w:r>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14:paraId="6CD9DD55" w14:textId="77777777" w:rsidR="00EE7FCD" w:rsidRDefault="00EE7FCD" w:rsidP="00EE7FCD">
      <w:r>
        <w:t xml:space="preserve">Kéziratát 1630-ban vitte el Rómába, hogy kiadásához megkapja az egyházi engedélyt. A cenzorral, </w:t>
      </w:r>
      <w:proofErr w:type="spellStart"/>
      <w:r>
        <w:t>Riccardival</w:t>
      </w:r>
      <w:proofErr w:type="spellEnd"/>
      <w:r>
        <w:t xml:space="preserve"> sokáig egyezkedett, de a második </w:t>
      </w:r>
      <w:proofErr w:type="spellStart"/>
      <w:r>
        <w:t>újraolvasást</w:t>
      </w:r>
      <w:proofErr w:type="spellEnd"/>
      <w:r>
        <w:t xml:space="preserve"> Galilei már nem várta meg </w:t>
      </w:r>
      <w:r>
        <w:lastRenderedPageBreak/>
        <w:t xml:space="preserve">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t>Dialogo</w:t>
      </w:r>
      <w:proofErr w:type="spellEnd"/>
      <w:r>
        <w:t xml:space="preserve">: </w:t>
      </w:r>
      <w:proofErr w:type="spellStart"/>
      <w:r>
        <w:t>sopra</w:t>
      </w:r>
      <w:proofErr w:type="spellEnd"/>
      <w:r>
        <w:t xml:space="preserve"> i </w:t>
      </w:r>
      <w:proofErr w:type="spellStart"/>
      <w:r>
        <w:t>due</w:t>
      </w:r>
      <w:proofErr w:type="spellEnd"/>
      <w:r>
        <w:t xml:space="preserve"> </w:t>
      </w:r>
      <w:proofErr w:type="spellStart"/>
      <w:r>
        <w:t>massimi</w:t>
      </w:r>
      <w:proofErr w:type="spellEnd"/>
      <w:r>
        <w:t xml:space="preserve"> </w:t>
      </w:r>
      <w:proofErr w:type="spellStart"/>
      <w:r>
        <w:t>sistemi</w:t>
      </w:r>
      <w:proofErr w:type="spellEnd"/>
      <w:r>
        <w:t xml:space="preserve"> </w:t>
      </w:r>
      <w:proofErr w:type="spellStart"/>
      <w:r>
        <w:t>del</w:t>
      </w:r>
      <w:proofErr w:type="spellEnd"/>
      <w:r>
        <w:t xml:space="preserve"> </w:t>
      </w:r>
      <w:proofErr w:type="spellStart"/>
      <w:r>
        <w:t>mondo</w:t>
      </w:r>
      <w:proofErr w:type="spellEnd"/>
      <w:r>
        <w:t xml:space="preserve"> </w:t>
      </w:r>
      <w:proofErr w:type="spellStart"/>
      <w:r>
        <w:t>tolemaico</w:t>
      </w:r>
      <w:proofErr w:type="spellEnd"/>
      <w:r>
        <w:t xml:space="preserve">, e </w:t>
      </w:r>
      <w:proofErr w:type="spellStart"/>
      <w:r>
        <w:t>copernicano</w:t>
      </w:r>
      <w:proofErr w:type="spellEnd"/>
      <w:r>
        <w:t xml:space="preserve"> (Párbeszédek: a két legnagyobb világrendszerről, a ptolemaiosziról és a kopernikusziról) című mű az inkvizíció engedélyével 1632-ben meg is jelent Firenzében.</w:t>
      </w:r>
    </w:p>
    <w:p w14:paraId="7D0CF1D9" w14:textId="77777777" w:rsidR="00EE7FCD" w:rsidRDefault="00EE7FCD" w:rsidP="00EE7FCD">
      <w: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t>Simplicius</w:t>
      </w:r>
      <w:proofErr w:type="spellEnd"/>
      <w: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14:paraId="74A7084A" w14:textId="77777777" w:rsidR="00EE7FCD" w:rsidRDefault="00EE7FCD" w:rsidP="00706DB1">
      <w:pPr>
        <w:pStyle w:val="Cm"/>
      </w:pPr>
      <w:bookmarkStart w:id="8" w:name="_Toc85033457"/>
      <w:r>
        <w:t>A per</w:t>
      </w:r>
      <w:bookmarkEnd w:id="8"/>
    </w:p>
    <w:p w14:paraId="46F605D4" w14:textId="77777777" w:rsidR="00EE7FCD" w:rsidRDefault="00EE7FCD" w:rsidP="00EE7FCD">
      <w:r>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t>kiéleződtek</w:t>
      </w:r>
      <w:proofErr w:type="spellEnd"/>
      <w:r>
        <w:t xml:space="preserve"> Európában. A kihallgatások ideje alatt Galilei háromszobás lakást kapott, két segítővel és teljes ellátással. Michael </w:t>
      </w:r>
      <w:proofErr w:type="spellStart"/>
      <w:r>
        <w:t>Hesemann</w:t>
      </w:r>
      <w:proofErr w:type="spellEnd"/>
      <w: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t>Eppur</w:t>
      </w:r>
      <w:proofErr w:type="spellEnd"/>
      <w:r>
        <w:t xml:space="preserve"> </w:t>
      </w:r>
      <w:proofErr w:type="spellStart"/>
      <w:r>
        <w:t>si</w:t>
      </w:r>
      <w:proofErr w:type="spellEnd"/>
      <w:r>
        <w:t xml:space="preserve"> </w:t>
      </w:r>
      <w:proofErr w:type="spellStart"/>
      <w:r>
        <w:t>muove</w:t>
      </w:r>
      <w:proofErr w:type="spellEnd"/>
      <w:r>
        <w:t xml:space="preserve">!” („Mégis mozog!”). Michael </w:t>
      </w:r>
      <w:proofErr w:type="spellStart"/>
      <w:r>
        <w:t>Heseman</w:t>
      </w:r>
      <w:proofErr w:type="spellEnd"/>
      <w:r>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nem védi a heliocentrikus rendszert. Az ítélet életfogytiglani házi őrizet volt. Vezeklésül arra kötelezték, hogy három éven át minden héten olvassa el a bűnbánati zsoltárt. Az ítéletet tízből három bíboros nem írta alá, köztük a pápa unokaöccse sem.</w:t>
      </w:r>
    </w:p>
    <w:p w14:paraId="674A7519" w14:textId="77777777" w:rsidR="00EE7FCD" w:rsidRDefault="00EE7FCD" w:rsidP="00706DB1">
      <w:pPr>
        <w:pStyle w:val="Cm"/>
      </w:pPr>
      <w:bookmarkStart w:id="9" w:name="_Toc85033458"/>
      <w:r>
        <w:t>Az ítélet</w:t>
      </w:r>
      <w:bookmarkEnd w:id="9"/>
    </w:p>
    <w:p w14:paraId="2E7B2D2E" w14:textId="77777777" w:rsidR="00EE7FCD" w:rsidRDefault="00EE7FCD" w:rsidP="00EE7FCD">
      <w:r>
        <w:t>Az ítéletnek három fő pontja volt:</w:t>
      </w:r>
    </w:p>
    <w:p w14:paraId="4681032B" w14:textId="77777777" w:rsidR="00EE7FCD" w:rsidRDefault="00EE7FCD" w:rsidP="00841640">
      <w:pPr>
        <w:pStyle w:val="Listaszerbekezds"/>
        <w:numPr>
          <w:ilvl w:val="0"/>
          <w:numId w:val="1"/>
        </w:numPr>
      </w:pPr>
      <w:r>
        <w:t>Galileit kötelezték heliocentrikus tanainak visszavonására</w:t>
      </w:r>
    </w:p>
    <w:p w14:paraId="5E637112" w14:textId="77777777" w:rsidR="00EE7FCD" w:rsidRDefault="00EE7FCD" w:rsidP="00841640">
      <w:pPr>
        <w:pStyle w:val="Listaszerbekezds"/>
        <w:numPr>
          <w:ilvl w:val="0"/>
          <w:numId w:val="1"/>
        </w:numPr>
      </w:pPr>
      <w:r>
        <w:t>Börtönbüntetésre ítélték, mely ítéletet később házi őrizetre változtattak</w:t>
      </w:r>
    </w:p>
    <w:p w14:paraId="27F5A153" w14:textId="77777777" w:rsidR="00EE7FCD" w:rsidRDefault="00EE7FCD" w:rsidP="00841640">
      <w:pPr>
        <w:pStyle w:val="Listaszerbekezds"/>
        <w:numPr>
          <w:ilvl w:val="0"/>
          <w:numId w:val="1"/>
        </w:numPr>
      </w:pPr>
      <w:r>
        <w:lastRenderedPageBreak/>
        <w:t>Betiltották a „</w:t>
      </w:r>
      <w:proofErr w:type="gramStart"/>
      <w:r>
        <w:t>Párbeszédek”-</w:t>
      </w:r>
      <w:proofErr w:type="spellStart"/>
      <w:proofErr w:type="gramEnd"/>
      <w:r>
        <w:t>et</w:t>
      </w:r>
      <w:proofErr w:type="spellEnd"/>
      <w:r>
        <w:t>, és Galileit eltiltották az írástól. Az ítélet nem nyilvános részében minden művét betiltották, azokat is, amelyeket a jövőben szándékozna kiadni, de az ítélet eme pontját később nem tartatták be</w:t>
      </w:r>
    </w:p>
    <w:p w14:paraId="153AA234" w14:textId="77777777" w:rsidR="00EE7FCD" w:rsidRDefault="00EE7FCD" w:rsidP="00706DB1">
      <w:pPr>
        <w:pStyle w:val="Cm"/>
      </w:pPr>
      <w:bookmarkStart w:id="10" w:name="_Toc85033459"/>
      <w:r>
        <w:t>Galilei esküje</w:t>
      </w:r>
      <w:bookmarkEnd w:id="10"/>
    </w:p>
    <w:p w14:paraId="056D6F73" w14:textId="77777777" w:rsidR="00EE7FCD" w:rsidRDefault="00EE7FCD" w:rsidP="00EE7FCD">
      <w:r>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14:paraId="525937FD" w14:textId="77777777" w:rsidR="00EE7FCD" w:rsidRDefault="00EE7FCD" w:rsidP="0080482A">
      <w:pPr>
        <w:pStyle w:val="Nincstrkz"/>
      </w:pPr>
      <w: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t>ordiariójánál</w:t>
      </w:r>
      <w:proofErr w:type="spellEnd"/>
      <w:r>
        <w:t>, ahol éppen tartózkodom.</w:t>
      </w:r>
    </w:p>
    <w:p w14:paraId="43C5BB01" w14:textId="0F3B1001" w:rsidR="00EE7FCD" w:rsidRDefault="00EE7FCD" w:rsidP="0080482A">
      <w:pPr>
        <w:pStyle w:val="Nincstrkz"/>
      </w:pPr>
      <w: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14:paraId="13A3E3E4" w14:textId="281B8654" w:rsidR="00EE7FCD" w:rsidRDefault="00EE7FCD" w:rsidP="0080482A">
      <w:pPr>
        <w:pStyle w:val="Nincstrkz"/>
      </w:pPr>
      <w:r>
        <w:t xml:space="preserve">Én, a fentnevezett Galileo Galilei esküvel megtagadtam, megesküdtem, megígértem és köteleztem magam, mint fent; és az igazság hiteléül saját kezemmel aláírtam ezen írást az eskümről, és szóról szóra elmondtam Rómában, Minerva kolostorában, a mai napon 1633. június 22-én.” </w:t>
      </w:r>
      <w:r w:rsidR="0080482A">
        <w:rPr>
          <w:rStyle w:val="Lbjegyzet-hivatkozs"/>
        </w:rPr>
        <w:footnoteReference w:id="1"/>
      </w:r>
    </w:p>
    <w:p w14:paraId="116A6318" w14:textId="77777777" w:rsidR="00EE7FCD" w:rsidRDefault="00EE7FCD" w:rsidP="00706DB1">
      <w:pPr>
        <w:pStyle w:val="Cm"/>
      </w:pPr>
      <w:bookmarkStart w:id="11" w:name="_Toc85033460"/>
      <w:r>
        <w:t>Az ítélet többi része</w:t>
      </w:r>
      <w:bookmarkEnd w:id="11"/>
    </w:p>
    <w:p w14:paraId="39684B36" w14:textId="77777777" w:rsidR="00EE7FCD" w:rsidRDefault="00EE7FCD" w:rsidP="00EE7FCD">
      <w:r>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t>Ascanio</w:t>
      </w:r>
      <w:proofErr w:type="spellEnd"/>
      <w:r>
        <w:t xml:space="preserve"> </w:t>
      </w:r>
      <w:proofErr w:type="spellStart"/>
      <w:r>
        <w:t>Piccolomini</w:t>
      </w:r>
      <w:proofErr w:type="spellEnd"/>
      <w:r>
        <w:t xml:space="preserve"> </w:t>
      </w:r>
      <w:proofErr w:type="spellStart"/>
      <w:r>
        <w:t>sienai</w:t>
      </w:r>
      <w:proofErr w:type="spellEnd"/>
      <w:r>
        <w:t xml:space="preserve"> érsek püspöki palotájában </w:t>
      </w:r>
      <w:proofErr w:type="spellStart"/>
      <w:r>
        <w:t>Siená</w:t>
      </w:r>
      <w:proofErr w:type="spellEnd"/>
      <w:r>
        <w:t xml:space="preserve">-ban, mivel Firenzében éppen kitört a pestis. 1633. december 1-jén Galilei visszatért otthonába - a Firenze melletti </w:t>
      </w:r>
      <w:proofErr w:type="spellStart"/>
      <w:r>
        <w:t>Arcetriben</w:t>
      </w:r>
      <w:proofErr w:type="spellEnd"/>
      <w:r>
        <w:t xml:space="preserve"> lévő professzori luxuskúriájába, ahol az elkövetkezendő kilenc évben békében élt 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t>Discorsi</w:t>
      </w:r>
      <w:proofErr w:type="spellEnd"/>
      <w:r>
        <w:t xml:space="preserve"> e </w:t>
      </w:r>
      <w:proofErr w:type="spellStart"/>
      <w:r>
        <w:t>dimostrazioni</w:t>
      </w:r>
      <w:proofErr w:type="spellEnd"/>
      <w:r>
        <w:t xml:space="preserve"> </w:t>
      </w:r>
      <w:proofErr w:type="spellStart"/>
      <w:r>
        <w:t>matematiche</w:t>
      </w:r>
      <w:proofErr w:type="spellEnd"/>
      <w:r>
        <w:t xml:space="preserve"> </w:t>
      </w:r>
      <w:proofErr w:type="spellStart"/>
      <w:r>
        <w:t>intorno</w:t>
      </w:r>
      <w:proofErr w:type="spellEnd"/>
      <w:r>
        <w:t xml:space="preserve"> a </w:t>
      </w:r>
      <w:proofErr w:type="spellStart"/>
      <w:r>
        <w:t>due</w:t>
      </w:r>
      <w:proofErr w:type="spellEnd"/>
      <w:r>
        <w:t xml:space="preserve"> </w:t>
      </w:r>
      <w:proofErr w:type="spellStart"/>
      <w:r>
        <w:t>nuove</w:t>
      </w:r>
      <w:proofErr w:type="spellEnd"/>
      <w:r>
        <w:t xml:space="preserve"> </w:t>
      </w:r>
      <w:proofErr w:type="spellStart"/>
      <w:r>
        <w:t>scienze</w:t>
      </w:r>
      <w:proofErr w:type="spellEnd"/>
      <w: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14:paraId="711A38FF" w14:textId="77777777" w:rsidR="00EE7FCD" w:rsidRDefault="00EE7FCD" w:rsidP="00EE7FCD">
      <w:r>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t>Benzenberg</w:t>
      </w:r>
      <w:proofErr w:type="spellEnd"/>
      <w:r>
        <w:t xml:space="preserve"> (1777–1846) mérte először ki 1802-ben, hogy a függőón felső végétől leejtett test nem a fonal végéhez, hanem attól keletre ér földet. Friedrich Wilhelm </w:t>
      </w:r>
      <w:proofErr w:type="spellStart"/>
      <w:r>
        <w:t>Bessel</w:t>
      </w:r>
      <w:proofErr w:type="spellEnd"/>
      <w:r>
        <w:t xml:space="preserve"> (1784–1846) a híres német matematikus és csillagász először 1837-ben végzett sikeres csillagparallaxis méréseket, amiket a Föld keringésével lehet magyarázni. A zseniális kísérletező </w:t>
      </w:r>
      <w:proofErr w:type="spellStart"/>
      <w:r>
        <w:t>Léon</w:t>
      </w:r>
      <w:proofErr w:type="spellEnd"/>
      <w:r>
        <w:t xml:space="preserve"> Foucault (1819–1868) a híres ingakísérletét 1851-ben végezte a párizsi Pantheonban. Ugyancsak ő javasolta a pörgettyűs iránytű megépítését, de a technikai nehézségek miatt ezt csak 1908-ban </w:t>
      </w:r>
      <w:r>
        <w:lastRenderedPageBreak/>
        <w:t>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14:paraId="16097B6F" w14:textId="77777777" w:rsidR="00EE7FCD" w:rsidRDefault="00EE7FCD" w:rsidP="00706DB1">
      <w:pPr>
        <w:pStyle w:val="Cm"/>
      </w:pPr>
      <w:bookmarkStart w:id="12" w:name="_Toc85033461"/>
      <w:r>
        <w:t>A per interpretációi a tudománytörténetben</w:t>
      </w:r>
      <w:bookmarkEnd w:id="12"/>
    </w:p>
    <w:p w14:paraId="04D12147" w14:textId="77777777" w:rsidR="00EE7FCD" w:rsidRDefault="00EE7FCD" w:rsidP="00EE7FCD">
      <w:r>
        <w:t>A későbbi évszázadok tudománytörténetében egyébként Galilei és perének megítélése is állandóan változott.</w:t>
      </w:r>
    </w:p>
    <w:p w14:paraId="65F64D00" w14:textId="3AF2A7DA" w:rsidR="00EE7FCD" w:rsidRDefault="00EE7FCD" w:rsidP="0080482A">
      <w:pPr>
        <w:pStyle w:val="Nincstrkz"/>
      </w:pPr>
      <w:r>
        <w:t xml:space="preserve">„A történetírás a szimbólumokhoz sohasem közeledik teljesen elfogulatlanul.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t>experimentalista</w:t>
      </w:r>
      <w:proofErr w:type="spellEnd"/>
      <w: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t>pörbeni</w:t>
      </w:r>
      <w:proofErr w:type="spellEnd"/>
      <w:r>
        <w:t xml:space="preserve"> szerepét, s a 20. század elején a tudománytörténetírás egyik megalapítója, Pierre </w:t>
      </w:r>
      <w:proofErr w:type="spellStart"/>
      <w:r>
        <w:t>Duhem</w:t>
      </w:r>
      <w:proofErr w:type="spellEnd"/>
      <w:r>
        <w:t xml:space="preserve"> már szinte Galilei ellenfelében, </w:t>
      </w:r>
      <w:proofErr w:type="spellStart"/>
      <w:r>
        <w:t>Bellarmino</w:t>
      </w:r>
      <w:proofErr w:type="spellEnd"/>
      <w: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w:t>
      </w:r>
      <w:r w:rsidR="0080482A">
        <w:rPr>
          <w:rStyle w:val="Lbjegyzet-hivatkozs"/>
        </w:rPr>
        <w:footnoteReference w:id="2"/>
      </w:r>
      <w:r>
        <w:t xml:space="preserve"> </w:t>
      </w:r>
    </w:p>
    <w:p w14:paraId="77290075" w14:textId="29D32CC8" w:rsidR="00706DB1" w:rsidRDefault="00EE7FCD" w:rsidP="00EE7FCD">
      <w:r>
        <w:t xml:space="preserve">Pierre </w:t>
      </w:r>
      <w:proofErr w:type="spellStart"/>
      <w:r>
        <w:t>Duhem</w:t>
      </w:r>
      <w:proofErr w:type="spellEnd"/>
      <w:r>
        <w:t xml:space="preserve"> mellett a tudományfilozófus, Paul </w:t>
      </w:r>
      <w:proofErr w:type="spellStart"/>
      <w:r>
        <w:t>Feyerabend</w:t>
      </w:r>
      <w:proofErr w:type="spellEnd"/>
      <w:r>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 </w:t>
      </w:r>
      <w:proofErr w:type="spellStart"/>
      <w:r>
        <w:t>Hahner</w:t>
      </w:r>
      <w:proofErr w:type="spellEnd"/>
      <w:r>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tudósok, mint Descartes, </w:t>
      </w:r>
      <w:proofErr w:type="spellStart"/>
      <w:r>
        <w:t>Gassendi</w:t>
      </w:r>
      <w:proofErr w:type="spellEnd"/>
      <w:r>
        <w:t xml:space="preserve"> és </w:t>
      </w:r>
      <w:proofErr w:type="spellStart"/>
      <w:r>
        <w:t>Mersenne</w:t>
      </w:r>
      <w:proofErr w:type="spellEnd"/>
      <w:r>
        <w:t xml:space="preserve"> ezt úgy értelmezhették, hogy a heliocentrikus világkép elítélése nem hittétel.”</w:t>
      </w:r>
    </w:p>
    <w:p w14:paraId="2569B073" w14:textId="77777777" w:rsidR="00706DB1" w:rsidRDefault="00706DB1">
      <w:pPr>
        <w:spacing w:after="160" w:line="259" w:lineRule="auto"/>
        <w:ind w:firstLine="0"/>
        <w:jc w:val="left"/>
      </w:pPr>
      <w:r>
        <w:br w:type="page"/>
      </w:r>
    </w:p>
    <w:p w14:paraId="110FE252" w14:textId="77777777" w:rsidR="00706DB1" w:rsidRDefault="00706DB1" w:rsidP="00706DB1">
      <w:pPr>
        <w:pStyle w:val="Cmsor2"/>
      </w:pPr>
      <w:bookmarkStart w:id="13" w:name="_Toc85033462"/>
      <w:r>
        <w:lastRenderedPageBreak/>
        <w:t>Tartalomjegyzék:</w:t>
      </w:r>
      <w:bookmarkEnd w:id="13"/>
    </w:p>
    <w:p w14:paraId="22AB6BFF" w14:textId="6F77E8FF" w:rsidR="00706DB1" w:rsidRDefault="00706DB1">
      <w:pPr>
        <w:pStyle w:val="TJ1"/>
        <w:tabs>
          <w:tab w:val="right" w:leader="dot" w:pos="9628"/>
        </w:tabs>
        <w:rPr>
          <w:rFonts w:asciiTheme="minorHAnsi" w:eastAsiaTheme="minorEastAsia" w:hAnsiTheme="minorHAnsi"/>
          <w:noProof/>
          <w:sz w:val="22"/>
          <w:lang w:eastAsia="hu-HU"/>
        </w:rPr>
      </w:pPr>
      <w:r>
        <w:fldChar w:fldCharType="begin"/>
      </w:r>
      <w:r>
        <w:instrText xml:space="preserve"> TOC \o "1-3" \h \z \t "Cím;4" </w:instrText>
      </w:r>
      <w:r>
        <w:fldChar w:fldCharType="separate"/>
      </w:r>
      <w:hyperlink w:anchor="_Toc85033449" w:history="1">
        <w:r w:rsidRPr="00322C88">
          <w:rPr>
            <w:rStyle w:val="Hiperhivatkozs"/>
            <w:noProof/>
          </w:rPr>
          <w:t>Galileo Galilei</w:t>
        </w:r>
        <w:r>
          <w:rPr>
            <w:noProof/>
            <w:webHidden/>
          </w:rPr>
          <w:tab/>
        </w:r>
        <w:r>
          <w:rPr>
            <w:noProof/>
            <w:webHidden/>
          </w:rPr>
          <w:fldChar w:fldCharType="begin"/>
        </w:r>
        <w:r>
          <w:rPr>
            <w:noProof/>
            <w:webHidden/>
          </w:rPr>
          <w:instrText xml:space="preserve"> PAGEREF _Toc85033449 \h </w:instrText>
        </w:r>
        <w:r>
          <w:rPr>
            <w:noProof/>
            <w:webHidden/>
          </w:rPr>
        </w:r>
        <w:r>
          <w:rPr>
            <w:noProof/>
            <w:webHidden/>
          </w:rPr>
          <w:fldChar w:fldCharType="separate"/>
        </w:r>
        <w:r>
          <w:rPr>
            <w:noProof/>
            <w:webHidden/>
          </w:rPr>
          <w:t>1</w:t>
        </w:r>
        <w:r>
          <w:rPr>
            <w:noProof/>
            <w:webHidden/>
          </w:rPr>
          <w:fldChar w:fldCharType="end"/>
        </w:r>
      </w:hyperlink>
    </w:p>
    <w:p w14:paraId="255ACFB5" w14:textId="591A4530" w:rsidR="00706DB1" w:rsidRDefault="001C59FE">
      <w:pPr>
        <w:pStyle w:val="TJ2"/>
        <w:tabs>
          <w:tab w:val="right" w:leader="dot" w:pos="9628"/>
        </w:tabs>
        <w:rPr>
          <w:rFonts w:asciiTheme="minorHAnsi" w:eastAsiaTheme="minorEastAsia" w:hAnsiTheme="minorHAnsi"/>
          <w:noProof/>
          <w:sz w:val="22"/>
          <w:lang w:eastAsia="hu-HU"/>
        </w:rPr>
      </w:pPr>
      <w:hyperlink w:anchor="_Toc85033450" w:history="1">
        <w:r w:rsidR="00706DB1" w:rsidRPr="00322C88">
          <w:rPr>
            <w:rStyle w:val="Hiperhivatkozs"/>
            <w:noProof/>
          </w:rPr>
          <w:t>Élete</w:t>
        </w:r>
        <w:r w:rsidR="00706DB1">
          <w:rPr>
            <w:noProof/>
            <w:webHidden/>
          </w:rPr>
          <w:tab/>
        </w:r>
        <w:r w:rsidR="00706DB1">
          <w:rPr>
            <w:noProof/>
            <w:webHidden/>
          </w:rPr>
          <w:fldChar w:fldCharType="begin"/>
        </w:r>
        <w:r w:rsidR="00706DB1">
          <w:rPr>
            <w:noProof/>
            <w:webHidden/>
          </w:rPr>
          <w:instrText xml:space="preserve"> PAGEREF _Toc85033450 \h </w:instrText>
        </w:r>
        <w:r w:rsidR="00706DB1">
          <w:rPr>
            <w:noProof/>
            <w:webHidden/>
          </w:rPr>
        </w:r>
        <w:r w:rsidR="00706DB1">
          <w:rPr>
            <w:noProof/>
            <w:webHidden/>
          </w:rPr>
          <w:fldChar w:fldCharType="separate"/>
        </w:r>
        <w:r w:rsidR="00706DB1">
          <w:rPr>
            <w:noProof/>
            <w:webHidden/>
          </w:rPr>
          <w:t>1</w:t>
        </w:r>
        <w:r w:rsidR="00706DB1">
          <w:rPr>
            <w:noProof/>
            <w:webHidden/>
          </w:rPr>
          <w:fldChar w:fldCharType="end"/>
        </w:r>
      </w:hyperlink>
    </w:p>
    <w:p w14:paraId="27DF23D4" w14:textId="79923AB5" w:rsidR="00706DB1" w:rsidRDefault="001C59FE">
      <w:pPr>
        <w:pStyle w:val="TJ2"/>
        <w:tabs>
          <w:tab w:val="right" w:leader="dot" w:pos="9628"/>
        </w:tabs>
        <w:rPr>
          <w:rFonts w:asciiTheme="minorHAnsi" w:eastAsiaTheme="minorEastAsia" w:hAnsiTheme="minorHAnsi"/>
          <w:noProof/>
          <w:sz w:val="22"/>
          <w:lang w:eastAsia="hu-HU"/>
        </w:rPr>
      </w:pPr>
      <w:hyperlink w:anchor="_Toc85033451" w:history="1">
        <w:r w:rsidR="00706DB1" w:rsidRPr="00322C88">
          <w:rPr>
            <w:rStyle w:val="Hiperhivatkozs"/>
            <w:noProof/>
          </w:rPr>
          <w:t>Munkássága</w:t>
        </w:r>
        <w:r w:rsidR="00706DB1">
          <w:rPr>
            <w:noProof/>
            <w:webHidden/>
          </w:rPr>
          <w:tab/>
        </w:r>
        <w:r w:rsidR="00706DB1">
          <w:rPr>
            <w:noProof/>
            <w:webHidden/>
          </w:rPr>
          <w:fldChar w:fldCharType="begin"/>
        </w:r>
        <w:r w:rsidR="00706DB1">
          <w:rPr>
            <w:noProof/>
            <w:webHidden/>
          </w:rPr>
          <w:instrText xml:space="preserve"> PAGEREF _Toc85033451 \h </w:instrText>
        </w:r>
        <w:r w:rsidR="00706DB1">
          <w:rPr>
            <w:noProof/>
            <w:webHidden/>
          </w:rPr>
        </w:r>
        <w:r w:rsidR="00706DB1">
          <w:rPr>
            <w:noProof/>
            <w:webHidden/>
          </w:rPr>
          <w:fldChar w:fldCharType="separate"/>
        </w:r>
        <w:r w:rsidR="00706DB1">
          <w:rPr>
            <w:noProof/>
            <w:webHidden/>
          </w:rPr>
          <w:t>1</w:t>
        </w:r>
        <w:r w:rsidR="00706DB1">
          <w:rPr>
            <w:noProof/>
            <w:webHidden/>
          </w:rPr>
          <w:fldChar w:fldCharType="end"/>
        </w:r>
      </w:hyperlink>
    </w:p>
    <w:p w14:paraId="366E4406" w14:textId="5A817900" w:rsidR="00706DB1" w:rsidRDefault="001C59FE">
      <w:pPr>
        <w:pStyle w:val="TJ4"/>
        <w:tabs>
          <w:tab w:val="right" w:leader="dot" w:pos="9628"/>
        </w:tabs>
        <w:rPr>
          <w:rFonts w:asciiTheme="minorHAnsi" w:eastAsiaTheme="minorEastAsia" w:hAnsiTheme="minorHAnsi"/>
          <w:noProof/>
          <w:sz w:val="22"/>
          <w:lang w:eastAsia="hu-HU"/>
        </w:rPr>
      </w:pPr>
      <w:hyperlink w:anchor="_Toc85033452" w:history="1">
        <w:r w:rsidR="00706DB1" w:rsidRPr="00322C88">
          <w:rPr>
            <w:rStyle w:val="Hiperhivatkozs"/>
            <w:noProof/>
          </w:rPr>
          <w:t>Fizika</w:t>
        </w:r>
        <w:r w:rsidR="00706DB1">
          <w:rPr>
            <w:noProof/>
            <w:webHidden/>
          </w:rPr>
          <w:tab/>
        </w:r>
        <w:r w:rsidR="00706DB1">
          <w:rPr>
            <w:noProof/>
            <w:webHidden/>
          </w:rPr>
          <w:fldChar w:fldCharType="begin"/>
        </w:r>
        <w:r w:rsidR="00706DB1">
          <w:rPr>
            <w:noProof/>
            <w:webHidden/>
          </w:rPr>
          <w:instrText xml:space="preserve"> PAGEREF _Toc85033452 \h </w:instrText>
        </w:r>
        <w:r w:rsidR="00706DB1">
          <w:rPr>
            <w:noProof/>
            <w:webHidden/>
          </w:rPr>
        </w:r>
        <w:r w:rsidR="00706DB1">
          <w:rPr>
            <w:noProof/>
            <w:webHidden/>
          </w:rPr>
          <w:fldChar w:fldCharType="separate"/>
        </w:r>
        <w:r w:rsidR="00706DB1">
          <w:rPr>
            <w:noProof/>
            <w:webHidden/>
          </w:rPr>
          <w:t>2</w:t>
        </w:r>
        <w:r w:rsidR="00706DB1">
          <w:rPr>
            <w:noProof/>
            <w:webHidden/>
          </w:rPr>
          <w:fldChar w:fldCharType="end"/>
        </w:r>
      </w:hyperlink>
    </w:p>
    <w:p w14:paraId="3F346303" w14:textId="29F134D0" w:rsidR="00706DB1" w:rsidRDefault="001C59FE">
      <w:pPr>
        <w:pStyle w:val="TJ4"/>
        <w:tabs>
          <w:tab w:val="right" w:leader="dot" w:pos="9628"/>
        </w:tabs>
        <w:rPr>
          <w:rFonts w:asciiTheme="minorHAnsi" w:eastAsiaTheme="minorEastAsia" w:hAnsiTheme="minorHAnsi"/>
          <w:noProof/>
          <w:sz w:val="22"/>
          <w:lang w:eastAsia="hu-HU"/>
        </w:rPr>
      </w:pPr>
      <w:hyperlink w:anchor="_Toc85033453" w:history="1">
        <w:r w:rsidR="00706DB1" w:rsidRPr="00322C88">
          <w:rPr>
            <w:rStyle w:val="Hiperhivatkozs"/>
            <w:noProof/>
          </w:rPr>
          <w:t>Matematika</w:t>
        </w:r>
        <w:r w:rsidR="00706DB1">
          <w:rPr>
            <w:noProof/>
            <w:webHidden/>
          </w:rPr>
          <w:tab/>
        </w:r>
        <w:r w:rsidR="00706DB1">
          <w:rPr>
            <w:noProof/>
            <w:webHidden/>
          </w:rPr>
          <w:fldChar w:fldCharType="begin"/>
        </w:r>
        <w:r w:rsidR="00706DB1">
          <w:rPr>
            <w:noProof/>
            <w:webHidden/>
          </w:rPr>
          <w:instrText xml:space="preserve"> PAGEREF _Toc85033453 \h </w:instrText>
        </w:r>
        <w:r w:rsidR="00706DB1">
          <w:rPr>
            <w:noProof/>
            <w:webHidden/>
          </w:rPr>
        </w:r>
        <w:r w:rsidR="00706DB1">
          <w:rPr>
            <w:noProof/>
            <w:webHidden/>
          </w:rPr>
          <w:fldChar w:fldCharType="separate"/>
        </w:r>
        <w:r w:rsidR="00706DB1">
          <w:rPr>
            <w:noProof/>
            <w:webHidden/>
          </w:rPr>
          <w:t>3</w:t>
        </w:r>
        <w:r w:rsidR="00706DB1">
          <w:rPr>
            <w:noProof/>
            <w:webHidden/>
          </w:rPr>
          <w:fldChar w:fldCharType="end"/>
        </w:r>
      </w:hyperlink>
    </w:p>
    <w:p w14:paraId="57C732D8" w14:textId="5C4E4CC9" w:rsidR="00706DB1" w:rsidRDefault="001C59FE">
      <w:pPr>
        <w:pStyle w:val="TJ4"/>
        <w:tabs>
          <w:tab w:val="right" w:leader="dot" w:pos="9628"/>
        </w:tabs>
        <w:rPr>
          <w:rFonts w:asciiTheme="minorHAnsi" w:eastAsiaTheme="minorEastAsia" w:hAnsiTheme="minorHAnsi"/>
          <w:noProof/>
          <w:sz w:val="22"/>
          <w:lang w:eastAsia="hu-HU"/>
        </w:rPr>
      </w:pPr>
      <w:hyperlink w:anchor="_Toc85033454" w:history="1">
        <w:r w:rsidR="00706DB1" w:rsidRPr="00322C88">
          <w:rPr>
            <w:rStyle w:val="Hiperhivatkozs"/>
            <w:noProof/>
          </w:rPr>
          <w:t>Filozófia</w:t>
        </w:r>
        <w:r w:rsidR="00706DB1">
          <w:rPr>
            <w:noProof/>
            <w:webHidden/>
          </w:rPr>
          <w:tab/>
        </w:r>
        <w:r w:rsidR="00706DB1">
          <w:rPr>
            <w:noProof/>
            <w:webHidden/>
          </w:rPr>
          <w:fldChar w:fldCharType="begin"/>
        </w:r>
        <w:r w:rsidR="00706DB1">
          <w:rPr>
            <w:noProof/>
            <w:webHidden/>
          </w:rPr>
          <w:instrText xml:space="preserve"> PAGEREF _Toc85033454 \h </w:instrText>
        </w:r>
        <w:r w:rsidR="00706DB1">
          <w:rPr>
            <w:noProof/>
            <w:webHidden/>
          </w:rPr>
        </w:r>
        <w:r w:rsidR="00706DB1">
          <w:rPr>
            <w:noProof/>
            <w:webHidden/>
          </w:rPr>
          <w:fldChar w:fldCharType="separate"/>
        </w:r>
        <w:r w:rsidR="00706DB1">
          <w:rPr>
            <w:noProof/>
            <w:webHidden/>
          </w:rPr>
          <w:t>3</w:t>
        </w:r>
        <w:r w:rsidR="00706DB1">
          <w:rPr>
            <w:noProof/>
            <w:webHidden/>
          </w:rPr>
          <w:fldChar w:fldCharType="end"/>
        </w:r>
      </w:hyperlink>
    </w:p>
    <w:p w14:paraId="0FF6709F" w14:textId="55C973F8" w:rsidR="00706DB1" w:rsidRDefault="001C59FE">
      <w:pPr>
        <w:pStyle w:val="TJ2"/>
        <w:tabs>
          <w:tab w:val="right" w:leader="dot" w:pos="9628"/>
        </w:tabs>
        <w:rPr>
          <w:rFonts w:asciiTheme="minorHAnsi" w:eastAsiaTheme="minorEastAsia" w:hAnsiTheme="minorHAnsi"/>
          <w:noProof/>
          <w:sz w:val="22"/>
          <w:lang w:eastAsia="hu-HU"/>
        </w:rPr>
      </w:pPr>
      <w:hyperlink w:anchor="_Toc85033455" w:history="1">
        <w:r w:rsidR="00706DB1" w:rsidRPr="00322C88">
          <w:rPr>
            <w:rStyle w:val="Hiperhivatkozs"/>
            <w:noProof/>
          </w:rPr>
          <w:t>Pere</w:t>
        </w:r>
        <w:r w:rsidR="00706DB1">
          <w:rPr>
            <w:noProof/>
            <w:webHidden/>
          </w:rPr>
          <w:tab/>
        </w:r>
        <w:r w:rsidR="00706DB1">
          <w:rPr>
            <w:noProof/>
            <w:webHidden/>
          </w:rPr>
          <w:fldChar w:fldCharType="begin"/>
        </w:r>
        <w:r w:rsidR="00706DB1">
          <w:rPr>
            <w:noProof/>
            <w:webHidden/>
          </w:rPr>
          <w:instrText xml:space="preserve"> PAGEREF _Toc85033455 \h </w:instrText>
        </w:r>
        <w:r w:rsidR="00706DB1">
          <w:rPr>
            <w:noProof/>
            <w:webHidden/>
          </w:rPr>
        </w:r>
        <w:r w:rsidR="00706DB1">
          <w:rPr>
            <w:noProof/>
            <w:webHidden/>
          </w:rPr>
          <w:fldChar w:fldCharType="separate"/>
        </w:r>
        <w:r w:rsidR="00706DB1">
          <w:rPr>
            <w:noProof/>
            <w:webHidden/>
          </w:rPr>
          <w:t>4</w:t>
        </w:r>
        <w:r w:rsidR="00706DB1">
          <w:rPr>
            <w:noProof/>
            <w:webHidden/>
          </w:rPr>
          <w:fldChar w:fldCharType="end"/>
        </w:r>
      </w:hyperlink>
    </w:p>
    <w:p w14:paraId="7C4B49AB" w14:textId="7195824B" w:rsidR="00706DB1" w:rsidRDefault="001C59FE">
      <w:pPr>
        <w:pStyle w:val="TJ4"/>
        <w:tabs>
          <w:tab w:val="right" w:leader="dot" w:pos="9628"/>
        </w:tabs>
        <w:rPr>
          <w:rFonts w:asciiTheme="minorHAnsi" w:eastAsiaTheme="minorEastAsia" w:hAnsiTheme="minorHAnsi"/>
          <w:noProof/>
          <w:sz w:val="22"/>
          <w:lang w:eastAsia="hu-HU"/>
        </w:rPr>
      </w:pPr>
      <w:hyperlink w:anchor="_Toc85033456" w:history="1">
        <w:r w:rsidR="00706DB1" w:rsidRPr="00322C88">
          <w:rPr>
            <w:rStyle w:val="Hiperhivatkozs"/>
            <w:noProof/>
          </w:rPr>
          <w:t>A per közvetlen előzményei</w:t>
        </w:r>
        <w:r w:rsidR="00706DB1">
          <w:rPr>
            <w:noProof/>
            <w:webHidden/>
          </w:rPr>
          <w:tab/>
        </w:r>
        <w:r w:rsidR="00706DB1">
          <w:rPr>
            <w:noProof/>
            <w:webHidden/>
          </w:rPr>
          <w:fldChar w:fldCharType="begin"/>
        </w:r>
        <w:r w:rsidR="00706DB1">
          <w:rPr>
            <w:noProof/>
            <w:webHidden/>
          </w:rPr>
          <w:instrText xml:space="preserve"> PAGEREF _Toc85033456 \h </w:instrText>
        </w:r>
        <w:r w:rsidR="00706DB1">
          <w:rPr>
            <w:noProof/>
            <w:webHidden/>
          </w:rPr>
        </w:r>
        <w:r w:rsidR="00706DB1">
          <w:rPr>
            <w:noProof/>
            <w:webHidden/>
          </w:rPr>
          <w:fldChar w:fldCharType="separate"/>
        </w:r>
        <w:r w:rsidR="00706DB1">
          <w:rPr>
            <w:noProof/>
            <w:webHidden/>
          </w:rPr>
          <w:t>4</w:t>
        </w:r>
        <w:r w:rsidR="00706DB1">
          <w:rPr>
            <w:noProof/>
            <w:webHidden/>
          </w:rPr>
          <w:fldChar w:fldCharType="end"/>
        </w:r>
      </w:hyperlink>
    </w:p>
    <w:p w14:paraId="6F561104" w14:textId="433625AF" w:rsidR="00706DB1" w:rsidRDefault="001C59FE">
      <w:pPr>
        <w:pStyle w:val="TJ4"/>
        <w:tabs>
          <w:tab w:val="right" w:leader="dot" w:pos="9628"/>
        </w:tabs>
        <w:rPr>
          <w:rFonts w:asciiTheme="minorHAnsi" w:eastAsiaTheme="minorEastAsia" w:hAnsiTheme="minorHAnsi"/>
          <w:noProof/>
          <w:sz w:val="22"/>
          <w:lang w:eastAsia="hu-HU"/>
        </w:rPr>
      </w:pPr>
      <w:hyperlink w:anchor="_Toc85033457" w:history="1">
        <w:r w:rsidR="00706DB1" w:rsidRPr="00322C88">
          <w:rPr>
            <w:rStyle w:val="Hiperhivatkozs"/>
            <w:noProof/>
          </w:rPr>
          <w:t>A per</w:t>
        </w:r>
        <w:r w:rsidR="00706DB1">
          <w:rPr>
            <w:noProof/>
            <w:webHidden/>
          </w:rPr>
          <w:tab/>
        </w:r>
        <w:r w:rsidR="00706DB1">
          <w:rPr>
            <w:noProof/>
            <w:webHidden/>
          </w:rPr>
          <w:fldChar w:fldCharType="begin"/>
        </w:r>
        <w:r w:rsidR="00706DB1">
          <w:rPr>
            <w:noProof/>
            <w:webHidden/>
          </w:rPr>
          <w:instrText xml:space="preserve"> PAGEREF _Toc85033457 \h </w:instrText>
        </w:r>
        <w:r w:rsidR="00706DB1">
          <w:rPr>
            <w:noProof/>
            <w:webHidden/>
          </w:rPr>
        </w:r>
        <w:r w:rsidR="00706DB1">
          <w:rPr>
            <w:noProof/>
            <w:webHidden/>
          </w:rPr>
          <w:fldChar w:fldCharType="separate"/>
        </w:r>
        <w:r w:rsidR="00706DB1">
          <w:rPr>
            <w:noProof/>
            <w:webHidden/>
          </w:rPr>
          <w:t>5</w:t>
        </w:r>
        <w:r w:rsidR="00706DB1">
          <w:rPr>
            <w:noProof/>
            <w:webHidden/>
          </w:rPr>
          <w:fldChar w:fldCharType="end"/>
        </w:r>
      </w:hyperlink>
    </w:p>
    <w:p w14:paraId="53D7B5DF" w14:textId="74FC4357" w:rsidR="00706DB1" w:rsidRDefault="001C59FE">
      <w:pPr>
        <w:pStyle w:val="TJ4"/>
        <w:tabs>
          <w:tab w:val="right" w:leader="dot" w:pos="9628"/>
        </w:tabs>
        <w:rPr>
          <w:rFonts w:asciiTheme="minorHAnsi" w:eastAsiaTheme="minorEastAsia" w:hAnsiTheme="minorHAnsi"/>
          <w:noProof/>
          <w:sz w:val="22"/>
          <w:lang w:eastAsia="hu-HU"/>
        </w:rPr>
      </w:pPr>
      <w:hyperlink w:anchor="_Toc85033458" w:history="1">
        <w:r w:rsidR="00706DB1" w:rsidRPr="00322C88">
          <w:rPr>
            <w:rStyle w:val="Hiperhivatkozs"/>
            <w:noProof/>
          </w:rPr>
          <w:t>Az ítélet</w:t>
        </w:r>
        <w:r w:rsidR="00706DB1">
          <w:rPr>
            <w:noProof/>
            <w:webHidden/>
          </w:rPr>
          <w:tab/>
        </w:r>
        <w:r w:rsidR="00706DB1">
          <w:rPr>
            <w:noProof/>
            <w:webHidden/>
          </w:rPr>
          <w:fldChar w:fldCharType="begin"/>
        </w:r>
        <w:r w:rsidR="00706DB1">
          <w:rPr>
            <w:noProof/>
            <w:webHidden/>
          </w:rPr>
          <w:instrText xml:space="preserve"> PAGEREF _Toc85033458 \h </w:instrText>
        </w:r>
        <w:r w:rsidR="00706DB1">
          <w:rPr>
            <w:noProof/>
            <w:webHidden/>
          </w:rPr>
        </w:r>
        <w:r w:rsidR="00706DB1">
          <w:rPr>
            <w:noProof/>
            <w:webHidden/>
          </w:rPr>
          <w:fldChar w:fldCharType="separate"/>
        </w:r>
        <w:r w:rsidR="00706DB1">
          <w:rPr>
            <w:noProof/>
            <w:webHidden/>
          </w:rPr>
          <w:t>5</w:t>
        </w:r>
        <w:r w:rsidR="00706DB1">
          <w:rPr>
            <w:noProof/>
            <w:webHidden/>
          </w:rPr>
          <w:fldChar w:fldCharType="end"/>
        </w:r>
      </w:hyperlink>
    </w:p>
    <w:p w14:paraId="156909C0" w14:textId="51B9955D" w:rsidR="00706DB1" w:rsidRDefault="001C59FE">
      <w:pPr>
        <w:pStyle w:val="TJ4"/>
        <w:tabs>
          <w:tab w:val="right" w:leader="dot" w:pos="9628"/>
        </w:tabs>
        <w:rPr>
          <w:rFonts w:asciiTheme="minorHAnsi" w:eastAsiaTheme="minorEastAsia" w:hAnsiTheme="minorHAnsi"/>
          <w:noProof/>
          <w:sz w:val="22"/>
          <w:lang w:eastAsia="hu-HU"/>
        </w:rPr>
      </w:pPr>
      <w:hyperlink w:anchor="_Toc85033459" w:history="1">
        <w:r w:rsidR="00706DB1" w:rsidRPr="00322C88">
          <w:rPr>
            <w:rStyle w:val="Hiperhivatkozs"/>
            <w:noProof/>
          </w:rPr>
          <w:t>Galilei esküje</w:t>
        </w:r>
        <w:r w:rsidR="00706DB1">
          <w:rPr>
            <w:noProof/>
            <w:webHidden/>
          </w:rPr>
          <w:tab/>
        </w:r>
        <w:r w:rsidR="00706DB1">
          <w:rPr>
            <w:noProof/>
            <w:webHidden/>
          </w:rPr>
          <w:fldChar w:fldCharType="begin"/>
        </w:r>
        <w:r w:rsidR="00706DB1">
          <w:rPr>
            <w:noProof/>
            <w:webHidden/>
          </w:rPr>
          <w:instrText xml:space="preserve"> PAGEREF _Toc85033459 \h </w:instrText>
        </w:r>
        <w:r w:rsidR="00706DB1">
          <w:rPr>
            <w:noProof/>
            <w:webHidden/>
          </w:rPr>
        </w:r>
        <w:r w:rsidR="00706DB1">
          <w:rPr>
            <w:noProof/>
            <w:webHidden/>
          </w:rPr>
          <w:fldChar w:fldCharType="separate"/>
        </w:r>
        <w:r w:rsidR="00706DB1">
          <w:rPr>
            <w:noProof/>
            <w:webHidden/>
          </w:rPr>
          <w:t>6</w:t>
        </w:r>
        <w:r w:rsidR="00706DB1">
          <w:rPr>
            <w:noProof/>
            <w:webHidden/>
          </w:rPr>
          <w:fldChar w:fldCharType="end"/>
        </w:r>
      </w:hyperlink>
    </w:p>
    <w:p w14:paraId="79A7C724" w14:textId="68323F8E" w:rsidR="00706DB1" w:rsidRDefault="001C59FE">
      <w:pPr>
        <w:pStyle w:val="TJ4"/>
        <w:tabs>
          <w:tab w:val="right" w:leader="dot" w:pos="9628"/>
        </w:tabs>
        <w:rPr>
          <w:rFonts w:asciiTheme="minorHAnsi" w:eastAsiaTheme="minorEastAsia" w:hAnsiTheme="minorHAnsi"/>
          <w:noProof/>
          <w:sz w:val="22"/>
          <w:lang w:eastAsia="hu-HU"/>
        </w:rPr>
      </w:pPr>
      <w:hyperlink w:anchor="_Toc85033460" w:history="1">
        <w:r w:rsidR="00706DB1" w:rsidRPr="00322C88">
          <w:rPr>
            <w:rStyle w:val="Hiperhivatkozs"/>
            <w:noProof/>
          </w:rPr>
          <w:t>Az ítélet többi része</w:t>
        </w:r>
        <w:r w:rsidR="00706DB1">
          <w:rPr>
            <w:noProof/>
            <w:webHidden/>
          </w:rPr>
          <w:tab/>
        </w:r>
        <w:r w:rsidR="00706DB1">
          <w:rPr>
            <w:noProof/>
            <w:webHidden/>
          </w:rPr>
          <w:fldChar w:fldCharType="begin"/>
        </w:r>
        <w:r w:rsidR="00706DB1">
          <w:rPr>
            <w:noProof/>
            <w:webHidden/>
          </w:rPr>
          <w:instrText xml:space="preserve"> PAGEREF _Toc85033460 \h </w:instrText>
        </w:r>
        <w:r w:rsidR="00706DB1">
          <w:rPr>
            <w:noProof/>
            <w:webHidden/>
          </w:rPr>
        </w:r>
        <w:r w:rsidR="00706DB1">
          <w:rPr>
            <w:noProof/>
            <w:webHidden/>
          </w:rPr>
          <w:fldChar w:fldCharType="separate"/>
        </w:r>
        <w:r w:rsidR="00706DB1">
          <w:rPr>
            <w:noProof/>
            <w:webHidden/>
          </w:rPr>
          <w:t>6</w:t>
        </w:r>
        <w:r w:rsidR="00706DB1">
          <w:rPr>
            <w:noProof/>
            <w:webHidden/>
          </w:rPr>
          <w:fldChar w:fldCharType="end"/>
        </w:r>
      </w:hyperlink>
    </w:p>
    <w:p w14:paraId="348F995A" w14:textId="231E09CC" w:rsidR="00706DB1" w:rsidRDefault="001C59FE">
      <w:pPr>
        <w:pStyle w:val="TJ4"/>
        <w:tabs>
          <w:tab w:val="right" w:leader="dot" w:pos="9628"/>
        </w:tabs>
        <w:rPr>
          <w:rFonts w:asciiTheme="minorHAnsi" w:eastAsiaTheme="minorEastAsia" w:hAnsiTheme="minorHAnsi"/>
          <w:noProof/>
          <w:sz w:val="22"/>
          <w:lang w:eastAsia="hu-HU"/>
        </w:rPr>
      </w:pPr>
      <w:hyperlink w:anchor="_Toc85033461" w:history="1">
        <w:r w:rsidR="00706DB1" w:rsidRPr="00322C88">
          <w:rPr>
            <w:rStyle w:val="Hiperhivatkozs"/>
            <w:noProof/>
          </w:rPr>
          <w:t>A per interpretációi a tudománytörténetben</w:t>
        </w:r>
        <w:r w:rsidR="00706DB1">
          <w:rPr>
            <w:noProof/>
            <w:webHidden/>
          </w:rPr>
          <w:tab/>
        </w:r>
        <w:r w:rsidR="00706DB1">
          <w:rPr>
            <w:noProof/>
            <w:webHidden/>
          </w:rPr>
          <w:fldChar w:fldCharType="begin"/>
        </w:r>
        <w:r w:rsidR="00706DB1">
          <w:rPr>
            <w:noProof/>
            <w:webHidden/>
          </w:rPr>
          <w:instrText xml:space="preserve"> PAGEREF _Toc85033461 \h </w:instrText>
        </w:r>
        <w:r w:rsidR="00706DB1">
          <w:rPr>
            <w:noProof/>
            <w:webHidden/>
          </w:rPr>
        </w:r>
        <w:r w:rsidR="00706DB1">
          <w:rPr>
            <w:noProof/>
            <w:webHidden/>
          </w:rPr>
          <w:fldChar w:fldCharType="separate"/>
        </w:r>
        <w:r w:rsidR="00706DB1">
          <w:rPr>
            <w:noProof/>
            <w:webHidden/>
          </w:rPr>
          <w:t>7</w:t>
        </w:r>
        <w:r w:rsidR="00706DB1">
          <w:rPr>
            <w:noProof/>
            <w:webHidden/>
          </w:rPr>
          <w:fldChar w:fldCharType="end"/>
        </w:r>
      </w:hyperlink>
    </w:p>
    <w:p w14:paraId="03FAF37B" w14:textId="40ACA903" w:rsidR="00706DB1" w:rsidRDefault="001C59FE">
      <w:pPr>
        <w:pStyle w:val="TJ2"/>
        <w:tabs>
          <w:tab w:val="right" w:leader="dot" w:pos="9628"/>
        </w:tabs>
        <w:rPr>
          <w:rFonts w:asciiTheme="minorHAnsi" w:eastAsiaTheme="minorEastAsia" w:hAnsiTheme="minorHAnsi"/>
          <w:noProof/>
          <w:sz w:val="22"/>
          <w:lang w:eastAsia="hu-HU"/>
        </w:rPr>
      </w:pPr>
      <w:hyperlink w:anchor="_Toc85033462" w:history="1">
        <w:r w:rsidR="00706DB1" w:rsidRPr="00322C88">
          <w:rPr>
            <w:rStyle w:val="Hiperhivatkozs"/>
            <w:noProof/>
          </w:rPr>
          <w:t>Tartalomjegyzék:</w:t>
        </w:r>
        <w:r w:rsidR="00706DB1">
          <w:rPr>
            <w:noProof/>
            <w:webHidden/>
          </w:rPr>
          <w:tab/>
        </w:r>
        <w:r w:rsidR="00706DB1">
          <w:rPr>
            <w:noProof/>
            <w:webHidden/>
          </w:rPr>
          <w:fldChar w:fldCharType="begin"/>
        </w:r>
        <w:r w:rsidR="00706DB1">
          <w:rPr>
            <w:noProof/>
            <w:webHidden/>
          </w:rPr>
          <w:instrText xml:space="preserve"> PAGEREF _Toc85033462 \h </w:instrText>
        </w:r>
        <w:r w:rsidR="00706DB1">
          <w:rPr>
            <w:noProof/>
            <w:webHidden/>
          </w:rPr>
        </w:r>
        <w:r w:rsidR="00706DB1">
          <w:rPr>
            <w:noProof/>
            <w:webHidden/>
          </w:rPr>
          <w:fldChar w:fldCharType="separate"/>
        </w:r>
        <w:r w:rsidR="00706DB1">
          <w:rPr>
            <w:noProof/>
            <w:webHidden/>
          </w:rPr>
          <w:t>8</w:t>
        </w:r>
        <w:r w:rsidR="00706DB1">
          <w:rPr>
            <w:noProof/>
            <w:webHidden/>
          </w:rPr>
          <w:fldChar w:fldCharType="end"/>
        </w:r>
      </w:hyperlink>
    </w:p>
    <w:p w14:paraId="46619D0F" w14:textId="4D5B6ABB" w:rsidR="00D8778A" w:rsidRDefault="00706DB1" w:rsidP="00EE7FCD">
      <w:r>
        <w:fldChar w:fldCharType="end"/>
      </w:r>
    </w:p>
    <w:sectPr w:rsidR="00D8778A" w:rsidSect="00841640">
      <w:headerReference w:type="even" r:id="rId10"/>
      <w:headerReference w:type="default" r:id="rId11"/>
      <w:footerReference w:type="even" r:id="rId12"/>
      <w:footerReference w:type="default" r:id="rId13"/>
      <w:pgSz w:w="11906" w:h="16838" w:code="9"/>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0ADD" w14:textId="77777777" w:rsidR="001C59FE" w:rsidRDefault="001C59FE" w:rsidP="0080482A">
      <w:r>
        <w:separator/>
      </w:r>
    </w:p>
  </w:endnote>
  <w:endnote w:type="continuationSeparator" w:id="0">
    <w:p w14:paraId="404E556F" w14:textId="77777777" w:rsidR="001C59FE" w:rsidRDefault="001C59FE" w:rsidP="0080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46082"/>
      <w:docPartObj>
        <w:docPartGallery w:val="Page Numbers (Bottom of Page)"/>
        <w:docPartUnique/>
      </w:docPartObj>
    </w:sdtPr>
    <w:sdtEndPr/>
    <w:sdtContent>
      <w:p w14:paraId="7A786B11" w14:textId="23FFEF62" w:rsidR="00841640" w:rsidRDefault="00841640">
        <w:pPr>
          <w:pStyle w:val="llb"/>
        </w:pPr>
        <w:r>
          <w:fldChar w:fldCharType="begin"/>
        </w:r>
        <w:r>
          <w:instrText>PAGE   \* MERGEFORMAT</w:instrText>
        </w:r>
        <w:r>
          <w:fldChar w:fldCharType="separate"/>
        </w:r>
        <w:r>
          <w:t>2</w:t>
        </w:r>
        <w:r>
          <w:fldChar w:fldCharType="end"/>
        </w:r>
      </w:p>
    </w:sdtContent>
  </w:sdt>
  <w:p w14:paraId="4AB165C6" w14:textId="77777777" w:rsidR="00841640" w:rsidRDefault="0084164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184594"/>
      <w:docPartObj>
        <w:docPartGallery w:val="Page Numbers (Bottom of Page)"/>
        <w:docPartUnique/>
      </w:docPartObj>
    </w:sdtPr>
    <w:sdtEndPr/>
    <w:sdtContent>
      <w:p w14:paraId="119410EB" w14:textId="275EB19D" w:rsidR="00841640" w:rsidRDefault="00841640" w:rsidP="00841640">
        <w:pPr>
          <w:pStyle w:val="llb"/>
          <w:jc w:val="right"/>
        </w:pPr>
        <w:r>
          <w:fldChar w:fldCharType="begin"/>
        </w:r>
        <w:r>
          <w:instrText>PAGE   \* MERGEFORMAT</w:instrText>
        </w:r>
        <w:r>
          <w:fldChar w:fldCharType="separate"/>
        </w:r>
        <w:r>
          <w:t>2</w:t>
        </w:r>
        <w:r>
          <w:fldChar w:fldCharType="end"/>
        </w:r>
      </w:p>
    </w:sdtContent>
  </w:sdt>
  <w:p w14:paraId="4233C9BA" w14:textId="77777777" w:rsidR="00841640" w:rsidRDefault="0084164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4560" w14:textId="77777777" w:rsidR="001C59FE" w:rsidRDefault="001C59FE" w:rsidP="0080482A">
      <w:r>
        <w:separator/>
      </w:r>
    </w:p>
  </w:footnote>
  <w:footnote w:type="continuationSeparator" w:id="0">
    <w:p w14:paraId="7A1E7FAF" w14:textId="77777777" w:rsidR="001C59FE" w:rsidRDefault="001C59FE" w:rsidP="0080482A">
      <w:r>
        <w:continuationSeparator/>
      </w:r>
    </w:p>
  </w:footnote>
  <w:footnote w:id="1">
    <w:p w14:paraId="7F0DFCC2" w14:textId="63AF5993" w:rsidR="0080482A" w:rsidRDefault="0080482A">
      <w:pPr>
        <w:pStyle w:val="Lbjegyzetszveg"/>
      </w:pPr>
      <w:r>
        <w:rPr>
          <w:rStyle w:val="Lbjegyzet-hivatkozs"/>
        </w:rPr>
        <w:footnoteRef/>
      </w:r>
      <w:r>
        <w:t xml:space="preserve"> Kora újkori egyetemes történeti szöveggyűjtemény. Szerk. Poór János. Budapest, Osiris Kiadó, 2000. 225. old.</w:t>
      </w:r>
    </w:p>
  </w:footnote>
  <w:footnote w:id="2">
    <w:p w14:paraId="0068FE6E" w14:textId="3CCD9753" w:rsidR="0080482A" w:rsidRDefault="0080482A">
      <w:pPr>
        <w:pStyle w:val="Lbjegyzetszveg"/>
      </w:pPr>
      <w:r>
        <w:rPr>
          <w:rStyle w:val="Lbjegyzet-hivatkozs"/>
        </w:rPr>
        <w:footnoteRef/>
      </w:r>
      <w:r>
        <w:t xml:space="preserve"> </w:t>
      </w:r>
      <w:proofErr w:type="spellStart"/>
      <w:r>
        <w:t>Vekerdi</w:t>
      </w:r>
      <w:proofErr w:type="spellEnd"/>
      <w: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3C97" w14:textId="5BE1296E" w:rsidR="00841640" w:rsidRPr="00841640" w:rsidRDefault="00841640" w:rsidP="00C764E7">
    <w:pPr>
      <w:pStyle w:val="lfej"/>
      <w:pBdr>
        <w:bottom w:val="single" w:sz="8" w:space="1" w:color="000000" w:themeColor="text1"/>
      </w:pBdr>
      <w:rPr>
        <w:i/>
        <w:iCs/>
      </w:rPr>
    </w:pPr>
    <w:r w:rsidRPr="00841640">
      <w:rPr>
        <w:i/>
        <w:iCs/>
      </w:rPr>
      <w:t>Galilei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0590" w14:textId="661E8B57" w:rsidR="00841640" w:rsidRPr="00841640" w:rsidRDefault="00841640" w:rsidP="00841640">
    <w:pPr>
      <w:pStyle w:val="lfej"/>
      <w:pBdr>
        <w:bottom w:val="single" w:sz="8" w:space="1" w:color="000000" w:themeColor="text1"/>
      </w:pBdr>
      <w:jc w:val="right"/>
      <w:rPr>
        <w:i/>
        <w:iCs/>
      </w:rPr>
    </w:pPr>
    <w:r w:rsidRPr="00841640">
      <w:rPr>
        <w:i/>
        <w:iCs/>
      </w:rPr>
      <w:t>Galilei</w:t>
    </w:r>
  </w:p>
  <w:p w14:paraId="55057133" w14:textId="77777777" w:rsidR="00841640" w:rsidRDefault="00841640" w:rsidP="00841640">
    <w:pPr>
      <w:pStyle w:val="lfej"/>
      <w:pBdr>
        <w:bottom w:val="single" w:sz="8" w:space="1" w:color="000000" w:themeColor="text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54A57"/>
    <w:multiLevelType w:val="hybridMultilevel"/>
    <w:tmpl w:val="4FD05718"/>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B"/>
    <w:rsid w:val="0002511B"/>
    <w:rsid w:val="001A6734"/>
    <w:rsid w:val="001C59FE"/>
    <w:rsid w:val="00706DB1"/>
    <w:rsid w:val="0080482A"/>
    <w:rsid w:val="00841640"/>
    <w:rsid w:val="009F5D64"/>
    <w:rsid w:val="00C764E7"/>
    <w:rsid w:val="00D8778A"/>
    <w:rsid w:val="00EE7F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4154"/>
  <w15:chartTrackingRefBased/>
  <w15:docId w15:val="{202D5E43-8410-47D5-AA8F-B153C02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E7FCD"/>
    <w:pPr>
      <w:spacing w:after="0" w:line="240" w:lineRule="auto"/>
      <w:ind w:firstLine="454"/>
      <w:jc w:val="both"/>
    </w:pPr>
    <w:rPr>
      <w:rFonts w:ascii="Times New Roman" w:hAnsi="Times New Roman"/>
      <w:sz w:val="24"/>
    </w:rPr>
  </w:style>
  <w:style w:type="paragraph" w:styleId="Cmsor1">
    <w:name w:val="heading 1"/>
    <w:basedOn w:val="Norml"/>
    <w:next w:val="Norml"/>
    <w:link w:val="Cmsor1Char"/>
    <w:uiPriority w:val="9"/>
    <w:qFormat/>
    <w:rsid w:val="00EE7FCD"/>
    <w:pPr>
      <w:keepNext/>
      <w:keepLines/>
      <w:spacing w:after="480"/>
      <w:outlineLvl w:val="0"/>
    </w:pPr>
    <w:rPr>
      <w:rFonts w:eastAsiaTheme="majorEastAsia" w:cstheme="majorBidi"/>
      <w:b/>
      <w:color w:val="000000" w:themeColor="text1"/>
      <w:sz w:val="48"/>
      <w:szCs w:val="32"/>
    </w:rPr>
  </w:style>
  <w:style w:type="paragraph" w:styleId="Cmsor2">
    <w:name w:val="heading 2"/>
    <w:basedOn w:val="Norml"/>
    <w:next w:val="Norml"/>
    <w:link w:val="Cmsor2Char"/>
    <w:uiPriority w:val="9"/>
    <w:unhideWhenUsed/>
    <w:qFormat/>
    <w:rsid w:val="00EE7FCD"/>
    <w:pPr>
      <w:keepNext/>
      <w:keepLines/>
      <w:spacing w:before="360" w:after="240"/>
      <w:outlineLvl w:val="1"/>
    </w:pPr>
    <w:rPr>
      <w:rFonts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706DB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E7FCD"/>
    <w:rPr>
      <w:rFonts w:ascii="Times New Roman" w:eastAsiaTheme="majorEastAsia" w:hAnsi="Times New Roman" w:cstheme="majorBidi"/>
      <w:b/>
      <w:color w:val="000000" w:themeColor="text1"/>
      <w:sz w:val="48"/>
      <w:szCs w:val="32"/>
    </w:rPr>
  </w:style>
  <w:style w:type="character" w:customStyle="1" w:styleId="Cmsor2Char">
    <w:name w:val="Címsor 2 Char"/>
    <w:basedOn w:val="Bekezdsalapbettpusa"/>
    <w:link w:val="Cmsor2"/>
    <w:uiPriority w:val="9"/>
    <w:rsid w:val="00EE7FCD"/>
    <w:rPr>
      <w:rFonts w:ascii="Times New Roman" w:eastAsiaTheme="majorEastAsia" w:hAnsi="Times New Roman" w:cstheme="majorBidi"/>
      <w:b/>
      <w:color w:val="000000" w:themeColor="text1"/>
      <w:sz w:val="36"/>
      <w:szCs w:val="26"/>
    </w:rPr>
  </w:style>
  <w:style w:type="paragraph" w:styleId="Cm">
    <w:name w:val="Title"/>
    <w:aliases w:val="Címsor 3."/>
    <w:basedOn w:val="Norml"/>
    <w:next w:val="Norml"/>
    <w:link w:val="CmChar"/>
    <w:uiPriority w:val="10"/>
    <w:qFormat/>
    <w:rsid w:val="00EE7FCD"/>
    <w:pPr>
      <w:spacing w:before="240" w:after="120"/>
      <w:contextualSpacing/>
    </w:pPr>
    <w:rPr>
      <w:rFonts w:eastAsiaTheme="majorEastAsia" w:cstheme="majorBidi"/>
      <w:i/>
      <w:color w:val="000000" w:themeColor="text1"/>
      <w:spacing w:val="-10"/>
      <w:kern w:val="28"/>
      <w:sz w:val="28"/>
      <w:szCs w:val="56"/>
    </w:rPr>
  </w:style>
  <w:style w:type="character" w:customStyle="1" w:styleId="CmChar">
    <w:name w:val="Cím Char"/>
    <w:aliases w:val="Címsor 3. Char"/>
    <w:basedOn w:val="Bekezdsalapbettpusa"/>
    <w:link w:val="Cm"/>
    <w:uiPriority w:val="10"/>
    <w:rsid w:val="00EE7FCD"/>
    <w:rPr>
      <w:rFonts w:ascii="Times New Roman" w:eastAsiaTheme="majorEastAsia" w:hAnsi="Times New Roman" w:cstheme="majorBidi"/>
      <w:i/>
      <w:color w:val="000000" w:themeColor="text1"/>
      <w:spacing w:val="-10"/>
      <w:kern w:val="28"/>
      <w:sz w:val="28"/>
      <w:szCs w:val="56"/>
    </w:rPr>
  </w:style>
  <w:style w:type="paragraph" w:styleId="Nincstrkz">
    <w:name w:val="No Spacing"/>
    <w:aliases w:val="idézőjel"/>
    <w:uiPriority w:val="1"/>
    <w:qFormat/>
    <w:rsid w:val="0080482A"/>
    <w:pPr>
      <w:pBdr>
        <w:left w:val="single" w:sz="48" w:space="4" w:color="E7E6E6" w:themeColor="background2"/>
      </w:pBdr>
      <w:spacing w:after="0" w:line="240" w:lineRule="auto"/>
      <w:ind w:left="1134" w:firstLine="454"/>
      <w:jc w:val="both"/>
    </w:pPr>
    <w:rPr>
      <w:rFonts w:ascii="Arial" w:hAnsi="Arial"/>
      <w:i/>
      <w:sz w:val="20"/>
    </w:rPr>
  </w:style>
  <w:style w:type="paragraph" w:styleId="lfej">
    <w:name w:val="header"/>
    <w:basedOn w:val="Norml"/>
    <w:link w:val="lfejChar"/>
    <w:uiPriority w:val="99"/>
    <w:unhideWhenUsed/>
    <w:rsid w:val="0080482A"/>
    <w:pPr>
      <w:tabs>
        <w:tab w:val="center" w:pos="4536"/>
        <w:tab w:val="right" w:pos="9072"/>
      </w:tabs>
    </w:pPr>
  </w:style>
  <w:style w:type="character" w:customStyle="1" w:styleId="lfejChar">
    <w:name w:val="Élőfej Char"/>
    <w:basedOn w:val="Bekezdsalapbettpusa"/>
    <w:link w:val="lfej"/>
    <w:uiPriority w:val="99"/>
    <w:rsid w:val="0080482A"/>
    <w:rPr>
      <w:rFonts w:ascii="Times New Roman" w:hAnsi="Times New Roman"/>
      <w:sz w:val="24"/>
    </w:rPr>
  </w:style>
  <w:style w:type="paragraph" w:styleId="llb">
    <w:name w:val="footer"/>
    <w:basedOn w:val="Norml"/>
    <w:link w:val="llbChar"/>
    <w:uiPriority w:val="99"/>
    <w:unhideWhenUsed/>
    <w:rsid w:val="0080482A"/>
    <w:pPr>
      <w:tabs>
        <w:tab w:val="center" w:pos="4536"/>
        <w:tab w:val="right" w:pos="9072"/>
      </w:tabs>
    </w:pPr>
  </w:style>
  <w:style w:type="character" w:customStyle="1" w:styleId="llbChar">
    <w:name w:val="Élőláb Char"/>
    <w:basedOn w:val="Bekezdsalapbettpusa"/>
    <w:link w:val="llb"/>
    <w:uiPriority w:val="99"/>
    <w:rsid w:val="0080482A"/>
    <w:rPr>
      <w:rFonts w:ascii="Times New Roman" w:hAnsi="Times New Roman"/>
      <w:sz w:val="24"/>
    </w:rPr>
  </w:style>
  <w:style w:type="paragraph" w:styleId="Lbjegyzetszveg">
    <w:name w:val="footnote text"/>
    <w:basedOn w:val="Norml"/>
    <w:link w:val="LbjegyzetszvegChar"/>
    <w:uiPriority w:val="99"/>
    <w:semiHidden/>
    <w:unhideWhenUsed/>
    <w:rsid w:val="0080482A"/>
    <w:rPr>
      <w:sz w:val="20"/>
      <w:szCs w:val="20"/>
    </w:rPr>
  </w:style>
  <w:style w:type="character" w:customStyle="1" w:styleId="LbjegyzetszvegChar">
    <w:name w:val="Lábjegyzetszöveg Char"/>
    <w:basedOn w:val="Bekezdsalapbettpusa"/>
    <w:link w:val="Lbjegyzetszveg"/>
    <w:uiPriority w:val="99"/>
    <w:semiHidden/>
    <w:rsid w:val="0080482A"/>
    <w:rPr>
      <w:rFonts w:ascii="Times New Roman" w:hAnsi="Times New Roman"/>
      <w:sz w:val="20"/>
      <w:szCs w:val="20"/>
    </w:rPr>
  </w:style>
  <w:style w:type="character" w:styleId="Lbjegyzet-hivatkozs">
    <w:name w:val="footnote reference"/>
    <w:basedOn w:val="Bekezdsalapbettpusa"/>
    <w:uiPriority w:val="99"/>
    <w:semiHidden/>
    <w:unhideWhenUsed/>
    <w:rsid w:val="0080482A"/>
    <w:rPr>
      <w:vertAlign w:val="superscript"/>
    </w:rPr>
  </w:style>
  <w:style w:type="paragraph" w:styleId="Kpalrs">
    <w:name w:val="caption"/>
    <w:basedOn w:val="Norml"/>
    <w:next w:val="Norml"/>
    <w:uiPriority w:val="35"/>
    <w:unhideWhenUsed/>
    <w:qFormat/>
    <w:rsid w:val="0080482A"/>
    <w:pPr>
      <w:spacing w:after="200"/>
    </w:pPr>
    <w:rPr>
      <w:i/>
      <w:iCs/>
      <w:color w:val="44546A" w:themeColor="text2"/>
      <w:sz w:val="18"/>
      <w:szCs w:val="18"/>
    </w:rPr>
  </w:style>
  <w:style w:type="paragraph" w:styleId="Alcm">
    <w:name w:val="Subtitle"/>
    <w:aliases w:val="táblázat"/>
    <w:basedOn w:val="Norml"/>
    <w:next w:val="Norml"/>
    <w:link w:val="AlcmChar"/>
    <w:uiPriority w:val="11"/>
    <w:qFormat/>
    <w:rsid w:val="001A6734"/>
    <w:pPr>
      <w:numPr>
        <w:ilvl w:val="1"/>
      </w:numPr>
      <w:ind w:firstLine="454"/>
    </w:pPr>
    <w:rPr>
      <w:rFonts w:ascii="Arial" w:eastAsiaTheme="minorEastAsia" w:hAnsi="Arial"/>
      <w:color w:val="000000" w:themeColor="text1"/>
      <w:spacing w:val="15"/>
      <w:sz w:val="20"/>
    </w:rPr>
  </w:style>
  <w:style w:type="character" w:customStyle="1" w:styleId="AlcmChar">
    <w:name w:val="Alcím Char"/>
    <w:aliases w:val="táblázat Char"/>
    <w:basedOn w:val="Bekezdsalapbettpusa"/>
    <w:link w:val="Alcm"/>
    <w:uiPriority w:val="11"/>
    <w:rsid w:val="001A6734"/>
    <w:rPr>
      <w:rFonts w:ascii="Arial" w:eastAsiaTheme="minorEastAsia" w:hAnsi="Arial"/>
      <w:color w:val="000000" w:themeColor="text1"/>
      <w:spacing w:val="15"/>
      <w:sz w:val="20"/>
    </w:rPr>
  </w:style>
  <w:style w:type="table" w:styleId="Rcsostblzat">
    <w:name w:val="Table Grid"/>
    <w:basedOn w:val="Normltblzat"/>
    <w:uiPriority w:val="39"/>
    <w:rsid w:val="001A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A6734"/>
    <w:rPr>
      <w:sz w:val="16"/>
      <w:szCs w:val="16"/>
    </w:rPr>
  </w:style>
  <w:style w:type="paragraph" w:styleId="Jegyzetszveg">
    <w:name w:val="annotation text"/>
    <w:basedOn w:val="Norml"/>
    <w:link w:val="JegyzetszvegChar"/>
    <w:uiPriority w:val="99"/>
    <w:semiHidden/>
    <w:unhideWhenUsed/>
    <w:rsid w:val="001A6734"/>
    <w:rPr>
      <w:sz w:val="20"/>
      <w:szCs w:val="20"/>
    </w:rPr>
  </w:style>
  <w:style w:type="character" w:customStyle="1" w:styleId="JegyzetszvegChar">
    <w:name w:val="Jegyzetszöveg Char"/>
    <w:basedOn w:val="Bekezdsalapbettpusa"/>
    <w:link w:val="Jegyzetszveg"/>
    <w:uiPriority w:val="99"/>
    <w:semiHidden/>
    <w:rsid w:val="001A6734"/>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1A6734"/>
    <w:rPr>
      <w:b/>
      <w:bCs/>
    </w:rPr>
  </w:style>
  <w:style w:type="character" w:customStyle="1" w:styleId="MegjegyzstrgyaChar">
    <w:name w:val="Megjegyzés tárgya Char"/>
    <w:basedOn w:val="JegyzetszvegChar"/>
    <w:link w:val="Megjegyzstrgya"/>
    <w:uiPriority w:val="99"/>
    <w:semiHidden/>
    <w:rsid w:val="001A6734"/>
    <w:rPr>
      <w:rFonts w:ascii="Times New Roman" w:hAnsi="Times New Roman"/>
      <w:b/>
      <w:bCs/>
      <w:sz w:val="20"/>
      <w:szCs w:val="20"/>
    </w:rPr>
  </w:style>
  <w:style w:type="paragraph" w:styleId="Listaszerbekezds">
    <w:name w:val="List Paragraph"/>
    <w:basedOn w:val="Norml"/>
    <w:uiPriority w:val="34"/>
    <w:qFormat/>
    <w:rsid w:val="00841640"/>
    <w:pPr>
      <w:ind w:left="720"/>
      <w:contextualSpacing/>
    </w:pPr>
  </w:style>
  <w:style w:type="character" w:customStyle="1" w:styleId="Cmsor3Char">
    <w:name w:val="Címsor 3 Char"/>
    <w:basedOn w:val="Bekezdsalapbettpusa"/>
    <w:link w:val="Cmsor3"/>
    <w:uiPriority w:val="9"/>
    <w:rsid w:val="00706DB1"/>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706DB1"/>
    <w:pPr>
      <w:spacing w:before="240" w:after="0" w:line="259" w:lineRule="auto"/>
      <w:ind w:firstLine="0"/>
      <w:jc w:val="left"/>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706DB1"/>
    <w:pPr>
      <w:spacing w:after="100"/>
    </w:pPr>
  </w:style>
  <w:style w:type="paragraph" w:styleId="TJ2">
    <w:name w:val="toc 2"/>
    <w:basedOn w:val="Norml"/>
    <w:next w:val="Norml"/>
    <w:autoRedefine/>
    <w:uiPriority w:val="39"/>
    <w:unhideWhenUsed/>
    <w:rsid w:val="00706DB1"/>
    <w:pPr>
      <w:spacing w:after="100"/>
      <w:ind w:left="240"/>
    </w:pPr>
  </w:style>
  <w:style w:type="character" w:styleId="Hiperhivatkozs">
    <w:name w:val="Hyperlink"/>
    <w:basedOn w:val="Bekezdsalapbettpusa"/>
    <w:uiPriority w:val="99"/>
    <w:unhideWhenUsed/>
    <w:rsid w:val="00706DB1"/>
    <w:rPr>
      <w:color w:val="0563C1" w:themeColor="hyperlink"/>
      <w:u w:val="single"/>
    </w:rPr>
  </w:style>
  <w:style w:type="paragraph" w:styleId="TJ3">
    <w:name w:val="toc 3"/>
    <w:basedOn w:val="Norml"/>
    <w:next w:val="Norml"/>
    <w:autoRedefine/>
    <w:uiPriority w:val="39"/>
    <w:unhideWhenUsed/>
    <w:rsid w:val="00706DB1"/>
    <w:pPr>
      <w:spacing w:after="100" w:line="259" w:lineRule="auto"/>
      <w:ind w:left="440" w:firstLine="0"/>
      <w:jc w:val="left"/>
    </w:pPr>
    <w:rPr>
      <w:rFonts w:asciiTheme="minorHAnsi" w:eastAsiaTheme="minorEastAsia" w:hAnsiTheme="minorHAnsi" w:cs="Times New Roman"/>
      <w:sz w:val="22"/>
      <w:lang w:eastAsia="hu-HU"/>
    </w:rPr>
  </w:style>
  <w:style w:type="paragraph" w:styleId="TJ4">
    <w:name w:val="toc 4"/>
    <w:basedOn w:val="Norml"/>
    <w:next w:val="Norml"/>
    <w:autoRedefine/>
    <w:uiPriority w:val="39"/>
    <w:unhideWhenUsed/>
    <w:rsid w:val="00706D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A4C3-BBCC-4229-A224-9081A407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3557</Words>
  <Characters>24544</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Ötvös</dc:creator>
  <cp:keywords/>
  <dc:description/>
  <cp:lastModifiedBy>Róbert Ötvös</cp:lastModifiedBy>
  <cp:revision>3</cp:revision>
  <dcterms:created xsi:type="dcterms:W3CDTF">2021-10-13T13:17:00Z</dcterms:created>
  <dcterms:modified xsi:type="dcterms:W3CDTF">2021-10-14T15:18:00Z</dcterms:modified>
</cp:coreProperties>
</file>