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F3A5F"/>
          <w:sz w:val="30"/>
        </w:rPr>
        <w:t>OCULAR OFTALMOLOGIA</w:t>
      </w:r>
    </w:p>
    <w:p>
      <w:pPr>
        <w:spacing w:after="160"/>
        <w:jc w:val="center"/>
      </w:pPr>
      <w:r>
        <w:rPr>
          <w:rFonts w:ascii="Calibri" w:hAnsi="Calibri"/>
          <w:i/>
          <w:color w:val="333333"/>
          <w:sz w:val="18"/>
        </w:rPr>
        <w:t>Referência em Oftalmologia em Governador Valadares e Região</w:t>
      </w:r>
    </w:p>
    <w:p>
      <w:pPr>
        <w:spacing w:after="80"/>
        <w:pBdr>
          <w:bottom w:val="single" w:sz="6" w:space="1" w:color="1F3A5F"/>
        </w:pBdr>
      </w:pPr>
    </w:p>
    <w:p>
      <w:pPr>
        <w:spacing w:before="160" w:after="0"/>
        <w:jc w:val="center"/>
      </w:pPr>
      <w:r>
        <w:rPr>
          <w:rFonts w:ascii="Calibri" w:hAnsi="Calibri"/>
          <w:b/>
          <w:color w:val="1F3A5F"/>
          <w:sz w:val="26"/>
        </w:rPr>
        <w:t>TOMOGRAFIA DE COERÊNCIA ÓPTICA (OCT)</w:t>
      </w:r>
    </w:p>
    <w:p>
      <w:pPr>
        <w:spacing w:after="200"/>
        <w:jc w:val="center"/>
      </w:pPr>
      <w:r>
        <w:rPr>
          <w:rFonts w:ascii="Calibri" w:hAnsi="Calibri"/>
          <w:i/>
          <w:color w:val="333333"/>
          <w:sz w:val="19"/>
        </w:rPr>
        <w:t>Mácula / Retina  ·  Nervo Óptico / Glaucoma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IDENTIFICAÇÃO</w:t>
      </w:r>
    </w:p>
    <w:p>
      <w:pPr>
        <w:spacing w:after="80"/>
        <w:pBdr>
          <w:bottom w:val="single" w:sz="6" w:space="1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Paciente:</w:t>
            </w:r>
          </w:p>
        </w:tc>
        <w:tc>
          <w:tcPr>
            <w:tcW w:type="dxa" w:w="2665"/>
          </w:tcPr>
          <w:p>
            <w:r>
              <w:t>Antônio Carlos Pereira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Data de Nascimento:</w:t>
            </w:r>
          </w:p>
        </w:tc>
        <w:tc>
          <w:tcPr>
            <w:tcW w:type="dxa" w:w="2948"/>
          </w:tcPr>
          <w:p>
            <w:r>
              <w:t>15/03/1955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Idade:</w:t>
            </w:r>
          </w:p>
        </w:tc>
        <w:tc>
          <w:tcPr>
            <w:tcW w:type="dxa" w:w="2665"/>
          </w:tcPr>
          <w:p>
            <w:r>
              <w:t>71 anos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Data do Exame:</w:t>
            </w:r>
          </w:p>
        </w:tc>
        <w:tc>
          <w:tcPr>
            <w:tcW w:type="dxa" w:w="2948"/>
          </w:tcPr>
          <w:p>
            <w:r>
              <w:t>07/08/2026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Prontuário:</w:t>
            </w:r>
          </w:p>
        </w:tc>
        <w:tc>
          <w:tcPr>
            <w:tcW w:type="dxa" w:w="2665"/>
          </w:tcPr>
          <w:p>
            <w:r>
              <w:t>OCU-009873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Equipamento:</w:t>
            </w:r>
          </w:p>
        </w:tc>
        <w:tc>
          <w:tcPr>
            <w:tcW w:type="dxa" w:w="2948"/>
          </w:tcPr>
          <w:p>
            <w:r>
              <w:t>ZEISS CIRRUS HD-OCT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04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Protocolo:</w:t>
            </w:r>
          </w:p>
        </w:tc>
        <w:tc>
          <w:tcPr>
            <w:tcW w:type="dxa" w:w="2665"/>
          </w:tcPr>
          <w:p>
            <w:r>
              <w:t>Espessura Macular (Retina) + Complexo de Células Ganglionares (GCC) + Nervo Óptico e RNFL (Glaucoma)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Qualidade do Sinal (SS) OD/OE:</w:t>
            </w:r>
          </w:p>
        </w:tc>
        <w:tc>
          <w:tcPr>
            <w:tcW w:type="dxa" w:w="2948"/>
          </w:tcPr>
          <w:p>
            <w:r>
              <w:t>5/10 (OD)  /  5/10 (OE)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1. MÁCULA / RETINA</w:t>
      </w:r>
    </w:p>
    <w:p>
      <w:pPr>
        <w:spacing w:after="80"/>
        <w:pBdr>
          <w:bottom w:val="single" w:sz="6" w:space="1" w:color="1F3A5F"/>
        </w:pBdr>
      </w:pPr>
    </w:p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Espessura macular (protocolo em cubo / grid ETDRS)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Espessura central foveal — CST (µm)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227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233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Volume macular total (mm³)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9.2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9.4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Espessura média do cubo (µm)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255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261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Descrição — Mácula/Retina (Ambos os Olhos)</w:t>
      </w:r>
    </w:p>
    <w:p>
      <w:pPr>
        <w:spacing w:after="160" w:before="0"/>
      </w:pPr>
      <w:r>
        <w:rPr>
          <w:rFonts w:ascii="Calibri" w:hAnsi="Calibri"/>
          <w:b w:val="0"/>
          <w:i/>
          <w:sz w:val="20"/>
        </w:rPr>
        <w:t>Perfil foveal preservado com espessura central dentro dos limites da normalidade. Camadas retinianas com raríssimos pontos hiperrefringentes. Ausência de fluido intra ou subretiniano.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2. NERVO ÓPTICO E CAMADA DE FIBRAS NERVOSAS (GLAUCOMA)</w:t>
      </w:r>
    </w:p>
    <w:p>
      <w:pPr>
        <w:spacing w:after="80"/>
        <w:pBdr>
          <w:bottom w:val="single" w:sz="6" w:space="1" w:color="1F3A5F"/>
        </w:pBdr>
      </w:pPr>
    </w:p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RNFL peri-papilar — espessura (µm)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Setor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RNFL média (global)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95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93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superior (S)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133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128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inferior (I)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110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117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nasal (N)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71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64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Quadrante temporal (T)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67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62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Simetria entre olhos (%)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81%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81%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Cabeça do nervo óptico (ONH)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Área do disco (mm²)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2.18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2.25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Área da rima (rim area, mm²)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1.23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1.23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Relação escavação/disco — C/D média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0.66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0.67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Relação C/D vertical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0.65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0.63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Volume da escavação (mm³)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0.367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0.413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i/>
          <w:color w:val="333333"/>
          <w:sz w:val="19"/>
        </w:rPr>
        <w:t>Descrição — Nervo Óptico/Glaucoma (Ambos os Olhos)</w:t>
      </w:r>
    </w:p>
    <w:p>
      <w:pPr>
        <w:spacing w:after="160" w:before="0"/>
      </w:pPr>
      <w:r>
        <w:rPr>
          <w:rFonts w:ascii="Calibri" w:hAnsi="Calibri"/>
          <w:b w:val="0"/>
          <w:i/>
          <w:sz w:val="20"/>
        </w:rPr>
        <w:t>RNFL peri-papilar de espessura preservada, padrão em dupla-corcova, sem perdas focais significativas. Relação escavação/disco compatível com a área discal em ambos os olhos.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3. COMPLEXO DE CÉLULAS GANGLIONARES (GCC / GCL-IPL)</w:t>
      </w:r>
    </w:p>
    <w:p>
      <w:pPr>
        <w:spacing w:after="80"/>
        <w:pBdr>
          <w:bottom w:val="single" w:sz="6" w:space="1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Espessura média GCL-IPL (µm)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65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64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4876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Espessura mínima GCL-IPL (µm)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62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t>60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CONCLUSÃO / IMPRESSÃO DIAGNÓSTICA</w:t>
      </w:r>
    </w:p>
    <w:p>
      <w:pPr>
        <w:spacing w:after="80"/>
        <w:pBdr>
          <w:bottom w:val="single" w:sz="6" w:space="1" w:color="1F3A5F"/>
        </w:pBdr>
      </w:pP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>Correlacionar a outros achados clínicos.</w:t>
      </w:r>
    </w:p>
    <w:p>
      <w:pPr>
        <w:spacing w:after="80"/>
      </w:pPr>
    </w:p>
    <w:p>
      <w:pPr>
        <w:jc w:val="center"/>
      </w:pPr>
      <w:r>
        <w:rPr>
          <w:sz w:val="20"/>
        </w:rPr>
        <w:t>_______________________________________________________</w:t>
      </w:r>
    </w:p>
    <w:p>
      <w:pPr>
        <w:spacing w:after="0"/>
        <w:jc w:val="center"/>
      </w:pPr>
      <w:r>
        <w:rPr>
          <w:b/>
          <w:sz w:val="21"/>
        </w:rPr>
        <w:t>Dr. Robson Silva Franco</w:t>
      </w:r>
    </w:p>
    <w:p>
      <w:pPr>
        <w:spacing w:after="0"/>
        <w:jc w:val="center"/>
      </w:pPr>
      <w:r>
        <w:rPr>
          <w:i/>
          <w:color w:val="333333"/>
          <w:sz w:val="19"/>
        </w:rPr>
        <w:t>Médico(a) Oftalmologista — CRM/MG 32.320</w:t>
      </w:r>
    </w:p>
    <w:p>
      <w:pPr>
        <w:spacing w:before="320" w:after="40"/>
      </w:pPr>
      <w:r>
        <w:rPr>
          <w:i/>
          <w:color w:val="888888"/>
          <w:sz w:val="16"/>
        </w:rPr>
        <w:t>Observação: as imagens tomográficas (mapas de espessura, cortes B-scan, gráficos TSNIT e comparativos com banco normativo) fazem parte integrante deste laudo e devem ser anexadas à impressão gerada pelo equipamento.</w:t>
      </w:r>
    </w:p>
    <w:p>
      <w:pPr>
        <w:spacing w:before="120"/>
        <w:jc w:val="center"/>
      </w:pPr>
      <w:r>
        <w:rPr>
          <w:i/>
          <w:color w:val="888888"/>
          <w:sz w:val="15"/>
        </w:rPr>
        <w:t>Laudo gerado automaticamente em 09/08/2026 21:24 — sistema de automação Ocular Oftalmologia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