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i w:val="0"/>
          <w:color w:val="1F3A5F"/>
          <w:sz w:val="30"/>
        </w:rPr>
        <w:t>OCULAR OFTALMOLOGIA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333333"/>
          <w:sz w:val="18"/>
        </w:rPr>
        <w:t>Referência em Oftalmologia em Governador Valadares e Região</w:t>
      </w:r>
    </w:p>
    <w:p>
      <w:pPr>
        <w:spacing w:after="80"/>
        <w:pBdr>
          <w:bottom w:val="single" w:sz="6" w:space="1" w:color="1F3A5F"/>
        </w:pBdr>
      </w:pPr>
    </w:p>
    <w:p>
      <w:pPr>
        <w:spacing w:before="120" w:after="20"/>
        <w:jc w:val="center"/>
      </w:pPr>
      <w:r>
        <w:rPr>
          <w:rFonts w:ascii="Calibri" w:hAnsi="Calibri"/>
          <w:b/>
          <w:i w:val="0"/>
          <w:color w:val="1F3A5F"/>
          <w:sz w:val="26"/>
        </w:rPr>
        <w:t>TOMOGRAFIA DE CÓRNEA — PENTACAM® (OCULUS)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333333"/>
          <w:sz w:val="19"/>
        </w:rPr>
        <w:t>Pentacam Oculus  ·  Ceratometria  ·  Paquimetria  ·  Índices de Ectasia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IDENTIFICAÇÃO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00"/>
            <w:shd w:val="clear" w:color="auto" w:fill="E8EDF4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Paciente:</w:t>
            </w:r>
          </w:p>
        </w:tc>
        <w:tc>
          <w:tcPr>
            <w:tcW w:type="dxa" w:w="2750"/>
            <w:shd w:val="clear" w:color="auto" w:fill="FFFFFF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{{nome_paciente}}</w:t>
            </w:r>
          </w:p>
        </w:tc>
        <w:tc>
          <w:tcPr>
            <w:tcW w:type="dxa" w:w="2100"/>
            <w:shd w:val="clear" w:color="auto" w:fill="E8EDF4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Data de Nascimento:</w:t>
            </w:r>
          </w:p>
        </w:tc>
        <w:tc>
          <w:tcPr>
            <w:tcW w:type="dxa" w:w="2750"/>
            <w:shd w:val="clear" w:color="auto" w:fill="FFFFFF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{{data_nascimento}}</w:t>
            </w:r>
          </w:p>
        </w:tc>
      </w:tr>
      <w:tr>
        <w:tc>
          <w:tcPr>
            <w:tcW w:type="dxa" w:w="2100"/>
            <w:shd w:val="clear" w:color="auto" w:fill="E8EDF4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Idade:</w:t>
            </w:r>
          </w:p>
        </w:tc>
        <w:tc>
          <w:tcPr>
            <w:tcW w:type="dxa" w:w="2750"/>
            <w:shd w:val="clear" w:color="auto" w:fill="FFFFFF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{{idade}}</w:t>
            </w:r>
          </w:p>
        </w:tc>
        <w:tc>
          <w:tcPr>
            <w:tcW w:type="dxa" w:w="2100"/>
            <w:shd w:val="clear" w:color="auto" w:fill="E8EDF4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Data do Exame:</w:t>
            </w:r>
          </w:p>
        </w:tc>
        <w:tc>
          <w:tcPr>
            <w:tcW w:type="dxa" w:w="2750"/>
            <w:shd w:val="clear" w:color="auto" w:fill="FFFFFF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{{data_exame}}</w:t>
            </w:r>
          </w:p>
        </w:tc>
      </w:tr>
      <w:tr>
        <w:tc>
          <w:tcPr>
            <w:tcW w:type="dxa" w:w="2100"/>
            <w:shd w:val="clear" w:color="auto" w:fill="E8EDF4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ID do Paciente:</w:t>
            </w:r>
          </w:p>
        </w:tc>
        <w:tc>
          <w:tcPr>
            <w:tcW w:type="dxa" w:w="2750"/>
            <w:shd w:val="clear" w:color="auto" w:fill="FFFFFF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{{prontuario}}</w:t>
            </w:r>
          </w:p>
        </w:tc>
        <w:tc>
          <w:tcPr>
            <w:tcW w:type="dxa" w:w="2100"/>
            <w:shd w:val="clear" w:color="auto" w:fill="E8EDF4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Qualidade do Exame (QS):</w:t>
            </w:r>
          </w:p>
        </w:tc>
        <w:tc>
          <w:tcPr>
            <w:tcW w:type="dxa" w:w="2750"/>
            <w:shd w:val="clear" w:color="auto" w:fill="FFFFFF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{{qualidade_exame}}</w:t>
            </w:r>
          </w:p>
        </w:tc>
      </w:tr>
      <w:tr>
        <w:tc>
          <w:tcPr>
            <w:tcW w:type="dxa" w:w="2100"/>
            <w:shd w:val="clear" w:color="auto" w:fill="E8EDF4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Indicação Clínica:</w:t>
            </w:r>
          </w:p>
        </w:tc>
        <w:tc>
          <w:tcPr>
            <w:tcW w:type="dxa" w:w="2750"/>
            <w:shd w:val="clear" w:color="auto" w:fill="FFFFFF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{{indicacao_clinica}}</w:t>
            </w:r>
          </w:p>
        </w:tc>
        <w:tc>
          <w:tcPr>
            <w:tcW w:type="dxa" w:w="2100"/>
            <w:shd w:val="clear" w:color="auto" w:fill="E8EDF4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Equipamento:</w:t>
            </w:r>
          </w:p>
        </w:tc>
        <w:tc>
          <w:tcPr>
            <w:tcW w:type="dxa" w:w="2750"/>
            <w:shd w:val="clear" w:color="auto" w:fill="FFFFFF"/>
          </w:tcPr>
          <w:p>
            <w:r>
              <w:rPr>
                <w:rFonts w:ascii="Calibri" w:hAnsi="Calibri"/>
                <w:b w:val="0"/>
                <w:color w:val="333333"/>
                <w:sz w:val="18"/>
              </w:rPr>
              <w:t>{{equipamento}}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1. CERATOMETRIA E ASTIGMATISMO (FACE ANTERIOR)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700"/>
            <w:shd w:val="clear" w:color="auto"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K1 – ceratometria plana (D / mm)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{{k1_od}}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{{k1_os}}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K2 – ceratometria curva (D / mm)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{{k2_od}}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{{k2_os}}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Km – ceratometria média (D)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{{km_od}}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{{km_os}}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Astigmatismo corneano (D)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{{astigmatismo_od}}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{{astigmatismo_os}}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Eixo do meridiano mais curvo (°)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{{eixo_od}}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{{eixo_os}}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Kmáx – ceratometria máxima (D)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{{kmax_od}}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{{kmax_os}}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2. PAQUIMETRIA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700"/>
            <w:shd w:val="clear" w:color="auto"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Espessura no ápice (µm)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{{espessura_apice_od}}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{{espessura_apice_os}}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Ponto mais fino – espessura (µm)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{{ponto_mais_fino_espessura_od}}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{{ponto_mais_fino_espessura_os}}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Ponto mais fino – localização (x, y)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{{ponto_mais_fino_localizacao_od}}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{{ponto_mais_fino_localizacao_os}}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Índice de progressão paquimétrica – PPI (méd/máx)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{{ppi_od}}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{{ppi_os}}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3. MAPAS DE ELEVAÇÃO (REFERÊNCIA: BFS)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700"/>
            <w:shd w:val="clear" w:color="auto"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Elevação anterior no ponto mais fino (µm)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{{elevacao_anterior_od}}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{{elevacao_anterior_os}}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Elevação posterior no ponto mais fino (µm)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{{elevacao_posterior_od}}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{{elevacao_posterior_os}}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Diâmetro da BFS anterior / posterior (mm)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{{bfs_od}}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{{bfs_os}}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4. SEGMENTO ANTERIOR / PAQUIMETRIA DE CÂMARA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700"/>
            <w:shd w:val="clear" w:color="auto"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Profundidade da câmara anterior – ACD (mm, do endotélio)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{{acd_od}}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{{acd_os}}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Volume da câmara anterior (mm³)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{{volume_camara_od}}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{{volume_camara_os}}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Ângulo da câmara anterior (°)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{{angulo_camara_od}}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{{angulo_camara_os}}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Diâmetro pupilar (mm)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{{diametro_pupilar_od}}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{{diametro_pupilar_os}}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Diâmetro branco-a-branco – WTW (mm)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{{wtw_od}}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{{wtw_os}}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5. ÍNDICES DE RASTREIO DE ECTASIA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700"/>
            <w:shd w:val="clear" w:color="auto" w:fill="1F3A5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Índice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OD</w:t>
            </w:r>
          </w:p>
        </w:tc>
        <w:tc>
          <w:tcPr>
            <w:tcW w:type="dxa" w:w="1700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OE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BAD-D – Belin/Ambrósio Display (desvio total, D)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{{bad_d_od}}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{{bad_d_os}}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ARTmáx – Ambrósio Relational Thickness máx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{{artmax_od}}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{{artmax_os}}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PRFI – Pentacam Random Forest Index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{{prfi_od}}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{{prfi_os}}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ISV – índice de variância da superfície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{{isv_od}}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{{isv_os}}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IVA – índice de assimetria vertical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{{iva_od}}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{{iva_os}}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KI – índice de ceratocone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{{ki_od}}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{{ki_os}}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CKI – índice de ceratocone central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{{cki_od}}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{{cki_os}}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IHA – índice de assimetria de altura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{{iha_od}}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{{iha_os}}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IHD – índice de descentração de altura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{{ihd_od}}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{{ihd_os}}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Rmín – menor raio de curvatura (mm)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{{rmin_od}}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{{rmin_os}}</w:t>
            </w:r>
          </w:p>
        </w:tc>
      </w:tr>
      <w:tr>
        <w:tc>
          <w:tcPr>
            <w:tcW w:type="dxa" w:w="4700"/>
            <w:shd w:val="clear" w:color="auto" w:fill="FFFFFF"/>
          </w:tcPr>
          <w:p>
            <w:r>
              <w:rPr>
                <w:rFonts w:ascii="Calibri" w:hAnsi="Calibri"/>
                <w:b/>
                <w:color w:val="1F3A5F"/>
                <w:sz w:val="18"/>
              </w:rPr>
              <w:t>TKC – Topographic Keratoconus Classification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{{tkc_od}}</w:t>
            </w:r>
          </w:p>
        </w:tc>
        <w:tc>
          <w:tcPr>
            <w:tcW w:type="dxa" w:w="170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{{tkc_os}}</w:t>
            </w:r>
          </w:p>
        </w:tc>
      </w:tr>
    </w:tbl>
    <w:p>
      <w:pPr>
        <w:spacing w:before="80" w:after="40"/>
      </w:pPr>
      <w:r>
        <w:rPr>
          <w:rFonts w:ascii="Calibri" w:hAnsi="Calibri"/>
          <w:b w:val="0"/>
          <w:i/>
          <w:color w:val="333333"/>
          <w:sz w:val="18"/>
        </w:rPr>
        <w:t>Referência rápida do BAD-D:  &lt; 1,6 normal   ·   1,6–2,6 suspeito   ·   &gt; 2,6 anormal (sugere ectasia).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ANÁLISE DESCRITIVA</w:t>
      </w:r>
    </w:p>
    <w:p>
      <w:r>
        <w:rPr>
          <w:rFonts w:ascii="Calibri" w:hAnsi="Calibri"/>
          <w:i w:val="0"/>
          <w:color w:val="333333"/>
          <w:sz w:val="20"/>
        </w:rPr>
        <w:t>____________________________________________________________________________________________________</w:t>
      </w:r>
    </w:p>
    <w:p>
      <w:r>
        <w:rPr>
          <w:rFonts w:ascii="Calibri" w:hAnsi="Calibri"/>
          <w:i w:val="0"/>
          <w:color w:val="333333"/>
          <w:sz w:val="20"/>
        </w:rPr>
        <w:t>____________________________________________________________________________________________________</w:t>
      </w:r>
    </w:p>
    <w:p>
      <w:r>
        <w:rPr>
          <w:rFonts w:ascii="Calibri" w:hAnsi="Calibri"/>
          <w:i w:val="0"/>
          <w:color w:val="333333"/>
          <w:sz w:val="20"/>
        </w:rPr>
        <w:t>____________________________________________________________________________________________________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CONCLUSÃO / IMPRESSÃO DIAGNÓSTICA</w:t>
      </w:r>
    </w:p>
    <w:p>
      <w:r>
        <w:rPr>
          <w:rFonts w:ascii="Calibri" w:hAnsi="Calibri"/>
          <w:i w:val="0"/>
          <w:color w:val="333333"/>
          <w:sz w:val="20"/>
        </w:rPr>
        <w:t>____________________________________________________________________________________________________</w:t>
      </w:r>
    </w:p>
    <w:p>
      <w:r>
        <w:rPr>
          <w:rFonts w:ascii="Calibri" w:hAnsi="Calibri"/>
          <w:i w:val="0"/>
          <w:color w:val="333333"/>
          <w:sz w:val="20"/>
        </w:rPr>
        <w:t>____________________________________________________________________________________________________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F3A5F"/>
          <w:sz w:val="22"/>
        </w:rPr>
        <w:t>BANCO DE CONCLUSÕES PRÉ-REDIGIDAS</w:t>
      </w:r>
    </w:p>
    <w:p>
      <w:pPr>
        <w:spacing w:before="80" w:after="40"/>
      </w:pPr>
      <w:r>
        <w:rPr>
          <w:rFonts w:ascii="Calibri" w:hAnsi="Calibri"/>
          <w:b w:val="0"/>
          <w:i/>
          <w:color w:val="333333"/>
          <w:sz w:val="18"/>
        </w:rPr>
        <w:t>Selecione e ajuste a frase conforme o caso. Substitua os campos entre colchetes pelos valores do exame.</w:t>
      </w:r>
    </w:p>
    <w:p>
      <w:pPr>
        <w:spacing w:before="80" w:after="40"/>
      </w:pPr>
      <w:r>
        <w:rPr>
          <w:rFonts w:ascii="Calibri" w:hAnsi="Calibri"/>
          <w:b/>
          <w:i w:val="0"/>
          <w:color w:val="1F3A5F"/>
          <w:sz w:val="19"/>
        </w:rPr>
        <w:t>1. Córnea normal – apta a cirurgia refrativa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FBFD"/>
          </w:tcPr>
          <w:p>
            <w:r>
              <w:rPr>
                <w:rFonts w:ascii="Calibri" w:hAnsi="Calibri"/>
                <w:i/>
                <w:color w:val="333333"/>
                <w:sz w:val="19"/>
              </w:rPr>
              <w:t>Córnea de morfologia regular e simétrica em ambos os olhos, com padrão astigmático [regular a favor da regra]. Paquimetria dentro da normalidade (ponto mais fino: OD [___] µm / OE [___] µm). Mapas de elevação anterior e posterior sem áreas de protrusão significativa. Índices tomográficos dentro dos limites de normalidade (BAD-D OD [___] / OE [___]), sem sinais de ectasia. Sem contraindicação tomográfica para cirurgia refrativa, a critério da avaliação clínica global.</w:t>
            </w:r>
          </w:p>
        </w:tc>
      </w:tr>
    </w:tbl>
    <w:p>
      <w:r>
        <w:rPr>
          <w:rFonts w:ascii="Calibri" w:hAnsi="Calibri"/>
          <w:i w:val="0"/>
          <w:sz w:val="4"/>
        </w:rPr>
      </w:r>
    </w:p>
    <w:p>
      <w:pPr>
        <w:spacing w:before="80" w:after="40"/>
      </w:pPr>
      <w:r>
        <w:rPr>
          <w:rFonts w:ascii="Calibri" w:hAnsi="Calibri"/>
          <w:b/>
          <w:i w:val="0"/>
          <w:color w:val="1F3A5F"/>
          <w:sz w:val="19"/>
        </w:rPr>
        <w:t>2. Suspeita de ectasia / ceratocone frustro (forme fruste)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FBFD"/>
          </w:tcPr>
          <w:p>
            <w:r>
              <w:rPr>
                <w:rFonts w:ascii="Calibri" w:hAnsi="Calibri"/>
                <w:i/>
                <w:color w:val="333333"/>
                <w:sz w:val="19"/>
              </w:rPr>
              <w:t>Assimetria topográfica com [inferior steepening / padrão de skewing do eixo radial], associada a afinamento paquimétrico relativo (ponto mais fino: OD [___] µm / OE [___] µm) e valores de elevação limítrofes. Índices tomográficos na faixa suspeita (BAD-D OD [___] / OE [___]; PRFI [___]), sem preencher critérios para ceratocone estabelecido. Achados compatíveis com córnea suspeita / ectasia subclínica. Recomenda-se acompanhamento tomográfico seriado e correlação clínica; cautela quanto à indicação de cirurgia refrativa ablativa.</w:t>
            </w:r>
          </w:p>
        </w:tc>
      </w:tr>
    </w:tbl>
    <w:p>
      <w:r>
        <w:rPr>
          <w:rFonts w:ascii="Calibri" w:hAnsi="Calibri"/>
          <w:i w:val="0"/>
          <w:sz w:val="4"/>
        </w:rPr>
      </w:r>
    </w:p>
    <w:p>
      <w:pPr>
        <w:spacing w:before="80" w:after="40"/>
      </w:pPr>
      <w:r>
        <w:rPr>
          <w:rFonts w:ascii="Calibri" w:hAnsi="Calibri"/>
          <w:b/>
          <w:i w:val="0"/>
          <w:color w:val="1F3A5F"/>
          <w:sz w:val="19"/>
        </w:rPr>
        <w:t>3. Ceratocone estabelecido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FBFD"/>
          </w:tcPr>
          <w:p>
            <w:r>
              <w:rPr>
                <w:rFonts w:ascii="Calibri" w:hAnsi="Calibri"/>
                <w:i/>
                <w:color w:val="333333"/>
                <w:sz w:val="19"/>
              </w:rPr>
              <w:t>Padrão topográfico de encurvamento assimétrico com protrusão [inferior/inferotemporal], afinamento paquimétrico no ápice do cone (ponto mais fino: OD [___] µm / OE [___] µm) e aumento das elevações anterior e posterior sobre a BFS. Kmáx OD [___] D / OE [___] D. Índices tomográficos alterados (BAD-D OD [___] / OE [___]; TKC [___]). Achados compatíveis com ceratocone, classificação topográfica [grau/estágio]. Sugere-se correlação com dados clínicos e biomicroscopia; considerar avaliação para crosslinking conforme evidência de progressão.</w:t>
            </w:r>
          </w:p>
        </w:tc>
      </w:tr>
    </w:tbl>
    <w:p>
      <w:r>
        <w:rPr>
          <w:rFonts w:ascii="Calibri" w:hAnsi="Calibri"/>
          <w:i w:val="0"/>
          <w:sz w:val="4"/>
        </w:rPr>
      </w:r>
    </w:p>
    <w:p>
      <w:pPr>
        <w:spacing w:before="80" w:after="40"/>
      </w:pPr>
      <w:r>
        <w:rPr>
          <w:rFonts w:ascii="Calibri" w:hAnsi="Calibri"/>
          <w:b/>
          <w:i w:val="0"/>
          <w:color w:val="1F3A5F"/>
          <w:sz w:val="19"/>
        </w:rPr>
        <w:t>4. Acompanhamento / evidência de progressão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FBFD"/>
          </w:tcPr>
          <w:p>
            <w:r>
              <w:rPr>
                <w:rFonts w:ascii="Calibri" w:hAnsi="Calibri"/>
                <w:i/>
                <w:color w:val="333333"/>
                <w:sz w:val="19"/>
              </w:rPr>
              <w:t>Em comparação ao exame prévio de [__/__/____], observa-se [aumento de Kmáx de ___ D para ___ D] e/ou [redução do ponto mais fino de ___ µm para ___ µm], com [elevação/estabilidade] dos índices tomográficos (BAD-D anterior [___] → atual [___]). Achados [compatíveis com progressão / sem sinais de progressão no intervalo avaliado]. Recomenda-se [conduta].</w:t>
            </w:r>
          </w:p>
        </w:tc>
      </w:tr>
    </w:tbl>
    <w:p>
      <w:r>
        <w:rPr>
          <w:rFonts w:ascii="Calibri" w:hAnsi="Calibri"/>
          <w:i w:val="0"/>
          <w:sz w:val="4"/>
        </w:rPr>
      </w:r>
    </w:p>
    <w:p>
      <w:pPr>
        <w:spacing w:before="80" w:after="40"/>
      </w:pPr>
      <w:r>
        <w:rPr>
          <w:rFonts w:ascii="Calibri" w:hAnsi="Calibri"/>
          <w:b/>
          <w:i w:val="0"/>
          <w:color w:val="1F3A5F"/>
          <w:sz w:val="19"/>
        </w:rPr>
        <w:t>5. Pós-crosslinking / pós-refrativa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AFBFD"/>
          </w:tcPr>
          <w:p>
            <w:r>
              <w:rPr>
                <w:rFonts w:ascii="Calibri" w:hAnsi="Calibri"/>
                <w:i/>
                <w:color w:val="333333"/>
                <w:sz w:val="19"/>
              </w:rPr>
              <w:t>Córnea com [aplanamento central / demarcation line residual / haze estromal] compatível com procedimento prévio de [crosslinking / cirurgia refrativa]. Paquimetria e índices tomográficos [estáveis em relação ao exame de __/__/____]. Sem sinais tomográficos de ectasia iatrogênica no momento. Manter acompanhamento.</w:t>
            </w:r>
          </w:p>
        </w:tc>
      </w:tr>
    </w:tbl>
    <w:p>
      <w:r>
        <w:rPr>
          <w:rFonts w:ascii="Calibri" w:hAnsi="Calibri"/>
          <w:i w:val="0"/>
          <w:sz w:val="4"/>
        </w:rPr>
      </w:r>
    </w:p>
    <w:p>
      <w:r>
        <w:rPr>
          <w:rFonts w:ascii="Calibri" w:hAnsi="Calibri"/>
          <w:i w:val="0"/>
          <w:sz w:val="6"/>
        </w:rPr>
      </w:r>
    </w:p>
    <w:p>
      <w:pPr>
        <w:jc w:val="center"/>
      </w:pPr>
      <w:r>
        <w:rPr>
          <w:sz w:val="20"/>
        </w:rPr>
        <w:t>_______________________________________________________</w:t>
      </w:r>
    </w:p>
    <w:p>
      <w:pPr>
        <w:spacing w:before="0" w:after="0"/>
        <w:jc w:val="center"/>
      </w:pPr>
      <w:r>
        <w:rPr>
          <w:rFonts w:ascii="Calibri" w:hAnsi="Calibri"/>
          <w:b/>
          <w:i w:val="0"/>
          <w:color w:val="1F3A5F"/>
          <w:sz w:val="22"/>
        </w:rPr>
        <w:t>{{nome_medico}}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333333"/>
          <w:sz w:val="19"/>
        </w:rPr>
        <w:t>Médico(a) Oftalmologista — {{crm_medico}}</w:t>
      </w:r>
    </w:p>
    <w:p>
      <w:r>
        <w:rPr>
          <w:rFonts w:ascii="Calibri" w:hAnsi="Calibri"/>
          <w:i/>
          <w:color w:val="767676"/>
          <w:sz w:val="17"/>
        </w:rPr>
        <w:t>Observação: os mapas coloridos (topográfico, paquimétrico, de elevação anterior/posterior e o display de Belin/Ambrósio) fazem parte integrante deste laudo e devem ser anexados à impressão gerada pelo equipamento.</w:t>
      </w: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767676"/>
          <w:sz w:val="16"/>
        </w:rPr>
        <w:t>Laudo gerado automaticamente em {{data_geracao_laudo}} — sistema de automação Ocular Oftalmologia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