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OBS Trust Layer — 最终实验报告（EXP16 / EXP17 冻结版）</w:t>
      </w:r>
    </w:p>
    <w:p>
      <w:pPr>
        <w:ind w:left="360"/>
      </w:pPr>
      <w:r>
        <w:rPr>
          <w:i/>
        </w:rPr>
        <w:t>版本基线：</w:t>
      </w:r>
      <w:r>
        <w:rPr>
          <w:rFonts w:ascii="Consolas" w:hAnsi="Consolas"/>
          <w:i/>
        </w:rPr>
        <w:t>semifinal_v1.5.1-bugfix</w:t>
      </w:r>
      <w:r>
        <w:rPr>
          <w:i/>
        </w:rPr>
        <w:t xml:space="preserve">（config hash </w:t>
      </w:r>
      <w:r>
        <w:rPr>
          <w:rFonts w:ascii="Consolas" w:hAnsi="Consolas"/>
          <w:i/>
        </w:rPr>
        <w:t>9727570d…602b6d</w:t>
      </w:r>
      <w:r>
        <w:rPr>
          <w:i/>
        </w:rPr>
        <w:t xml:space="preserve">，parent </w:t>
      </w:r>
      <w:r>
        <w:rPr>
          <w:rFonts w:ascii="Consolas" w:hAnsi="Consolas"/>
          <w:i/>
        </w:rPr>
        <w:t>semifinal_v1.5.1</w:t>
      </w:r>
      <w:r>
        <w:rPr>
          <w:i/>
        </w:rPr>
        <w:t>）</w:t>
      </w:r>
    </w:p>
    <w:p>
      <w:pPr>
        <w:ind w:left="360"/>
      </w:pPr>
      <w:r>
        <w:rPr>
          <w:i/>
        </w:rPr>
        <w:t>证据基线：</w:t>
      </w:r>
      <w:r>
        <w:rPr>
          <w:rFonts w:ascii="Consolas" w:hAnsi="Consolas"/>
          <w:i/>
        </w:rPr>
        <w:t>results/evidence_manifest.json</w:t>
      </w:r>
      <w:r>
        <w:rPr>
          <w:i/>
        </w:rPr>
        <w:t>（全部关键文件 sha256、c1–c4 裁决、文件分类）</w:t>
      </w:r>
    </w:p>
    <w:p>
      <w:pPr>
        <w:ind w:left="360"/>
      </w:pPr>
      <w:r>
        <w:rPr>
          <w:i/>
        </w:rPr>
        <w:t>统一结论（全材料口径）：</w:t>
      </w:r>
      <w:r>
        <w:rPr>
          <w:b/>
          <w:i/>
        </w:rPr>
        <w:t>Coverage recovery supported; safety non-inferiority inconclusive.</w:t>
      </w:r>
    </w:p>
    <w:p>
      <w:pPr>
        <w:ind w:left="360"/>
      </w:pPr>
      <w:r>
        <w:rPr>
          <w:i/>
        </w:rPr>
        <w:t>中文：</w:t>
      </w:r>
      <w:r>
        <w:rPr>
          <w:b/>
          <w:i/>
        </w:rPr>
        <w:t>覆盖率恢复获得支持；安全非劣性尚未建立。</w:t>
      </w:r>
    </w:p>
    <w:p>
      <w:pPr>
        <w:pStyle w:val="Heading1"/>
      </w:pPr>
      <w:r>
        <w:t>1. 摘要</w:t>
      </w:r>
    </w:p>
    <w:p>
      <w:r>
        <w:t>本项目研究"多模型 AI 拾取进入真实 OBS 科研工作流时，哪些输出应自动进入后续流程、哪些应优先交给专家复核"。不重训模型，在冻结数据、冻结模型、统一相位级评价协议下，形成三项相互独立的主成果：</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成果</w:t>
            </w:r>
          </w:p>
        </w:tc>
        <w:tc>
          <w:tcPr>
            <w:tcW w:type="dxa" w:w="2880"/>
          </w:tcPr>
          <w:p>
            <w:r>
              <w:t>核心结果</w:t>
            </w:r>
          </w:p>
        </w:tc>
        <w:tc>
          <w:tcPr>
            <w:tcW w:type="dxa" w:w="2880"/>
          </w:tcPr>
          <w:p>
            <w:r>
              <w:t>科学结论</w:t>
            </w:r>
          </w:p>
        </w:tc>
      </w:tr>
      <w:tr>
        <w:tc>
          <w:tcPr>
            <w:tcW w:type="dxa" w:w="2880"/>
          </w:tcPr>
          <w:p>
            <w:r>
              <w:t>人工复核效率（EXP16）</w:t>
            </w:r>
          </w:p>
        </w:tc>
        <w:tc>
          <w:tcPr>
            <w:tcW w:type="dxa" w:w="2880"/>
          </w:tcPr>
          <w:p>
            <w:r>
              <w:t>50% 复核预算截获 83.6% 错误（Random 50.0%），CI [+19.0,+35.65]；holdout 80.1%</w:t>
            </w:r>
          </w:p>
        </w:tc>
        <w:tc>
          <w:tcPr>
            <w:tcW w:type="dxa" w:w="2880"/>
          </w:tcPr>
          <w:p>
            <w:r>
              <w:t>Trust 风险排序显著提高单位复核预算的错误截获效率</w:t>
            </w:r>
          </w:p>
        </w:tc>
      </w:tr>
      <w:tr>
        <w:tc>
          <w:tcPr>
            <w:tcW w:type="dxa" w:w="2880"/>
          </w:tcPr>
          <w:p>
            <w:r>
              <w:t>自动化瓶颈诊断（v1.5.1）</w:t>
            </w:r>
          </w:p>
        </w:tc>
        <w:tc>
          <w:tcPr>
            <w:tcW w:type="dxa" w:w="2880"/>
          </w:tcPr>
          <w:p>
            <w:r>
              <w:t>Coverage 天花板 45.64%（596/1306）；703 个未自动输出分解为 487/112/99/5</w:t>
            </w:r>
          </w:p>
        </w:tc>
        <w:tc>
          <w:tcPr>
            <w:tcW w:type="dxa" w:w="2880"/>
          </w:tcPr>
          <w:p>
            <w:r>
              <w:t>Low Coverage was primarily policy-limited，而非模型普遍无候选</w:t>
            </w:r>
          </w:p>
        </w:tc>
      </w:tr>
      <w:tr>
        <w:tc>
          <w:tcPr>
            <w:tcW w:type="dxa" w:w="2880"/>
          </w:tcPr>
          <w:p>
            <w:r>
              <w:t>Failure-driven refinement（EXP17）</w:t>
            </w:r>
          </w:p>
        </w:tc>
        <w:tc>
          <w:tcPr>
            <w:tcW w:type="dxa" w:w="2880"/>
          </w:tcPr>
          <w:p>
            <w:r>
              <w:t>EXP17-A：Coverage 45.64%→54.13%，Unsafe 5.51%，截获 94.26%；ΔUnsafe 点估计 +0.92pp，配对 bootstrap 单侧 95% 上界 +2.24pp</w:t>
            </w:r>
          </w:p>
        </w:tc>
        <w:tc>
          <w:tcPr>
            <w:tcW w:type="dxa" w:w="2880"/>
          </w:tcPr>
          <w:p>
            <w:r>
              <w:t>Coverage recovery supported；safety non-inferiority inconclusive</w:t>
            </w:r>
          </w:p>
        </w:tc>
      </w:tr>
    </w:tbl>
    <w:p>
      <w:pPr>
        <w:pStyle w:val="ListBullet"/>
      </w:pPr>
      <w:r>
        <w:t>EXP17-A 判据：</w:t>
      </w:r>
      <w:r>
        <w:rPr>
          <w:b/>
        </w:rPr>
        <w:t>c1 PASS、c2 NOT ESTABLISHED、c3 PASS、c4 PASS</w:t>
      </w:r>
      <w:r>
        <w:t>（c2 上界 +2.24pp 高于 +2.0pp 冻结界 0.24pp）。</w:t>
      </w:r>
    </w:p>
    <w:p>
      <w:pPr>
        <w:pStyle w:val="ListBullet"/>
      </w:pPr>
      <w:r>
        <w:t>EXP17-B（Only-usable-survivor）负结果完整保留：Coverage 81.62% 但 c2 +4.87pp、c3 64.55% 双败，弃用。</w:t>
      </w:r>
    </w:p>
    <w:p>
      <w:pPr>
        <w:pStyle w:val="ListBullet"/>
      </w:pPr>
      <w:r>
        <w:t>R1（参数来源审计）：显式固定 P=0.34s / S=0.51s 重跑与冻结 EXP17-A 完全一致，76/76 tests passed——</w:t>
      </w:r>
      <w:r>
        <w:rPr>
          <w:b/>
        </w:rPr>
        <w:t>R1 PASS 仅表示执行路径不依赖 legacy 0.30/0.50 常量，不代表 EXP17 总体安全 Gate PASS</w:t>
      </w:r>
      <w:r>
        <w:t>。</w:t>
      </w:r>
    </w:p>
    <w:p>
      <w:pPr>
        <w:pStyle w:val="ListBullet"/>
      </w:pPr>
      <w:r>
        <w:t>v1.5.1 原始负结果不被覆盖：45.64% 天花板、50% 点位 NOT_EVALUABLE、S 相显著更差。</w:t>
      </w:r>
    </w:p>
    <w:p>
      <w:pPr>
        <w:pStyle w:val="Heading1"/>
      </w:pPr>
      <w:r>
        <w:t>2. 研究问题与成果总览</w:t>
      </w:r>
    </w:p>
    <w:p>
      <w:pPr>
        <w:pStyle w:val="ListBullet"/>
      </w:pPr>
      <w:r>
        <w:rPr>
          <w:b/>
        </w:rPr>
        <w:t>RQ1</w:t>
      </w:r>
      <w:r>
        <w:t>：如何综合数据质量、多模型分歧及流程一致性证据，对 AI 拾取结果的错误风险进行评估，并在自动覆盖率与不安全输出风险之间形成可验证的选择性决策机制？</w:t>
      </w:r>
    </w:p>
    <w:p>
      <w:pPr>
        <w:pStyle w:val="ListBullet"/>
      </w:pPr>
      <w:r>
        <w:rPr>
          <w:b/>
        </w:rPr>
        <w:t>RQ2（Derived）</w:t>
      </w:r>
      <w:r>
        <w:t>：当严格 policy 造成自动 Coverage ceiling 时，能否利用推理时可见证据恢复部分 Coverage，同时保持 Unsafe 非劣与 review prioritization 能力？</w:t>
      </w:r>
    </w:p>
    <w:p>
      <w:pPr>
        <w:pStyle w:val="ListBullet"/>
      </w:pPr>
      <w:r>
        <w:rPr>
          <w:b/>
        </w:rPr>
        <w:t>测量纪律</w:t>
      </w:r>
      <w:r>
        <w:t>：Coverage 永远与 Unsafe 同报；Error Interception 永远与 Review Burden 同报；自动化安全比较与人工排序比较使用不同参照、共享冻结评价单元与错误定义，不得把"排序更好"改写成"同 Coverage 下更安全"。</w:t>
      </w:r>
    </w:p>
    <w:p>
      <w:pPr>
        <w:pStyle w:val="Heading1"/>
      </w:pPr>
      <w:r>
        <w:t>3. 主实验 v1.5.1（冻结结果，保留）</w:t>
      </w:r>
    </w:p>
    <w:p>
      <w:pPr>
        <w:pStyle w:val="ListBullet"/>
      </w:pPr>
      <w:r>
        <w:t>评估单元：1306 个 Primary 相位单元（P 657 + S 649）；错误全集 746（wrong 36 + no_pick 710）。</w:t>
      </w:r>
    </w:p>
    <w:p>
      <w:pPr>
        <w:pStyle w:val="ListBullet"/>
      </w:pPr>
      <w:r>
        <w:t xml:space="preserve">真实有效输出 596/1306 = </w:t>
      </w:r>
      <w:r>
        <w:rPr>
          <w:b/>
        </w:rPr>
        <w:t>45.64%</w:t>
      </w:r>
      <w:r>
        <w:t xml:space="preserve">（560 correct / 36 wrong / 710 no_pick）；预声明 50% 点位 </w:t>
      </w:r>
      <w:r>
        <w:rPr>
          <w:b/>
        </w:rPr>
        <w:t>NOT_EVALUABLE</w:t>
      </w:r>
      <w:r>
        <w:t>（不可达点位不填 Unsafe、不做显著性结论）。</w:t>
      </w:r>
    </w:p>
    <w:p>
      <w:pPr>
        <w:pStyle w:val="ListBullet"/>
      </w:pPr>
      <w:r>
        <w:t>天花板补充比较（非声明点位）：总体 Δ=+1.17pp，CI [−1.09,+2.93] → INCONCLUSIVE；</w:t>
      </w:r>
      <w:r>
        <w:rPr>
          <w:b/>
        </w:rPr>
        <w:t>S 相在自身 45.45% 天花板处显著更差</w:t>
      </w:r>
      <w:r>
        <w:t>（Δ=+3.39pp，CI [+0.90,+5.96]）。DS1（同 Coverage 下更安全）未成立。</w:t>
      </w:r>
    </w:p>
    <w:p>
      <w:pPr>
        <w:pStyle w:val="ListBullet"/>
      </w:pPr>
      <w:r>
        <w:t xml:space="preserve">原始产物冻结于 </w:t>
      </w:r>
      <w:r>
        <w:rPr>
          <w:rFonts w:ascii="Consolas" w:hAnsi="Consolas"/>
        </w:rPr>
        <w:t>results/v151_archive/</w:t>
      </w:r>
      <w:r>
        <w:t>，任何后续实验（bugfix、EXP17）不改写该目录。</w:t>
      </w:r>
    </w:p>
    <w:p>
      <w:pPr>
        <w:pStyle w:val="Heading1"/>
      </w:pPr>
      <w:r>
        <w:t>4. EXP16 Review Efficiency（明确正结果）</w:t>
      </w:r>
    </w:p>
    <w:p>
      <w:r>
        <w:t>在冻结预测上比较四种送审排序（不重训模型、不改 Trust score、不改 DS），错误全集 746，作用于相同 1306 单元：</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Review budget</w:t>
            </w:r>
          </w:p>
        </w:tc>
        <w:tc>
          <w:tcPr>
            <w:tcW w:type="dxa" w:w="1728"/>
          </w:tcPr>
          <w:p>
            <w:r>
              <w:t>TrustRisk</w:t>
            </w:r>
          </w:p>
        </w:tc>
        <w:tc>
          <w:tcPr>
            <w:tcW w:type="dxa" w:w="1728"/>
          </w:tcPr>
          <w:p>
            <w:r>
              <w:t>Random</w:t>
            </w:r>
          </w:p>
        </w:tc>
        <w:tc>
          <w:tcPr>
            <w:tcW w:type="dxa" w:w="1728"/>
          </w:tcPr>
          <w:p>
            <w:r>
              <w:t>ModelConf</w:t>
            </w:r>
          </w:p>
        </w:tc>
        <w:tc>
          <w:tcPr>
            <w:tcW w:type="dxa" w:w="1728"/>
          </w:tcPr>
          <w:p>
            <w:r>
              <w:t>Disagreement</w:t>
            </w:r>
          </w:p>
        </w:tc>
      </w:tr>
      <w:tr>
        <w:tc>
          <w:tcPr>
            <w:tcW w:type="dxa" w:w="1728"/>
          </w:tcPr>
          <w:p>
            <w:r>
              <w:t>5%</w:t>
            </w:r>
          </w:p>
        </w:tc>
        <w:tc>
          <w:tcPr>
            <w:tcW w:type="dxa" w:w="1728"/>
          </w:tcPr>
          <w:p>
            <w:r>
              <w:t>8.7%</w:t>
            </w:r>
          </w:p>
        </w:tc>
        <w:tc>
          <w:tcPr>
            <w:tcW w:type="dxa" w:w="1728"/>
          </w:tcPr>
          <w:p>
            <w:r>
              <w:t>5.0%</w:t>
            </w:r>
          </w:p>
        </w:tc>
        <w:tc>
          <w:tcPr>
            <w:tcW w:type="dxa" w:w="1728"/>
          </w:tcPr>
          <w:p>
            <w:r>
              <w:t>8.6%</w:t>
            </w:r>
          </w:p>
        </w:tc>
        <w:tc>
          <w:tcPr>
            <w:tcW w:type="dxa" w:w="1728"/>
          </w:tcPr>
          <w:p>
            <w:r>
              <w:t>6.7%</w:t>
            </w:r>
          </w:p>
        </w:tc>
      </w:tr>
      <w:tr>
        <w:tc>
          <w:tcPr>
            <w:tcW w:type="dxa" w:w="1728"/>
          </w:tcPr>
          <w:p>
            <w:r>
              <w:t>10%</w:t>
            </w:r>
          </w:p>
        </w:tc>
        <w:tc>
          <w:tcPr>
            <w:tcW w:type="dxa" w:w="1728"/>
          </w:tcPr>
          <w:p>
            <w:r>
              <w:t>17.4%</w:t>
            </w:r>
          </w:p>
        </w:tc>
        <w:tc>
          <w:tcPr>
            <w:tcW w:type="dxa" w:w="1728"/>
          </w:tcPr>
          <w:p>
            <w:r>
              <w:t>10.1%</w:t>
            </w:r>
          </w:p>
        </w:tc>
        <w:tc>
          <w:tcPr>
            <w:tcW w:type="dxa" w:w="1728"/>
          </w:tcPr>
          <w:p>
            <w:r>
              <w:t>15.8%</w:t>
            </w:r>
          </w:p>
        </w:tc>
        <w:tc>
          <w:tcPr>
            <w:tcW w:type="dxa" w:w="1728"/>
          </w:tcPr>
          <w:p>
            <w:r>
              <w:t>13.7%</w:t>
            </w:r>
          </w:p>
        </w:tc>
      </w:tr>
      <w:tr>
        <w:tc>
          <w:tcPr>
            <w:tcW w:type="dxa" w:w="1728"/>
          </w:tcPr>
          <w:p>
            <w:r>
              <w:t>20%</w:t>
            </w:r>
          </w:p>
        </w:tc>
        <w:tc>
          <w:tcPr>
            <w:tcW w:type="dxa" w:w="1728"/>
          </w:tcPr>
          <w:p>
            <w:r>
              <w:t>34.5%</w:t>
            </w:r>
          </w:p>
        </w:tc>
        <w:tc>
          <w:tcPr>
            <w:tcW w:type="dxa" w:w="1728"/>
          </w:tcPr>
          <w:p>
            <w:r>
              <w:t>20.0%</w:t>
            </w:r>
          </w:p>
        </w:tc>
        <w:tc>
          <w:tcPr>
            <w:tcW w:type="dxa" w:w="1728"/>
          </w:tcPr>
          <w:p>
            <w:r>
              <w:t>27.7%</w:t>
            </w:r>
          </w:p>
        </w:tc>
        <w:tc>
          <w:tcPr>
            <w:tcW w:type="dxa" w:w="1728"/>
          </w:tcPr>
          <w:p>
            <w:r>
              <w:t>27.7%</w:t>
            </w:r>
          </w:p>
        </w:tc>
      </w:tr>
      <w:tr>
        <w:tc>
          <w:tcPr>
            <w:tcW w:type="dxa" w:w="1728"/>
          </w:tcPr>
          <w:p>
            <w:r>
              <w:t>30%</w:t>
            </w:r>
          </w:p>
        </w:tc>
        <w:tc>
          <w:tcPr>
            <w:tcW w:type="dxa" w:w="1728"/>
          </w:tcPr>
          <w:p>
            <w:r>
              <w:t>51.2%</w:t>
            </w:r>
          </w:p>
        </w:tc>
        <w:tc>
          <w:tcPr>
            <w:tcW w:type="dxa" w:w="1728"/>
          </w:tcPr>
          <w:p>
            <w:r>
              <w:t>30.0%</w:t>
            </w:r>
          </w:p>
        </w:tc>
        <w:tc>
          <w:tcPr>
            <w:tcW w:type="dxa" w:w="1728"/>
          </w:tcPr>
          <w:p>
            <w:r>
              <w:t>39.3%</w:t>
            </w:r>
          </w:p>
        </w:tc>
        <w:tc>
          <w:tcPr>
            <w:tcW w:type="dxa" w:w="1728"/>
          </w:tcPr>
          <w:p>
            <w:r>
              <w:t>37.7%</w:t>
            </w:r>
          </w:p>
        </w:tc>
      </w:tr>
      <w:tr>
        <w:tc>
          <w:tcPr>
            <w:tcW w:type="dxa" w:w="1728"/>
          </w:tcPr>
          <w:p>
            <w:r>
              <w:t>50%</w:t>
            </w:r>
          </w:p>
        </w:tc>
        <w:tc>
          <w:tcPr>
            <w:tcW w:type="dxa" w:w="1728"/>
          </w:tcPr>
          <w:p>
            <w:r>
              <w:t>83.6%</w:t>
            </w:r>
          </w:p>
        </w:tc>
        <w:tc>
          <w:tcPr>
            <w:tcW w:type="dxa" w:w="1728"/>
          </w:tcPr>
          <w:p>
            <w:r>
              <w:t>50.0%</w:t>
            </w:r>
          </w:p>
        </w:tc>
        <w:tc>
          <w:tcPr>
            <w:tcW w:type="dxa" w:w="1728"/>
          </w:tcPr>
          <w:p>
            <w:r>
              <w:t>59.9%</w:t>
            </w:r>
          </w:p>
        </w:tc>
        <w:tc>
          <w:tcPr>
            <w:tcW w:type="dxa" w:w="1728"/>
          </w:tcPr>
          <w:p>
            <w:r>
              <w:t>56.3%</w:t>
            </w:r>
          </w:p>
        </w:tc>
      </w:tr>
    </w:tbl>
    <w:p>
      <w:pPr>
        <w:pStyle w:val="ListBullet"/>
      </w:pPr>
      <w:r>
        <w:t>统计背书（cluster bootstrap，60 台站 × 1000 次，seed 42）：Trust−Random 全预算点显著（50% 预算 Δ=+33.6pp，CI [+19.0,+35.65]）；Trust−Disagreement 全点显著；Trust−ModelConf 在 ≥10% 预算显著，5% 点 INCONCLUSIVE（如实保留）。</w:t>
      </w:r>
    </w:p>
    <w:p>
      <w:pPr>
        <w:pStyle w:val="ListBullet"/>
      </w:pPr>
      <w:r>
        <w:t>holdout 佐证（260 单元 / 161 错误）：Trust 80.1% vs Random 49.9% / ModelConf 56.5% / Disagreement 59.0%。</w:t>
      </w:r>
    </w:p>
    <w:p>
      <w:pPr>
        <w:pStyle w:val="ListBullet"/>
      </w:pPr>
      <w:r>
        <w:t>同截获率所需预算（反查表）：80% 截获率 Trust 需约 47% 复核预算，Random 需 80%。</w:t>
      </w:r>
    </w:p>
    <w:p>
      <w:pPr>
        <w:pStyle w:val="ListBullet"/>
      </w:pPr>
      <w:r>
        <w:t>边界：该结果支持"风险排序提高复核效率"，未做真实人工时间/成本实验，不宣称"人工成本下降 X%"。</w:t>
      </w:r>
    </w:p>
    <w:p>
      <w:pPr>
        <w:pStyle w:val="Heading1"/>
      </w:pPr>
      <w:r>
        <w:t>5. EXP17 Policy Refinement（post-hoc，failure-driven）</w:t>
      </w:r>
    </w:p>
    <w:p>
      <w:pPr>
        <w:pStyle w:val="Heading2"/>
      </w:pPr>
      <w:r>
        <w:t>5.1 身份与边界</w:t>
      </w:r>
    </w:p>
    <w:p>
      <w:r>
        <w:t xml:space="preserve">EXP17 是 v1.5.1 之后的 </w:t>
      </w:r>
      <w:r>
        <w:rPr>
          <w:b/>
        </w:rPr>
        <w:t>post-hoc failure-driven refinement</w:t>
      </w:r>
      <w:r>
        <w:t xml:space="preserve">，不是原始预声明实验。数据、模型、评价单元与 truth-blind 边界保持冻结；初版判据及后续修订均在 </w:t>
      </w:r>
      <w:r>
        <w:rPr>
          <w:rFonts w:ascii="Consolas" w:hAnsi="Consolas"/>
        </w:rPr>
        <w:t>docs/experiments/exp17_preregistration.md</w:t>
      </w:r>
      <w:r>
        <w:t xml:space="preserve"> 留痕。当前四判据按最终裁决协议执行，其中 c2 的 Voting@50 配对 bootstrap 口径在探索过程中完成修订，因此不构成严格预注册确证。routing rule 只使用推理时可见证据，禁止使用 evaluation truth。</w:t>
      </w:r>
    </w:p>
    <w:p>
      <w:pPr>
        <w:pStyle w:val="Heading2"/>
      </w:pPr>
      <w:r>
        <w:t>5.2 bugfix 与 refinement 分轨</w:t>
      </w:r>
    </w:p>
    <w:p>
      <w:pPr>
        <w:pStyle w:val="ListBullet"/>
      </w:pPr>
      <w:r>
        <w:rPr>
          <w:rFonts w:ascii="Consolas" w:hAnsi="Consolas"/>
        </w:rPr>
        <w:t>v1.5.1-bugfix</w:t>
      </w:r>
      <w:r>
        <w:t>（</w:t>
      </w:r>
      <w:r>
        <w:rPr>
          <w:rFonts w:ascii="Consolas" w:hAnsi="Consolas"/>
        </w:rPr>
        <w:t>3efc94c</w:t>
      </w:r>
      <w:r>
        <w:t>）：ROUTE 必须选择具有目标相位有效 prediction 的模型——修复 7 个 invalid-pick action，核心数值零变化，</w:t>
      </w:r>
      <w:r>
        <w:rPr>
          <w:b/>
        </w:rPr>
        <w:t>不计算法贡献</w:t>
      </w:r>
      <w:r>
        <w:t>。</w:t>
      </w:r>
    </w:p>
    <w:p>
      <w:pPr>
        <w:pStyle w:val="ListBullet"/>
      </w:pPr>
      <w:r>
        <w:t>EXP17-A/B/C 在 bugfix 基线上单变量评估。</w:t>
      </w:r>
    </w:p>
    <w:p>
      <w:pPr>
        <w:pStyle w:val="Heading2"/>
      </w:pPr>
      <w:r>
        <w:t>5.3 诊断（`results/policy_diagnosis.json`）</w:t>
      </w:r>
    </w:p>
    <w:p>
      <w:r>
        <w:t>703 个未自动输出：Step 5 证据不足 487（430 个至少一模型正确，312 个全对，仅事后诊断）、Step 4.5 共识无融合 112（105/89）、真分歧 99（91/10）、其他 5。101/112 已满足 FUSE floor 0.70——瓶颈是证据准入与 routing 保守，而非置信门槛。距离 50% Coverage 只差 57 个真实 selected pick。</w:t>
      </w:r>
    </w:p>
    <w:p>
      <w:pPr>
        <w:pStyle w:val="Heading2"/>
      </w:pPr>
      <w:r>
        <w:t>5.4 干预结果与判据</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方案</w:t>
            </w:r>
          </w:p>
        </w:tc>
        <w:tc>
          <w:tcPr>
            <w:tcW w:type="dxa" w:w="1440"/>
          </w:tcPr>
          <w:p>
            <w:r>
              <w:t>c1 Coverage</w:t>
            </w:r>
          </w:p>
        </w:tc>
        <w:tc>
          <w:tcPr>
            <w:tcW w:type="dxa" w:w="1440"/>
          </w:tcPr>
          <w:p>
            <w:r>
              <w:t>c2 Safety</w:t>
            </w:r>
          </w:p>
        </w:tc>
        <w:tc>
          <w:tcPr>
            <w:tcW w:type="dxa" w:w="1440"/>
          </w:tcPr>
          <w:p>
            <w:r>
              <w:t>c3 Review @50%</w:t>
            </w:r>
          </w:p>
        </w:tc>
        <w:tc>
          <w:tcPr>
            <w:tcW w:type="dxa" w:w="1440"/>
          </w:tcPr>
          <w:p>
            <w:r>
              <w:t>c4 分箱</w:t>
            </w:r>
          </w:p>
        </w:tc>
        <w:tc>
          <w:tcPr>
            <w:tcW w:type="dxa" w:w="1440"/>
          </w:tcPr>
          <w:p>
            <w:r>
              <w:t>裁决</w:t>
            </w:r>
          </w:p>
        </w:tc>
      </w:tr>
      <w:tr>
        <w:tc>
          <w:tcPr>
            <w:tcW w:type="dxa" w:w="1440"/>
          </w:tcPr>
          <w:p>
            <w:r>
              <w:t>A Consensus Route</w:t>
            </w:r>
          </w:p>
        </w:tc>
        <w:tc>
          <w:tcPr>
            <w:tcW w:type="dxa" w:w="1440"/>
          </w:tcPr>
          <w:p>
            <w:r>
              <w:t>54.13% ✓</w:t>
            </w:r>
          </w:p>
        </w:tc>
        <w:tc>
          <w:tcPr>
            <w:tcW w:type="dxa" w:w="1440"/>
          </w:tcPr>
          <w:p>
            <w:r>
              <w:t>点估计 +0.92pp；上界 +2.24pp ✗</w:t>
            </w:r>
          </w:p>
        </w:tc>
        <w:tc>
          <w:tcPr>
            <w:tcW w:type="dxa" w:w="1440"/>
          </w:tcPr>
          <w:p>
            <w:r>
              <w:t>94.26% ✓</w:t>
            </w:r>
          </w:p>
        </w:tc>
        <w:tc>
          <w:tcPr>
            <w:tcW w:type="dxa" w:w="1440"/>
          </w:tcPr>
          <w:p>
            <w:r>
              <w:t>4.17→9.14→28.57 ✓</w:t>
            </w:r>
          </w:p>
        </w:tc>
        <w:tc>
          <w:tcPr>
            <w:tcW w:type="dxa" w:w="1440"/>
          </w:tcPr>
          <w:p>
            <w:r>
              <w:t>保留为最佳候选 refinement（用于报告 Coverage recovery；c2 未确认，不作部署结论）</w:t>
            </w:r>
          </w:p>
        </w:tc>
      </w:tr>
      <w:tr>
        <w:tc>
          <w:tcPr>
            <w:tcW w:type="dxa" w:w="1440"/>
          </w:tcPr>
          <w:p>
            <w:r>
              <w:t>B Only-usable-survivor</w:t>
            </w:r>
          </w:p>
        </w:tc>
        <w:tc>
          <w:tcPr>
            <w:tcW w:type="dxa" w:w="1440"/>
          </w:tcPr>
          <w:p>
            <w:r>
              <w:t>81.62% ✓</w:t>
            </w:r>
          </w:p>
        </w:tc>
        <w:tc>
          <w:tcPr>
            <w:tcW w:type="dxa" w:w="1440"/>
          </w:tcPr>
          <w:p>
            <w:r>
              <w:t>上界 +4.87pp ✗</w:t>
            </w:r>
          </w:p>
        </w:tc>
        <w:tc>
          <w:tcPr>
            <w:tcW w:type="dxa" w:w="1440"/>
          </w:tcPr>
          <w:p>
            <w:r>
              <w:t>64.55% ✗</w:t>
            </w:r>
          </w:p>
        </w:tc>
        <w:tc>
          <w:tcPr>
            <w:tcW w:type="dxa" w:w="1440"/>
          </w:tcPr>
          <w:p>
            <w:r>
              <w:t>PASS</w:t>
            </w:r>
          </w:p>
        </w:tc>
        <w:tc>
          <w:tcPr>
            <w:tcW w:type="dxa" w:w="1440"/>
          </w:tcPr>
          <w:p>
            <w:r>
              <w:t>弃用（safety+ranking 双败，负结果保留）</w:t>
            </w:r>
          </w:p>
        </w:tc>
      </w:tr>
      <w:tr>
        <w:tc>
          <w:tcPr>
            <w:tcW w:type="dxa" w:w="1440"/>
          </w:tcPr>
          <w:p>
            <w:r>
              <w:t>A+B 累加</w:t>
            </w:r>
          </w:p>
        </w:tc>
        <w:tc>
          <w:tcPr>
            <w:tcW w:type="dxa" w:w="1440"/>
          </w:tcPr>
          <w:p>
            <w:r>
              <w:t>90.12% ✓</w:t>
            </w:r>
          </w:p>
        </w:tc>
        <w:tc>
          <w:tcPr>
            <w:tcW w:type="dxa" w:w="1440"/>
          </w:tcPr>
          <w:p>
            <w:r>
              <w:t>上界 +4.0pp ✗</w:t>
            </w:r>
          </w:p>
        </w:tc>
        <w:tc>
          <w:tcPr>
            <w:tcW w:type="dxa" w:w="1440"/>
          </w:tcPr>
          <w:p>
            <w:r>
              <w:t>84.96%</w:t>
            </w:r>
          </w:p>
        </w:tc>
        <w:tc>
          <w:tcPr>
            <w:tcW w:type="dxa" w:w="1440"/>
          </w:tcPr>
          <w:p>
            <w:r>
              <w:t>—</w:t>
            </w:r>
          </w:p>
        </w:tc>
        <w:tc>
          <w:tcPr>
            <w:tcW w:type="dxa" w:w="1440"/>
          </w:tcPr>
          <w:p>
            <w:r>
              <w:t>弃用组合（留档）</w:t>
            </w:r>
          </w:p>
        </w:tc>
      </w:tr>
      <w:tr>
        <w:tc>
          <w:tcPr>
            <w:tcW w:type="dxa" w:w="1440"/>
          </w:tcPr>
          <w:p>
            <w:r>
              <w:t>C floor sweep</w:t>
            </w:r>
          </w:p>
        </w:tc>
        <w:tc>
          <w:tcPr>
            <w:tcW w:type="dxa" w:w="1440"/>
          </w:tcPr>
          <w:p>
            <w:r>
              <w:t>0.60→51.76%；0.55→53.22%</w:t>
            </w:r>
          </w:p>
        </w:tc>
        <w:tc>
          <w:tcPr>
            <w:tcW w:type="dxa" w:w="1440"/>
          </w:tcPr>
          <w:p>
            <w:r>
              <w:t>各档 c2 均 ✗</w:t>
            </w:r>
          </w:p>
        </w:tc>
        <w:tc>
          <w:tcPr>
            <w:tcW w:type="dxa" w:w="1440"/>
          </w:tcPr>
          <w:p>
            <w:r>
              <w:t>—</w:t>
            </w:r>
          </w:p>
        </w:tc>
        <w:tc>
          <w:tcPr>
            <w:tcW w:type="dxa" w:w="1440"/>
          </w:tcPr>
          <w:p>
            <w:r>
              <w:t>—</w:t>
            </w:r>
          </w:p>
        </w:tc>
        <w:tc>
          <w:tcPr>
            <w:tcW w:type="dxa" w:w="1440"/>
          </w:tcPr>
          <w:p>
            <w:r>
              <w:t>留档实验，不升级；均劣于 A</w:t>
            </w:r>
          </w:p>
        </w:tc>
      </w:tr>
    </w:tbl>
    <w:p>
      <w:r>
        <w:t>c2 判据：ΔUnsafe = Unsafe_EXP17@50 − Voting@50（冻结锚点 4.59%），配对 station-cluster bootstrap（60 台站 × 1000，seed 42）单侧 95% 上界 &lt; +2.0pp。点估计 ≤+1.0pp 仅为内部绿灯，不替代 c2。</w:t>
      </w:r>
    </w:p>
    <w:p>
      <w:pPr>
        <w:pStyle w:val="Heading2"/>
      </w:pPr>
      <w:r>
        <w:t>5.5 R1 参数来源审计</w:t>
      </w:r>
    </w:p>
    <w:p>
      <w:r>
        <w:t>运行路径 fusion 内聚容差读取校准导出值 P=0.34s / S=0.51s；legacy 常量 0.30/0.50 仅剩 config=None 兜底，不在冻结运行路径。显式固定 0.34/0.51 重跑与冻结 EXP17-A 完全一致（54.13% / 5.51% / 94.26% / 上界 +2.24pp），76/76 tests passed。</w:t>
      </w:r>
      <w:r>
        <w:rPr>
          <w:b/>
        </w:rPr>
        <w:t>R1 PASS 仅表示参数路径复现一致。</w:t>
      </w:r>
    </w:p>
    <w:p>
      <w:pPr>
        <w:pStyle w:val="Heading2"/>
      </w:pPr>
      <w:r>
        <w:t>5.6 统一结论</w:t>
      </w:r>
    </w:p>
    <w:p>
      <w:pPr>
        <w:ind w:left="360"/>
      </w:pPr>
      <w:r>
        <w:rPr>
          <w:b/>
          <w:i/>
        </w:rPr>
        <w:t>Coverage recovery supported; safety non-inferiority inconclusive.</w:t>
      </w:r>
    </w:p>
    <w:p>
      <w:pPr>
        <w:ind w:left="360"/>
      </w:pPr>
      <w:r>
        <w:rPr>
          <w:b/>
          <w:i/>
        </w:rPr>
        <w:t>覆盖率恢复获得支持；安全非劣性尚未建立。</w:t>
      </w:r>
    </w:p>
    <w:p>
      <w:pPr>
        <w:ind w:left="360"/>
      </w:pPr>
      <w:r>
        <w:rPr>
          <w:i/>
        </w:rPr>
        <w:t>c1/c3/c4 PASS，c2 NOT ESTABLISHED；R1 PASS 仅表示参数路径复现一致，不代表 EXP17 总体通过。</w:t>
      </w:r>
    </w:p>
    <w:p>
      <w:pPr>
        <w:pStyle w:val="Heading1"/>
      </w:pPr>
      <w:r>
        <w:t>6. 失败结果与负结果（如实保留）</w:t>
      </w:r>
    </w:p>
    <w:p>
      <w:pPr>
        <w:pStyle w:val="ListNumber"/>
      </w:pPr>
      <w:r>
        <w:t>DS1 未全线成立：同 Coverage 下不比 Voting 显著更安全（天花板补充比较 INCONCLUSIVE）。</w:t>
      </w:r>
    </w:p>
    <w:p>
      <w:pPr>
        <w:pStyle w:val="ListNumber"/>
      </w:pPr>
      <w:r>
        <w:t>S 相长尾显著更差：45.45% 天花板处 Δ=+3.39pp，CI [+0.90,+5.96]。</w:t>
      </w:r>
    </w:p>
    <w:p>
      <w:pPr>
        <w:pStyle w:val="ListNumber"/>
      </w:pPr>
      <w:r>
        <w:t>EXP17-B 双败（c2 +4.87pp、c3 64.55%）——"覆盖率好看 ≠ 可接受"的实证。</w:t>
      </w:r>
    </w:p>
    <w:p>
      <w:pPr>
        <w:pStyle w:val="ListNumber"/>
      </w:pPr>
      <w:r>
        <w:t>EXP17-A 的 c2：点估计 +0.92pp 在工程界内，但 CI 级非劣未建立（上界 +2.24pp &gt; +2.0pp）。</w:t>
      </w:r>
    </w:p>
    <w:p>
      <w:pPr>
        <w:pStyle w:val="ListNumber"/>
      </w:pPr>
      <w:r>
        <w:t>EXP17-C floor sweep：全局降 floor 可推开天花板但均劣于 A。</w:t>
      </w:r>
    </w:p>
    <w:p>
      <w:pPr>
        <w:pStyle w:val="ListNumber"/>
      </w:pPr>
      <w:r>
        <w:t>DS3 分歧-错误相关性不成立（P 不显著、S 极弱；"完全一致也会错"11.3%/8.0%）。</w:t>
      </w:r>
    </w:p>
    <w:p>
      <w:pPr>
        <w:pStyle w:val="ListNumber"/>
      </w:pPr>
      <w:r>
        <w:t>DS4 相关性不成立（自然数据上缺道/低信号与错误风险无关）。</w:t>
      </w:r>
    </w:p>
    <w:p>
      <w:pPr>
        <w:pStyle w:val="ListNumber"/>
      </w:pPr>
      <w:r>
        <w:t>DS5 原条款不成立（_BLANCO 跨域后与 Voting 同降至 21.5%）。</w:t>
      </w:r>
    </w:p>
    <w:p>
      <w:pPr>
        <w:pStyle w:val="ListNumber"/>
      </w:pPr>
      <w:r>
        <w:t xml:space="preserve">22 个漏检反例（含 15 个 wrong 输出中至少一个单模型正确、7 个 &gt;30s 错误全部为 S 相）见 </w:t>
      </w:r>
      <w:r>
        <w:rPr>
          <w:rFonts w:ascii="Consolas" w:hAnsi="Consolas"/>
        </w:rPr>
        <w:t>results/failure_raw.csv</w:t>
      </w:r>
      <w:r>
        <w:t>。</w:t>
      </w:r>
    </w:p>
    <w:p>
      <w:pPr>
        <w:pStyle w:val="ListNumber"/>
      </w:pPr>
      <w:r>
        <w:t xml:space="preserve">历史小样本校准、故障注入、非单调 risk curve 等早期方法保留于 </w:t>
      </w:r>
      <w:r>
        <w:rPr>
          <w:rFonts w:ascii="Consolas" w:hAnsi="Consolas"/>
        </w:rPr>
        <w:t>docs/experiments/legacy/</w:t>
      </w:r>
      <w:r>
        <w:t>。</w:t>
      </w:r>
    </w:p>
    <w:p>
      <w:pPr>
        <w:pStyle w:val="Heading1"/>
      </w:pPr>
      <w:r>
        <w:t>7. 可检查性与实验治理</w:t>
      </w:r>
    </w:p>
    <w:p>
      <w:pPr>
        <w:pStyle w:val="Heading2"/>
      </w:pPr>
      <w:r>
        <w:t>7.1 Fixed / Searchable / Feedback</w:t>
      </w:r>
    </w:p>
    <w:p>
      <w:pPr>
        <w:pStyle w:val="ListBullet"/>
      </w:pPr>
      <w:r>
        <w:rPr>
          <w:b/>
        </w:rPr>
        <w:t>Fixed（冻结事实）</w:t>
      </w:r>
      <w:r>
        <w:t>：数据、四套 checkpoint、GT 容差、seed、相位级协议、Voting 参照、+2.0pp 非劣界——冻结后不因结果改动；Demo 中为只读展示（EXP17/R1 Evidence、Equal-Coverage 面板、45.64% 天花板）。</w:t>
      </w:r>
    </w:p>
    <w:p>
      <w:pPr>
        <w:pStyle w:val="ListBullet"/>
      </w:pPr>
      <w:r>
        <w:rPr>
          <w:b/>
        </w:rPr>
        <w:t>Searchable（可探索假设）</w:t>
      </w:r>
      <w:r>
        <w:t>：风险阈值、P/S 容差、数据证据权重四个入口可调；每次改动经真实 Trust Engine 重算（</w:t>
      </w:r>
      <w:r>
        <w:rPr>
          <w:rFonts w:ascii="Consolas" w:hAnsi="Consolas"/>
        </w:rPr>
        <w:t>run_pipeline</w:t>
      </w:r>
      <w:r>
        <w:t>），并在界面标注偏离冻结默认。</w:t>
      </w:r>
    </w:p>
    <w:p>
      <w:pPr>
        <w:pStyle w:val="ListBullet"/>
      </w:pPr>
      <w:r>
        <w:rPr>
          <w:b/>
        </w:rPr>
        <w:t>Feedback（成对反馈）</w:t>
      </w:r>
      <w:r>
        <w:t>：Coverage 永远与 Unsafe 同报；Error Interception 永远与 Review Burden 同报；Selective Risk 空值显示 NOT EVALUABLE。</w:t>
      </w:r>
    </w:p>
    <w:p>
      <w:pPr>
        <w:pStyle w:val="Heading2"/>
      </w:pPr>
      <w:r>
        <w:t>7.2 Observation / Action / Tools</w:t>
      </w:r>
    </w:p>
    <w:p>
      <w:pPr>
        <w:pStyle w:val="ListBullet"/>
      </w:pPr>
      <w:r>
        <w:rPr>
          <w:b/>
        </w:rPr>
        <w:t>Observation</w:t>
      </w:r>
      <w:r>
        <w:t>：四证据风险分解（数据 30 / 单模型 24 / 多模型 37 / 物理 40）、模型评估状态、P/S 决策与原因码、批量统计——全部来自冻结结果文件或真实重算。</w:t>
      </w:r>
    </w:p>
    <w:p>
      <w:pPr>
        <w:pStyle w:val="ListBullet"/>
      </w:pPr>
      <w:r>
        <w:rPr>
          <w:b/>
        </w:rPr>
        <w:t>Action</w:t>
      </w:r>
      <w:r>
        <w:t>：ACCEPT / ROUTE / FUSE / ABSTAIN 四类动作，每个动作携带 reason_codes 与选中模型/时间。</w:t>
      </w:r>
    </w:p>
    <w:p>
      <w:pPr>
        <w:pStyle w:val="ListBullet"/>
      </w:pPr>
      <w:r>
        <w:rPr>
          <w:b/>
        </w:rPr>
        <w:t>Tools</w:t>
      </w:r>
      <w:r>
        <w:t xml:space="preserve">：Demo（Streamlit + FastAPI 双服务）；复现工具链 </w:t>
      </w:r>
      <w:r>
        <w:rPr>
          <w:rFonts w:ascii="Consolas" w:hAnsi="Consolas"/>
        </w:rPr>
        <w:t>reproduce_core.sh</w:t>
      </w:r>
      <w:r>
        <w:t>、</w:t>
      </w:r>
      <w:r>
        <w:rPr>
          <w:rFonts w:ascii="Consolas" w:hAnsi="Consolas"/>
        </w:rPr>
        <w:t>reproduce_exp17.sh</w:t>
      </w:r>
      <w:r>
        <w:t>、</w:t>
      </w:r>
      <w:r>
        <w:rPr>
          <w:rFonts w:ascii="Consolas" w:hAnsi="Consolas"/>
        </w:rPr>
        <w:t>python -m src.experiments.exp17_final_runlog</w:t>
      </w:r>
      <w:r>
        <w:t>（最终 EXP17-A/R1 运行日志）、</w:t>
      </w:r>
      <w:r>
        <w:rPr>
          <w:rFonts w:ascii="Consolas" w:hAnsi="Consolas"/>
        </w:rPr>
        <w:t>scripts/verify_exp17_evidence.py</w:t>
      </w:r>
      <w:r>
        <w:t>（只读终检）。</w:t>
      </w:r>
    </w:p>
    <w:p>
      <w:pPr>
        <w:pStyle w:val="Heading2"/>
      </w:pPr>
      <w:r>
        <w:t>7.3 Verifier / Ground Truth / Agent 可见边界</w:t>
      </w:r>
    </w:p>
    <w:p>
      <w:pPr>
        <w:pStyle w:val="ListBullet"/>
      </w:pPr>
      <w:r>
        <w:rPr>
          <w:b/>
        </w:rPr>
        <w:t>Verifier</w:t>
      </w:r>
      <w:r>
        <w:t>：正确性判定协议（P ±0.5s / S ±1.0s，逐单元对账）、冻结物 sha256 校验（reproduce 第 1 步）、v1.5.1 对账（必须 0 差异）、配对 bootstrap、76 项测试、</w:t>
      </w:r>
      <w:r>
        <w:rPr>
          <w:rFonts w:ascii="Consolas" w:hAnsi="Consolas"/>
        </w:rPr>
        <w:t>verify_exp17_evidence.py</w:t>
      </w:r>
      <w:r>
        <w:t>。</w:t>
      </w:r>
    </w:p>
    <w:p>
      <w:pPr>
        <w:pStyle w:val="ListBullet"/>
      </w:pPr>
      <w:r>
        <w:rPr>
          <w:b/>
        </w:rPr>
        <w:t>Ground Truth</w:t>
      </w:r>
      <w:r>
        <w:t>：</w:t>
      </w:r>
      <w:r>
        <w:rPr>
          <w:rFonts w:ascii="Consolas" w:hAnsi="Consolas"/>
        </w:rPr>
        <w:t>data/manifest_phase.csv</w:t>
      </w:r>
      <w:r>
        <w:t xml:space="preserve"> 的 1306 个相位单元真值——</w:t>
      </w:r>
      <w:r>
        <w:rPr>
          <w:b/>
        </w:rPr>
        <w:t>只用于验证（Verifier），永不进入 routing rule</w:t>
      </w:r>
      <w:r>
        <w:t>。</w:t>
      </w:r>
    </w:p>
    <w:p>
      <w:pPr>
        <w:pStyle w:val="ListBullet"/>
      </w:pPr>
      <w:r>
        <w:rPr>
          <w:b/>
        </w:rPr>
        <w:t>Agent 可见信息</w:t>
      </w:r>
      <w:r>
        <w:t>：推理时可用的共识结构、幸存者计数、spread、校准置信度、模型适用性、相位、冻结历史可靠性。</w:t>
      </w:r>
    </w:p>
    <w:p>
      <w:pPr>
        <w:pStyle w:val="ListBullet"/>
      </w:pPr>
      <w:r>
        <w:rPr>
          <w:b/>
        </w:rPr>
        <w:t>Agent 不可见信息</w:t>
      </w:r>
      <w:r>
        <w:t>：当前 evaluation truth、未来样本标签——EXP17 所有干预均为 truth-blind。</w:t>
      </w:r>
    </w:p>
    <w:p>
      <w:pPr>
        <w:pStyle w:val="Heading2"/>
      </w:pPr>
      <w:r>
        <w:t>7.4 人工干预、post-hoc refinement、多次运行与选择规则</w:t>
      </w:r>
    </w:p>
    <w:p>
      <w:pPr>
        <w:pStyle w:val="ListBullet"/>
      </w:pPr>
      <w:r>
        <w:rPr>
          <w:b/>
        </w:rPr>
        <w:t>人工干预（探索期真实裁决，逐条留痕）</w:t>
      </w:r>
      <w:r>
        <w:t>：最终裁决（C 方案 a：采用 A / 弃用 B，c2 锚点修订为 Voting@50 4.59% 配对 bootstrap，</w:t>
      </w:r>
      <w:r>
        <w:rPr>
          <w:rFonts w:ascii="Consolas" w:hAnsi="Consolas"/>
        </w:rPr>
        <w:t>exp17_preregistration.md</w:t>
      </w:r>
      <w:r>
        <w:t xml:space="preserve"> §最终裁决与§0）；EXP17-R1 预注册（替代值 0.34/0.51 先于结果冻结）；c2 数字对齐（</w:t>
      </w:r>
      <w:r>
        <w:rPr>
          <w:rFonts w:ascii="Consolas" w:hAnsi="Consolas"/>
        </w:rPr>
        <w:t>e5ff41c</w:t>
      </w:r>
      <w:r>
        <w:t>）。最终运行过程本身无人工干预。</w:t>
      </w:r>
    </w:p>
    <w:p>
      <w:pPr>
        <w:pStyle w:val="ListBullet"/>
      </w:pPr>
      <w:r>
        <w:rPr>
          <w:b/>
        </w:rPr>
        <w:t>post-hoc 身份</w:t>
      </w:r>
      <w:r>
        <w:t>：EXP17 是 post-hoc、failure-driven refinement，不是原始预注册确证实验；判据修订均留痕。</w:t>
      </w:r>
    </w:p>
    <w:p>
      <w:pPr>
        <w:pStyle w:val="ListBullet"/>
      </w:pPr>
      <w:r>
        <w:rPr>
          <w:b/>
        </w:rPr>
        <w:t>多次运行与 A/B 选择规则</w:t>
      </w:r>
      <w:r>
        <w:t xml:space="preserve">：干预单变量、顺序 A→B→C、逐干预验收；四判据全部满足才 PASS，任一失败回退记负结果；禁止为达标微调干预参数、界值或 bootstrap 口径；点估计 ≤+1.0pp 仅为内部绿灯。（运行清单见 </w:t>
      </w:r>
      <w:r>
        <w:rPr>
          <w:rFonts w:ascii="Consolas" w:hAnsi="Consolas"/>
        </w:rPr>
        <w:t>results/exp17_final_runlog.jsonl</w:t>
      </w:r>
      <w:r>
        <w:t xml:space="preserve"> 的 meta_multi_runs_selection_rules 记录。）</w:t>
      </w:r>
    </w:p>
    <w:p>
      <w:pPr>
        <w:pStyle w:val="Heading2"/>
      </w:pPr>
      <w:r>
        <w:t>7.5 三条实验轨道的分轨关系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轨道</w:t>
            </w:r>
          </w:p>
        </w:tc>
        <w:tc>
          <w:tcPr>
            <w:tcW w:type="dxa" w:w="2880"/>
          </w:tcPr>
          <w:p>
            <w:r>
              <w:t>身份</w:t>
            </w:r>
          </w:p>
        </w:tc>
        <w:tc>
          <w:tcPr>
            <w:tcW w:type="dxa" w:w="2880"/>
          </w:tcPr>
          <w:p>
            <w:r>
              <w:t>状态</w:t>
            </w:r>
          </w:p>
        </w:tc>
      </w:tr>
      <w:tr>
        <w:tc>
          <w:tcPr>
            <w:tcW w:type="dxa" w:w="2880"/>
          </w:tcPr>
          <w:p>
            <w:r>
              <w:t>v1.5.1</w:t>
            </w:r>
          </w:p>
        </w:tc>
        <w:tc>
          <w:tcPr>
            <w:tcW w:type="dxa" w:w="2880"/>
          </w:tcPr>
          <w:p>
            <w:r>
              <w:t>原正式结果（45.64% 天花板 + 负结果）</w:t>
            </w:r>
          </w:p>
        </w:tc>
        <w:tc>
          <w:tcPr>
            <w:tcW w:type="dxa" w:w="2880"/>
          </w:tcPr>
          <w:p>
            <w:r>
              <w:t>冻结于 results/v151_archive/，不被覆盖</w:t>
            </w:r>
          </w:p>
        </w:tc>
      </w:tr>
      <w:tr>
        <w:tc>
          <w:tcPr>
            <w:tcW w:type="dxa" w:w="2880"/>
          </w:tcPr>
          <w:p>
            <w:r>
              <w:t>EXP16</w:t>
            </w:r>
          </w:p>
        </w:tc>
        <w:tc>
          <w:tcPr>
            <w:tcW w:type="dxa" w:w="2880"/>
          </w:tcPr>
          <w:p>
            <w:r>
              <w:t>Review Budget–Error Interception（风险排序）</w:t>
            </w:r>
          </w:p>
        </w:tc>
        <w:tc>
          <w:tcPr>
            <w:tcW w:type="dxa" w:w="2880"/>
          </w:tcPr>
          <w:p>
            <w:r>
              <w:t>明确正结果，独立于 automation safety</w:t>
            </w:r>
          </w:p>
        </w:tc>
      </w:tr>
      <w:tr>
        <w:tc>
          <w:tcPr>
            <w:tcW w:type="dxa" w:w="2880"/>
          </w:tcPr>
          <w:p>
            <w:r>
              <w:t>EXP17</w:t>
            </w:r>
          </w:p>
        </w:tc>
        <w:tc>
          <w:tcPr>
            <w:tcW w:type="dxa" w:w="2880"/>
          </w:tcPr>
          <w:p>
            <w:r>
              <w:t>Failure-driven refinement（A 保留为最佳候选 / B 弃用 / C 留档 / R1 审计）</w:t>
            </w:r>
          </w:p>
        </w:tc>
        <w:tc>
          <w:tcPr>
            <w:tcW w:type="dxa" w:w="2880"/>
          </w:tcPr>
          <w:p>
            <w:r>
              <w:t>覆盖恢复成立；安全非劣未确认</w:t>
            </w:r>
          </w:p>
        </w:tc>
      </w:tr>
    </w:tbl>
    <w:p>
      <w:pPr>
        <w:pStyle w:val="Heading2"/>
      </w:pPr>
      <w:r>
        <w:t>7.6 证据链（主要结果 → 配置 / 数据 / 轨迹 / 结果文件）</w:t>
      </w:r>
    </w:p>
    <w:p>
      <w:pPr>
        <w:pStyle w:val="ListBullet"/>
      </w:pPr>
      <w:r>
        <w:t xml:space="preserve">45.64% → </w:t>
      </w:r>
      <w:r>
        <w:rPr>
          <w:rFonts w:ascii="Consolas" w:hAnsi="Consolas"/>
        </w:rPr>
        <w:t>configs/semifinal_main.yaml</w:t>
      </w:r>
      <w:r>
        <w:t xml:space="preserve">（hash 9727570d…）→ </w:t>
      </w:r>
      <w:r>
        <w:rPr>
          <w:rFonts w:ascii="Consolas" w:hAnsi="Consolas"/>
        </w:rPr>
        <w:t>data/manifest_phase.csv</w:t>
      </w:r>
      <w:r>
        <w:t xml:space="preserve"> → </w:t>
      </w:r>
      <w:r>
        <w:rPr>
          <w:rFonts w:ascii="Consolas" w:hAnsi="Consolas"/>
        </w:rPr>
        <w:t>src/experiments/run_main_experiment.py</w:t>
      </w:r>
      <w:r>
        <w:t xml:space="preserve"> → </w:t>
      </w:r>
      <w:r>
        <w:rPr>
          <w:rFonts w:ascii="Consolas" w:hAnsi="Consolas"/>
        </w:rPr>
        <w:t>results/main_results.csv</w:t>
      </w:r>
      <w:r>
        <w:t xml:space="preserve"> / </w:t>
      </w:r>
      <w:r>
        <w:rPr>
          <w:rFonts w:ascii="Consolas" w:hAnsi="Consolas"/>
        </w:rPr>
        <w:t>results/v151_archive/</w:t>
      </w:r>
      <w:r>
        <w:t>。</w:t>
      </w:r>
    </w:p>
    <w:p>
      <w:pPr>
        <w:pStyle w:val="ListBullet"/>
      </w:pPr>
      <w:r>
        <w:t xml:space="preserve">83.6% / holdout 80.1% → 同上冻结预测 → </w:t>
      </w:r>
      <w:r>
        <w:rPr>
          <w:rFonts w:ascii="Consolas" w:hAnsi="Consolas"/>
        </w:rPr>
        <w:t>src/experiments/review_budget_curve.py</w:t>
      </w:r>
      <w:r>
        <w:t xml:space="preserve"> / </w:t>
      </w:r>
      <w:r>
        <w:rPr>
          <w:rFonts w:ascii="Consolas" w:hAnsi="Consolas"/>
        </w:rPr>
        <w:t>review_budget_ci.py</w:t>
      </w:r>
      <w:r>
        <w:t xml:space="preserve"> → </w:t>
      </w:r>
      <w:r>
        <w:rPr>
          <w:rFonts w:ascii="Consolas" w:hAnsi="Consolas"/>
        </w:rPr>
        <w:t>results/review_budget_*</w:t>
      </w:r>
      <w:r>
        <w:t>。</w:t>
      </w:r>
    </w:p>
    <w:p>
      <w:pPr>
        <w:pStyle w:val="ListBullet"/>
      </w:pPr>
      <w:r>
        <w:t xml:space="preserve">54.13% / 5.51% / 94.26% / +0.92pp / +2.24pp → </w:t>
      </w:r>
      <w:r>
        <w:rPr>
          <w:rFonts w:ascii="Consolas" w:hAnsi="Consolas"/>
        </w:rPr>
        <w:t>src/experiments/exp17_policy_refinement.py</w:t>
      </w:r>
      <w:r>
        <w:t xml:space="preserve">（OBS_EXP17_POLICY=consensus_route）→ </w:t>
      </w:r>
      <w:r>
        <w:rPr>
          <w:rFonts w:ascii="Consolas" w:hAnsi="Consolas"/>
        </w:rPr>
        <w:t>results/exp17_summary_A.json</w:t>
      </w:r>
      <w:r>
        <w:t xml:space="preserve"> + </w:t>
      </w:r>
      <w:r>
        <w:rPr>
          <w:rFonts w:ascii="Consolas" w:hAnsi="Consolas"/>
        </w:rPr>
        <w:t>results/paired_bootstrap_A.json</w:t>
      </w:r>
      <w:r>
        <w:t>。</w:t>
      </w:r>
    </w:p>
    <w:p>
      <w:pPr>
        <w:pStyle w:val="ListBullet"/>
      </w:pPr>
      <w:r>
        <w:t>运行轨迹：</w:t>
      </w:r>
      <w:r>
        <w:rPr>
          <w:rFonts w:ascii="Consolas" w:hAnsi="Consolas"/>
        </w:rPr>
        <w:t>results/exp17_final_runlog.jsonl</w:t>
      </w:r>
      <w:r>
        <w:t>（最终 EXP17-A/R1 九步运行日志）、</w:t>
      </w:r>
      <w:r>
        <w:rPr>
          <w:rFonts w:ascii="Consolas" w:hAnsi="Consolas"/>
        </w:rPr>
        <w:t>results/run_trajectory.jsonl</w:t>
      </w:r>
      <w:r>
        <w:t>（主链）、</w:t>
      </w:r>
      <w:r>
        <w:rPr>
          <w:rFonts w:ascii="Consolas" w:hAnsi="Consolas"/>
        </w:rPr>
        <w:t>results/exploration_trajectory.jsonl</w:t>
      </w:r>
      <w:r>
        <w:t>（EXP01–15 retrospective，不冒充最终日志）。</w:t>
      </w:r>
    </w:p>
    <w:p>
      <w:pPr>
        <w:pStyle w:val="Heading1"/>
      </w:pPr>
      <w:r>
        <w:t>8. Limitations</w:t>
      </w:r>
    </w:p>
    <w:p>
      <w:pPr>
        <w:pStyle w:val="ListNumber"/>
      </w:pPr>
      <w:r>
        <w:t>EXP17 为 post-hoc failure-driven 验证，不是独立 blind confirmatory test；判据预注册不等于原始预声明实验。</w:t>
      </w:r>
    </w:p>
    <w:p>
      <w:pPr>
        <w:pStyle w:val="ListNumber"/>
      </w:pPr>
      <w:r>
        <w:t>c2 的 CI 级安全非劣未建立（+2.24pp &gt; +2.0pp 界），需要更大样本进一步确认。</w:t>
      </w:r>
    </w:p>
    <w:p>
      <w:pPr>
        <w:pStyle w:val="ListNumber"/>
      </w:pPr>
      <w:r>
        <w:t>风险权重拟合含 holdout 记录，holdout 仅作一致性佐证，不是独立 locked test。</w:t>
      </w:r>
    </w:p>
    <w:p>
      <w:pPr>
        <w:pStyle w:val="ListNumber"/>
      </w:pPr>
      <w:r>
        <w:t>第二数据域 _BLANCO 与主域同数据集不同台阵，不证明跨数据集泛化。</w:t>
      </w:r>
    </w:p>
    <w:p>
      <w:pPr>
        <w:pStyle w:val="ListNumber"/>
      </w:pPr>
      <w:r>
        <w:t>Trust risk 是 ordinal score，不是校准错误概率。</w:t>
      </w:r>
    </w:p>
    <w:p>
      <w:pPr>
        <w:pStyle w:val="ListNumber"/>
      </w:pPr>
      <w:r>
        <w:t>结果不等价于 production deployment safety；未做真实专家工时、成本或下游 catalog 影响实验。</w:t>
      </w:r>
    </w:p>
    <w:p>
      <w:pPr>
        <w:pStyle w:val="ListNumber"/>
      </w:pPr>
      <w:r>
        <w:t>数据/模型训练重叠未审计（overlap UNKNOWN），相关结论按 C 契约降级表述。</w:t>
      </w:r>
    </w:p>
    <w:p>
      <w:pPr>
        <w:pStyle w:val="Heading1"/>
      </w:pPr>
      <w:r>
        <w:t>9. No-Go 与表述纪律</w:t>
      </w:r>
    </w:p>
    <w:p>
      <w:pPr>
        <w:pStyle w:val="ListBullet"/>
      </w:pPr>
      <w:r>
        <w:t>不写 EXP17-A"整体通过""与 Voting 持平""非劣成立"或"证明安全"；不把 c2 未通过写成"算法已证明劣化"。</w:t>
      </w:r>
    </w:p>
    <w:p>
      <w:pPr>
        <w:pStyle w:val="ListBullet"/>
      </w:pPr>
      <w:r>
        <w:t>不把 legacy P=0.30/S=0.50 误写为冻结运行参数；不把 post-hoc EXP17 描述为原始预声明实验。</w:t>
      </w:r>
    </w:p>
    <w:p>
      <w:pPr>
        <w:pStyle w:val="ListBullet"/>
      </w:pPr>
      <w:r>
        <w:t>不把 ROUTE bugfix 包装成算法贡献；不把 +2.0pp 界事后改为 +2.3pp，不更换 bootstrap 口径择优。</w:t>
      </w:r>
    </w:p>
    <w:p>
      <w:pPr>
        <w:pStyle w:val="ListBullet"/>
      </w:pPr>
      <w:r>
        <w:t>不把 risk 称为概率；不把 review ordering 称为替代专家或已降低实际人工成本。</w:t>
      </w:r>
    </w:p>
    <w:p>
      <w:pPr>
        <w:pStyle w:val="ListBullet"/>
      </w:pPr>
      <w:r>
        <w:t>不写跨数据集泛化、严格独立 locked test、production deployment 或全面安全自动化。</w:t>
      </w:r>
    </w:p>
    <w:p>
      <w:pPr>
        <w:pStyle w:val="Heading1"/>
      </w:pPr>
      <w:r>
        <w:t>10. 补充实验：SeisBench 20 条噪声鲁棒性</w:t>
      </w:r>
    </w:p>
    <w:p>
      <w:pPr>
        <w:ind w:left="360"/>
      </w:pPr>
      <w:r>
        <w:rPr>
          <w:i/>
        </w:rPr>
        <w:t>本节为早期小样本补充实验（非主结果），降级保留作 Demo 与边界证据。</w:t>
      </w:r>
    </w:p>
    <w:p>
      <w:r>
        <w:t xml:space="preserve">公开 OBS </w:t>
      </w:r>
      <w:r>
        <w:rPr>
          <w:rFonts w:ascii="Consolas" w:hAnsi="Consolas"/>
        </w:rPr>
        <w:t>test</w:t>
      </w:r>
      <w:r>
        <w:t xml:space="preserve"> split 固定选 20 条四通道波形，四档噪声（L0 原始 / L1 10dB / L2 5dB / L3 2dB），PhaseNet-geofon、PickBlue、OBSTransformer 真实推理：</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噪声</w:t>
            </w:r>
          </w:p>
        </w:tc>
        <w:tc>
          <w:tcPr>
            <w:tcW w:type="dxa" w:w="1440"/>
          </w:tcPr>
          <w:p>
            <w:r>
              <w:t>方法</w:t>
            </w:r>
          </w:p>
        </w:tc>
        <w:tc>
          <w:tcPr>
            <w:tcW w:type="dxa" w:w="1440"/>
          </w:tcPr>
          <w:p>
            <w:r>
              <w:t>正确</w:t>
            </w:r>
          </w:p>
        </w:tc>
        <w:tc>
          <w:tcPr>
            <w:tcW w:type="dxa" w:w="1440"/>
          </w:tcPr>
          <w:p>
            <w:r>
              <w:t>拒绝</w:t>
            </w:r>
          </w:p>
        </w:tc>
        <w:tc>
          <w:tcPr>
            <w:tcW w:type="dxa" w:w="1440"/>
          </w:tcPr>
          <w:p>
            <w:r>
              <w:t>不安全错误</w:t>
            </w:r>
          </w:p>
        </w:tc>
        <w:tc>
          <w:tcPr>
            <w:tcW w:type="dxa" w:w="1440"/>
          </w:tcPr>
          <w:p>
            <w:r>
              <w:t>安全处理率</w:t>
            </w:r>
          </w:p>
        </w:tc>
      </w:tr>
      <w:tr>
        <w:tc>
          <w:tcPr>
            <w:tcW w:type="dxa" w:w="1440"/>
          </w:tcPr>
          <w:p>
            <w:r>
              <w:t>L0</w:t>
            </w:r>
          </w:p>
        </w:tc>
        <w:tc>
          <w:tcPr>
            <w:tcW w:type="dxa" w:w="1440"/>
          </w:tcPr>
          <w:p>
            <w:r>
              <w:t>OBSTransformer</w:t>
            </w:r>
          </w:p>
        </w:tc>
        <w:tc>
          <w:tcPr>
            <w:tcW w:type="dxa" w:w="1440"/>
          </w:tcPr>
          <w:p>
            <w:r>
              <w:t>18</w:t>
            </w:r>
          </w:p>
        </w:tc>
        <w:tc>
          <w:tcPr>
            <w:tcW w:type="dxa" w:w="1440"/>
          </w:tcPr>
          <w:p>
            <w:r>
              <w:t>0</w:t>
            </w:r>
          </w:p>
        </w:tc>
        <w:tc>
          <w:tcPr>
            <w:tcW w:type="dxa" w:w="1440"/>
          </w:tcPr>
          <w:p>
            <w:r>
              <w:t>2</w:t>
            </w:r>
          </w:p>
        </w:tc>
        <w:tc>
          <w:tcPr>
            <w:tcW w:type="dxa" w:w="1440"/>
          </w:tcPr>
          <w:p>
            <w:r>
              <w:t>90%</w:t>
            </w:r>
          </w:p>
        </w:tc>
      </w:tr>
      <w:tr>
        <w:tc>
          <w:tcPr>
            <w:tcW w:type="dxa" w:w="1440"/>
          </w:tcPr>
          <w:p>
            <w:r>
              <w:t>L0</w:t>
            </w:r>
          </w:p>
        </w:tc>
        <w:tc>
          <w:tcPr>
            <w:tcW w:type="dxa" w:w="1440"/>
          </w:tcPr>
          <w:p>
            <w:r>
              <w:t>最高置信度</w:t>
            </w:r>
          </w:p>
        </w:tc>
        <w:tc>
          <w:tcPr>
            <w:tcW w:type="dxa" w:w="1440"/>
          </w:tcPr>
          <w:p>
            <w:r>
              <w:t>18</w:t>
            </w:r>
          </w:p>
        </w:tc>
        <w:tc>
          <w:tcPr>
            <w:tcW w:type="dxa" w:w="1440"/>
          </w:tcPr>
          <w:p>
            <w:r>
              <w:t>0</w:t>
            </w:r>
          </w:p>
        </w:tc>
        <w:tc>
          <w:tcPr>
            <w:tcW w:type="dxa" w:w="1440"/>
          </w:tcPr>
          <w:p>
            <w:r>
              <w:t>2</w:t>
            </w:r>
          </w:p>
        </w:tc>
        <w:tc>
          <w:tcPr>
            <w:tcW w:type="dxa" w:w="1440"/>
          </w:tcPr>
          <w:p>
            <w:r>
              <w:t>90%</w:t>
            </w:r>
          </w:p>
        </w:tc>
      </w:tr>
      <w:tr>
        <w:tc>
          <w:tcPr>
            <w:tcW w:type="dxa" w:w="1440"/>
          </w:tcPr>
          <w:p>
            <w:r>
              <w:t>L0</w:t>
            </w:r>
          </w:p>
        </w:tc>
        <w:tc>
          <w:tcPr>
            <w:tcW w:type="dxa" w:w="1440"/>
          </w:tcPr>
          <w:p>
            <w:r>
              <w:t>Trust Layer</w:t>
            </w:r>
          </w:p>
        </w:tc>
        <w:tc>
          <w:tcPr>
            <w:tcW w:type="dxa" w:w="1440"/>
          </w:tcPr>
          <w:p>
            <w:r>
              <w:t>8</w:t>
            </w:r>
          </w:p>
        </w:tc>
        <w:tc>
          <w:tcPr>
            <w:tcW w:type="dxa" w:w="1440"/>
          </w:tcPr>
          <w:p>
            <w:r>
              <w:t>12</w:t>
            </w:r>
          </w:p>
        </w:tc>
        <w:tc>
          <w:tcPr>
            <w:tcW w:type="dxa" w:w="1440"/>
          </w:tcPr>
          <w:p>
            <w:r>
              <w:t>0</w:t>
            </w:r>
          </w:p>
        </w:tc>
        <w:tc>
          <w:tcPr>
            <w:tcW w:type="dxa" w:w="1440"/>
          </w:tcPr>
          <w:p>
            <w:r>
              <w:t>100%</w:t>
            </w:r>
          </w:p>
        </w:tc>
      </w:tr>
      <w:tr>
        <w:tc>
          <w:tcPr>
            <w:tcW w:type="dxa" w:w="1440"/>
          </w:tcPr>
          <w:p>
            <w:r>
              <w:t>L1–L3</w:t>
            </w:r>
          </w:p>
        </w:tc>
        <w:tc>
          <w:tcPr>
            <w:tcW w:type="dxa" w:w="1440"/>
          </w:tcPr>
          <w:p>
            <w:r>
              <w:t>Trust Layer</w:t>
            </w:r>
          </w:p>
        </w:tc>
        <w:tc>
          <w:tcPr>
            <w:tcW w:type="dxa" w:w="1440"/>
          </w:tcPr>
          <w:p>
            <w:r>
              <w:t>0</w:t>
            </w:r>
          </w:p>
        </w:tc>
        <w:tc>
          <w:tcPr>
            <w:tcW w:type="dxa" w:w="1440"/>
          </w:tcPr>
          <w:p>
            <w:r>
              <w:t>20</w:t>
            </w:r>
          </w:p>
        </w:tc>
        <w:tc>
          <w:tcPr>
            <w:tcW w:type="dxa" w:w="1440"/>
          </w:tcPr>
          <w:p>
            <w:r>
              <w:t>0</w:t>
            </w:r>
          </w:p>
        </w:tc>
        <w:tc>
          <w:tcPr>
            <w:tcW w:type="dxa" w:w="1440"/>
          </w:tcPr>
          <w:p>
            <w:r>
              <w:t>100%</w:t>
            </w:r>
          </w:p>
        </w:tc>
      </w:tr>
    </w:tbl>
    <w:p>
      <w:r>
        <w:t>解读（如实）：Trust Layer 四档均未放行错误 P/S 对，但其 L1–L3 覆盖率是 0——结论是"高噪下不乱给答案"，不是"高噪下仍能准确拾取"。20/20 对应 Wilson 95% 区间约 83.9%–100%，不宣称外推。结果文件：</w:t>
      </w:r>
      <w:r>
        <w:rPr>
          <w:rFonts w:ascii="Consolas" w:hAnsi="Consolas"/>
        </w:rPr>
        <w:t>noise_predictions_seisbench.json</w:t>
      </w:r>
      <w:r>
        <w:t>、</w:t>
      </w:r>
      <w:r>
        <w:rPr>
          <w:rFonts w:ascii="Consolas" w:hAnsi="Consolas"/>
        </w:rPr>
        <w:t>noise_records_seisbench.csv</w:t>
      </w:r>
      <w:r>
        <w:t>、</w:t>
      </w:r>
      <w:r>
        <w:rPr>
          <w:rFonts w:ascii="Consolas" w:hAnsi="Consolas"/>
        </w:rPr>
        <w:t>noise_summary_seisbench.csv</w:t>
      </w:r>
      <w:r>
        <w:t>。</w:t>
      </w:r>
    </w:p>
    <w:p>
      <w:pPr>
        <w:pStyle w:val="Heading1"/>
      </w:pPr>
      <w:r>
        <w:t>11. Demo 与工程</w:t>
      </w:r>
    </w:p>
    <w:p>
      <w:r>
        <w:t>Streamlit Demo（</w:t>
      </w:r>
      <w:r>
        <w:rPr>
          <w:rFonts w:ascii="Consolas" w:hAnsi="Consolas"/>
        </w:rPr>
        <w:t>src/web/</w:t>
      </w:r>
      <w:r>
        <w:t xml:space="preserve">）消费冻结结果与真实 Trust Engine：Fixed（冻结反馈/Equal-Coverage/R1 面板）、Searchable（risk threshold、P/S tolerance、evidence weight 可调）、Feedback（Coverage+Unsafe、Interception+Review 成对展示）、Case Explorer（真实失败样本 + ABSTAIN 确定性解释，reason code 模板见 </w:t>
      </w:r>
      <w:r>
        <w:rPr>
          <w:rFonts w:ascii="Consolas" w:hAnsi="Consolas"/>
        </w:rPr>
        <w:t>schema_contract.md</w:t>
      </w:r>
      <w:r>
        <w:t xml:space="preserve"> §13）。Docker Compose 双服务（FastAPI :8000 + Streamlit :8501）。架构与调用关系见 </w:t>
      </w:r>
      <w:r>
        <w:rPr>
          <w:rFonts w:ascii="Consolas" w:hAnsi="Consolas"/>
        </w:rPr>
        <w:t>docs/architecture_diagrams.md</w:t>
      </w:r>
      <w:r>
        <w:t>（含 PNG 图）。</w:t>
      </w:r>
    </w:p>
    <w:p>
      <w:pPr>
        <w:pStyle w:val="Heading1"/>
      </w:pPr>
      <w:r>
        <w:t>12. 复现</w:t>
      </w:r>
    </w:p>
    <w:p>
      <w:pPr>
        <w:pStyle w:val="ListBullet"/>
      </w:pPr>
      <w:r>
        <w:t>主链一键复现：</w:t>
      </w:r>
      <w:r>
        <w:rPr>
          <w:rFonts w:ascii="Consolas" w:hAnsi="Consolas"/>
        </w:rPr>
        <w:t>bash reproduce_core.sh</w:t>
      </w:r>
      <w:r>
        <w:t xml:space="preserve">（等价 </w:t>
      </w:r>
      <w:r>
        <w:rPr>
          <w:rFonts w:ascii="Consolas" w:hAnsi="Consolas"/>
        </w:rPr>
        <w:t>python -m src.experiments.reproduce_main</w:t>
      </w:r>
      <w:r>
        <w:t>，九步，含冻结物 sha256 校验）。</w:t>
      </w:r>
    </w:p>
    <w:p>
      <w:pPr>
        <w:pStyle w:val="ListBullet"/>
      </w:pPr>
      <w:r>
        <w:t xml:space="preserve">EXP17 复现命令与预期数字：见 </w:t>
      </w:r>
      <w:r>
        <w:rPr>
          <w:rFonts w:ascii="Consolas" w:hAnsi="Consolas"/>
        </w:rPr>
        <w:t>docs/reproduction.md</w:t>
      </w:r>
      <w:r>
        <w:t xml:space="preserve"> §7；一键入口 </w:t>
      </w:r>
      <w:r>
        <w:rPr>
          <w:rFonts w:ascii="Consolas" w:hAnsi="Consolas"/>
        </w:rPr>
        <w:t>bash reproduce_exp17.sh</w:t>
      </w:r>
      <w:r>
        <w:t>。</w:t>
      </w:r>
    </w:p>
    <w:p>
      <w:pPr>
        <w:pStyle w:val="ListBullet"/>
      </w:pPr>
      <w:r>
        <w:t>最终 EXP17-A/R1 运行日志（机器可读 JSONL）：</w:t>
      </w:r>
      <w:r>
        <w:rPr>
          <w:rFonts w:ascii="Consolas" w:hAnsi="Consolas"/>
        </w:rPr>
        <w:t>python -m src.experiments.exp17_final_runlog</w:t>
      </w:r>
      <w:r>
        <w:t xml:space="preserve"> → </w:t>
      </w:r>
      <w:r>
        <w:rPr>
          <w:rFonts w:ascii="Consolas" w:hAnsi="Consolas"/>
        </w:rPr>
        <w:t>results/exp17_final_runlog.jsonl</w:t>
      </w:r>
      <w:r>
        <w:t>。</w:t>
      </w:r>
    </w:p>
    <w:p>
      <w:pPr>
        <w:pStyle w:val="ListBullet"/>
      </w:pPr>
      <w:r>
        <w:t>测试：</w:t>
      </w:r>
      <w:r>
        <w:rPr>
          <w:rFonts w:ascii="Consolas" w:hAnsi="Consolas"/>
        </w:rPr>
        <w:t>python -m pytest -q</w:t>
      </w:r>
      <w:r>
        <w:t xml:space="preserve"> → 76 passed。</w:t>
      </w:r>
    </w:p>
    <w:p>
      <w:pPr>
        <w:pStyle w:val="ListBullet"/>
      </w:pPr>
      <w:r>
        <w:t>证据交接包：</w:t>
      </w:r>
      <w:r>
        <w:rPr>
          <w:rFonts w:ascii="Consolas" w:hAnsi="Consolas"/>
        </w:rPr>
        <w:t>results/evidence_manifest.json</w:t>
      </w:r>
      <w:r>
        <w:t>。</w:t>
      </w:r>
    </w:p>
    <w:p>
      <w:pPr>
        <w:pStyle w:val="Heading1"/>
      </w:pPr>
      <w:r>
        <w:t>13. 结论</w:t>
      </w:r>
    </w:p>
    <w:p>
      <w:r>
        <w:t>Trust Layer 的组合风险证据可用于人工复核优先级排序（EXP16 正结果）；failure decomposition 支持 45.64% 天花板主要来自 policy 保守而非模型普遍无候选；truth-blind EXP17-A 将 Coverage 恢复至 54.13%（Unsafe 5.51%，截获 94.26%），且结果不依赖 legacy 参数——但相对 Voting 的 CI 级安全非劣尚未建立。所有负结果、bugfix 与 refinement 分轨留痕，全部数字可沿 data → config → script → raw result → figure/table 追溯。</w:t>
      </w:r>
    </w:p>
    <w:p>
      <w:r>
        <w:rPr>
          <w:b/>
        </w:rPr>
        <w:t>Coverage recovery supported; safety non-inferiority inconclusive.</w:t>
      </w:r>
    </w:p>
    <w:p>
      <w:r>
        <w:rPr>
          <w:b/>
        </w:rPr>
        <w:t>覆盖率恢复获得支持；安全非劣性尚未建立。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