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167A94">
      <w:pPr>
        <w:spacing w:after="100"/>
        <w:jc w:val="center"/>
      </w:pPr>
      <w:r>
        <w:rPr>
          <w:rFonts w:ascii="Times New Roman" w:hAnsi="Times New Roman" w:eastAsia="宋体" w:cs="Times New Roman"/>
          <w:b/>
          <w:i w:val="0"/>
          <w:color w:val="000000"/>
          <w:sz w:val="26"/>
        </w:rPr>
        <w:t>功率芯片面积排放强度数据集方法说明</w:t>
      </w:r>
    </w:p>
    <w:p w14:paraId="10CA9977">
      <w:pPr>
        <w:keepNext/>
        <w:spacing w:before="80" w:after="40"/>
        <w:rPr>
          <w:rFonts w:hint="eastAsia" w:eastAsia="宋体"/>
          <w:lang w:val="en-US" w:eastAsia="zh-CN"/>
        </w:rPr>
      </w:pPr>
      <w:r>
        <w:rPr>
          <w:rFonts w:ascii="Times New Roman" w:hAnsi="Times New Roman" w:eastAsia="宋体" w:cs="Times New Roman"/>
          <w:b/>
          <w:i w:val="0"/>
          <w:color w:val="000000"/>
          <w:sz w:val="22"/>
        </w:rPr>
        <w:t>1  数据集</w:t>
      </w:r>
      <w:r>
        <w:rPr>
          <w:rFonts w:hint="eastAsia" w:cs="Times New Roman"/>
          <w:b/>
          <w:i w:val="0"/>
          <w:color w:val="000000"/>
          <w:sz w:val="22"/>
          <w:lang w:val="en-US" w:eastAsia="zh-CN"/>
        </w:rPr>
        <w:t>搜集</w:t>
      </w:r>
    </w:p>
    <w:p w14:paraId="4A06B167">
      <w:pPr>
        <w:spacing w:before="0" w:after="20" w:line="240" w:lineRule="auto"/>
        <w:ind w:firstLine="420"/>
        <w:jc w:val="both"/>
        <w:rPr>
          <w:rFonts w:ascii="Times New Roman" w:hAnsi="Times New Roman" w:eastAsia="宋体" w:cs="Times New Roman"/>
          <w:b w:val="0"/>
          <w:i w:val="0"/>
          <w:color w:val="000000"/>
          <w:sz w:val="21"/>
        </w:rPr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分别建立Si </w:t>
      </w:r>
      <w:r>
        <w:rPr>
          <w:rFonts w:ascii="Times New Roman" w:hAnsi="Times New Roman" w:eastAsia="宋体" w:cs="Times New Roman"/>
          <w:b w:val="0"/>
          <w:i/>
          <w:iCs/>
          <w:color w:val="000000"/>
          <w:sz w:val="21"/>
        </w:rPr>
        <w:t>e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  <w:vertAlign w:val="subscript"/>
        </w:rPr>
        <w:t>wafer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、Si </w:t>
      </w:r>
      <w:r>
        <w:rPr>
          <w:rFonts w:ascii="Times New Roman" w:hAnsi="Times New Roman" w:eastAsia="宋体" w:cs="Times New Roman"/>
          <w:b w:val="0"/>
          <w:i/>
          <w:iCs/>
          <w:color w:val="000000"/>
          <w:sz w:val="21"/>
        </w:rPr>
        <w:t>e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  <w:vertAlign w:val="subscript"/>
        </w:rPr>
        <w:t>fab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、SiC </w:t>
      </w:r>
      <w:r>
        <w:rPr>
          <w:rFonts w:ascii="Times New Roman" w:hAnsi="Times New Roman" w:eastAsia="宋体" w:cs="Times New Roman"/>
          <w:b w:val="0"/>
          <w:i/>
          <w:iCs/>
          <w:color w:val="000000"/>
          <w:sz w:val="21"/>
        </w:rPr>
        <w:t>e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  <w:vertAlign w:val="subscript"/>
        </w:rPr>
        <w:t>sub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、SiC </w:t>
      </w:r>
      <w:r>
        <w:rPr>
          <w:rFonts w:ascii="Times New Roman" w:hAnsi="Times New Roman" w:eastAsia="宋体" w:cs="Times New Roman"/>
          <w:b w:val="0"/>
          <w:i/>
          <w:iCs/>
          <w:color w:val="000000"/>
          <w:sz w:val="21"/>
        </w:rPr>
        <w:t>e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  <w:vertAlign w:val="subscript"/>
        </w:rPr>
        <w:t>epi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和SiC </w:t>
      </w:r>
      <w:r>
        <w:rPr>
          <w:rFonts w:ascii="Times New Roman" w:hAnsi="Times New Roman" w:eastAsia="宋体" w:cs="Times New Roman"/>
          <w:b w:val="0"/>
          <w:i/>
          <w:iCs/>
          <w:color w:val="000000"/>
          <w:sz w:val="21"/>
        </w:rPr>
        <w:t>e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  <w:vertAlign w:val="subscript"/>
        </w:rPr>
        <w:t>fab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五类数据集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1"/>
        </w:rPr>
        <w:t>，进行广泛的数据搜集。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不同材料</w:t>
      </w:r>
      <w:r>
        <w:rPr>
          <w:rFonts w:hint="eastAsia" w:cs="Times New Roman"/>
          <w:b w:val="0"/>
          <w:i w:val="0"/>
          <w:color w:val="000000"/>
          <w:sz w:val="21"/>
          <w:lang w:val="en-US" w:eastAsia="zh-CN"/>
        </w:rPr>
        <w:t>的各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参数独立筛选、</w:t>
      </w:r>
      <w:r>
        <w:rPr>
          <w:rFonts w:hint="eastAsia" w:cs="Times New Roman"/>
          <w:b w:val="0"/>
          <w:i w:val="0"/>
          <w:color w:val="000000"/>
          <w:sz w:val="21"/>
          <w:lang w:val="en-US" w:eastAsia="zh-CN"/>
        </w:rPr>
        <w:t>处理和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评分。</w:t>
      </w:r>
    </w:p>
    <w:p w14:paraId="027D7FEC">
      <w:pPr>
        <w:spacing w:before="0" w:after="20" w:line="240" w:lineRule="auto"/>
        <w:ind w:firstLine="420"/>
        <w:jc w:val="both"/>
        <w:rPr>
          <w:rFonts w:ascii="Times New Roman" w:hAnsi="Times New Roman" w:eastAsia="宋体" w:cs="Times New Roman"/>
          <w:b w:val="0"/>
          <w:i w:val="0"/>
          <w:color w:val="000000"/>
          <w:sz w:val="21"/>
        </w:rPr>
      </w:pPr>
    </w:p>
    <w:p w14:paraId="24003BE9">
      <w:pPr>
        <w:spacing w:before="40" w:after="2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表1  五类面积排放强度参数</w:t>
      </w:r>
    </w:p>
    <w:tbl>
      <w:tblPr>
        <w:tblStyle w:val="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8"/>
        <w:gridCol w:w="3817"/>
      </w:tblGrid>
      <w:tr w14:paraId="3D9E67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48" w:type="dxa"/>
            <w:tcBorders>
              <w:top w:val="double" w:color="auto" w:sz="4" w:space="0"/>
              <w:left w:val="nil"/>
              <w:bottom w:val="single" w:color="000000" w:sz="4" w:space="0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2EC677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8"/>
              </w:rPr>
              <w:t>参数</w:t>
            </w:r>
          </w:p>
        </w:tc>
        <w:tc>
          <w:tcPr>
            <w:tcW w:w="3817" w:type="dxa"/>
            <w:tcBorders>
              <w:top w:val="double" w:color="auto" w:sz="4" w:space="0"/>
              <w:left w:val="nil"/>
              <w:bottom w:val="single" w:color="000000" w:sz="4" w:space="0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9D0FC5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8"/>
              </w:rPr>
              <w:t>目标边界</w:t>
            </w:r>
          </w:p>
        </w:tc>
      </w:tr>
      <w:tr w14:paraId="4B686F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48" w:type="dxa"/>
            <w:tcBorders>
              <w:top w:val="single" w:color="000000" w:sz="4" w:space="0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325B0A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 xml:space="preserve">Si </w:t>
            </w:r>
            <w:r>
              <w:rPr>
                <w:rFonts w:ascii="Times New Roman" w:hAnsi="Times New Roman" w:eastAsia="宋体" w:cs="Times New Roman"/>
                <w:b w:val="0"/>
                <w:i/>
                <w:iCs/>
                <w:color w:val="000000"/>
                <w:sz w:val="21"/>
              </w:rPr>
              <w:t>e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vertAlign w:val="subscript"/>
              </w:rPr>
              <w:t>wafer</w:t>
            </w:r>
          </w:p>
        </w:tc>
        <w:tc>
          <w:tcPr>
            <w:tcW w:w="3817" w:type="dxa"/>
            <w:tcBorders>
              <w:top w:val="single" w:color="000000" w:sz="4" w:space="0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E14E7B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电子级硅原料/晶体生长/晶圆成形→裸硅晶圆</w:t>
            </w:r>
          </w:p>
        </w:tc>
      </w:tr>
      <w:tr w14:paraId="7D0D42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48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325D56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 xml:space="preserve">Si </w:t>
            </w:r>
            <w:r>
              <w:rPr>
                <w:rFonts w:ascii="Times New Roman" w:hAnsi="Times New Roman" w:eastAsia="宋体" w:cs="Times New Roman"/>
                <w:b w:val="0"/>
                <w:i/>
                <w:iCs/>
                <w:color w:val="000000"/>
                <w:sz w:val="21"/>
              </w:rPr>
              <w:t>e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vertAlign w:val="subscript"/>
              </w:rPr>
              <w:t>fab</w:t>
            </w:r>
          </w:p>
        </w:tc>
        <w:tc>
          <w:tcPr>
            <w:tcW w:w="3817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F3A070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裸硅晶圆→前道器件制造完成</w:t>
            </w:r>
          </w:p>
        </w:tc>
      </w:tr>
      <w:tr w14:paraId="4D0E93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48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AB32E8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 xml:space="preserve">SiC </w:t>
            </w:r>
            <w:r>
              <w:rPr>
                <w:rFonts w:ascii="Times New Roman" w:hAnsi="Times New Roman" w:eastAsia="宋体" w:cs="Times New Roman"/>
                <w:b w:val="0"/>
                <w:i/>
                <w:iCs/>
                <w:color w:val="000000"/>
                <w:sz w:val="21"/>
              </w:rPr>
              <w:t>e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vertAlign w:val="subscript"/>
              </w:rPr>
              <w:t>sub</w:t>
            </w:r>
          </w:p>
        </w:tc>
        <w:tc>
          <w:tcPr>
            <w:tcW w:w="3817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E48196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SiC原料/晶体生长/晶锭加工→功率级衬底</w:t>
            </w:r>
          </w:p>
        </w:tc>
      </w:tr>
      <w:tr w14:paraId="1FA856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48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CD083E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 xml:space="preserve">SiC </w:t>
            </w:r>
            <w:r>
              <w:rPr>
                <w:rFonts w:ascii="Times New Roman" w:hAnsi="Times New Roman" w:eastAsia="宋体" w:cs="Times New Roman"/>
                <w:b w:val="0"/>
                <w:i/>
                <w:iCs/>
                <w:color w:val="000000"/>
                <w:sz w:val="21"/>
              </w:rPr>
              <w:t>e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vertAlign w:val="subscript"/>
              </w:rPr>
              <w:t>epi</w:t>
            </w:r>
          </w:p>
        </w:tc>
        <w:tc>
          <w:tcPr>
            <w:tcW w:w="3817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9E56FB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SiC衬底→4H-SiC同质外延片</w:t>
            </w:r>
          </w:p>
        </w:tc>
      </w:tr>
      <w:tr w14:paraId="2D4C69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48" w:type="dxa"/>
            <w:tcBorders>
              <w:top w:val="nil"/>
              <w:left w:val="nil"/>
              <w:bottom w:val="double" w:color="auto" w:sz="4" w:space="0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6C55AE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 xml:space="preserve">SiC </w:t>
            </w:r>
            <w:r>
              <w:rPr>
                <w:rFonts w:ascii="Times New Roman" w:hAnsi="Times New Roman" w:eastAsia="宋体" w:cs="Times New Roman"/>
                <w:b w:val="0"/>
                <w:i/>
                <w:iCs/>
                <w:color w:val="000000"/>
                <w:sz w:val="21"/>
              </w:rPr>
              <w:t>e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vertAlign w:val="subscript"/>
              </w:rPr>
              <w:t>fab</w:t>
            </w:r>
          </w:p>
        </w:tc>
        <w:tc>
          <w:tcPr>
            <w:tcW w:w="3817" w:type="dxa"/>
            <w:tcBorders>
              <w:top w:val="nil"/>
              <w:left w:val="nil"/>
              <w:bottom w:val="double" w:color="auto" w:sz="4" w:space="0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072D8D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外延片→功率器件前道制造完成</w:t>
            </w:r>
          </w:p>
        </w:tc>
      </w:tr>
    </w:tbl>
    <w:p w14:paraId="6B998A8B">
      <w:pPr>
        <w:keepNext/>
        <w:spacing w:before="80" w:after="40"/>
        <w:rPr>
          <w:rFonts w:ascii="Times New Roman" w:hAnsi="Times New Roman" w:eastAsia="宋体" w:cs="Times New Roman"/>
          <w:b/>
          <w:i w:val="0"/>
          <w:color w:val="000000"/>
          <w:sz w:val="22"/>
        </w:rPr>
      </w:pPr>
    </w:p>
    <w:p w14:paraId="69FFB5DD">
      <w:pPr>
        <w:keepNext/>
        <w:spacing w:before="80" w:after="40"/>
      </w:pPr>
      <w:r>
        <w:rPr>
          <w:rFonts w:ascii="Times New Roman" w:hAnsi="Times New Roman" w:eastAsia="宋体" w:cs="Times New Roman"/>
          <w:b/>
          <w:i w:val="0"/>
          <w:color w:val="000000"/>
          <w:sz w:val="22"/>
        </w:rPr>
        <w:t>2  数据准入</w:t>
      </w:r>
    </w:p>
    <w:p w14:paraId="3E891CBA">
      <w:pPr>
        <w:spacing w:before="0" w:after="20" w:line="240" w:lineRule="auto"/>
        <w:ind w:firstLine="420"/>
        <w:jc w:val="left"/>
      </w:pPr>
      <w:r>
        <w:rPr>
          <w:rFonts w:hint="eastAsia" w:cs="Times New Roman"/>
          <w:b w:val="0"/>
          <w:i w:val="0"/>
          <w:color w:val="000000"/>
          <w:sz w:val="21"/>
          <w:lang w:val="en-US" w:eastAsia="zh-CN"/>
        </w:rPr>
        <w:t>对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数据进行质量评分。A</w:t>
      </w:r>
      <w:r>
        <w:rPr>
          <w:rFonts w:hint="eastAsia" w:cs="Times New Roman"/>
          <w:b w:val="0"/>
          <w:i w:val="0"/>
          <w:color w:val="000000"/>
          <w:sz w:val="21"/>
          <w:lang w:val="en-US" w:eastAsia="zh-CN"/>
        </w:rPr>
        <w:t>/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B</w:t>
      </w:r>
      <w:r>
        <w:rPr>
          <w:rFonts w:hint="eastAsia" w:cs="Times New Roman"/>
          <w:b w:val="0"/>
          <w:i w:val="0"/>
          <w:color w:val="000000"/>
          <w:sz w:val="21"/>
          <w:lang w:val="en-US" w:eastAsia="zh-CN"/>
        </w:rPr>
        <w:t>/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C进入基准</w:t>
      </w:r>
      <w:r>
        <w:rPr>
          <w:rFonts w:hint="eastAsia" w:cs="Times New Roman"/>
          <w:b w:val="0"/>
          <w:i w:val="0"/>
          <w:color w:val="000000"/>
          <w:sz w:val="21"/>
          <w:lang w:val="en-US" w:eastAsia="zh-CN"/>
        </w:rPr>
        <w:t>计算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，D作参考，E排除。所有数据统一换算</w:t>
      </w:r>
      <w:r>
        <w:rPr>
          <w:rFonts w:hint="eastAsia" w:cs="Times New Roman"/>
          <w:b w:val="0"/>
          <w:i w:val="0"/>
          <w:color w:val="000000"/>
          <w:sz w:val="21"/>
          <w:lang w:eastAsia="zh-CN"/>
        </w:rPr>
        <w:t>。</w:t>
      </w:r>
    </w:p>
    <w:p w14:paraId="14A0F4CA">
      <w:pPr>
        <w:spacing w:before="0" w:after="20" w:line="240" w:lineRule="auto"/>
        <w:ind w:firstLine="420"/>
        <w:jc w:val="both"/>
      </w:pPr>
    </w:p>
    <w:p w14:paraId="73D434D8">
      <w:pPr>
        <w:spacing w:before="40" w:after="2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表2  数据准入等级</w:t>
      </w:r>
    </w:p>
    <w:tbl>
      <w:tblPr>
        <w:tblStyle w:val="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1"/>
        <w:gridCol w:w="6386"/>
        <w:gridCol w:w="1309"/>
      </w:tblGrid>
      <w:tr w14:paraId="2D3D08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1" w:type="dxa"/>
            <w:tcBorders>
              <w:top w:val="double" w:color="auto" w:sz="4" w:space="0"/>
              <w:left w:val="nil"/>
              <w:bottom w:val="single" w:color="000000" w:sz="4" w:space="0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21C54E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8"/>
              </w:rPr>
              <w:t>等级</w:t>
            </w:r>
          </w:p>
        </w:tc>
        <w:tc>
          <w:tcPr>
            <w:tcW w:w="6386" w:type="dxa"/>
            <w:tcBorders>
              <w:top w:val="double" w:color="auto" w:sz="4" w:space="0"/>
              <w:left w:val="nil"/>
              <w:bottom w:val="single" w:color="000000" w:sz="4" w:space="0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FBD6FF6">
            <w:pPr>
              <w:spacing w:before="0"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8"/>
              </w:rPr>
              <w:t>判定原则</w:t>
            </w:r>
          </w:p>
        </w:tc>
        <w:tc>
          <w:tcPr>
            <w:tcW w:w="1309" w:type="dxa"/>
            <w:tcBorders>
              <w:top w:val="double" w:color="auto" w:sz="4" w:space="0"/>
              <w:left w:val="nil"/>
              <w:bottom w:val="single" w:color="000000" w:sz="4" w:space="0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01659AF">
            <w:pPr>
              <w:spacing w:before="0"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cs="Times New Roman"/>
                <w:b/>
                <w:i w:val="0"/>
                <w:color w:val="000000"/>
                <w:sz w:val="18"/>
                <w:lang w:val="en-US" w:eastAsia="zh-CN"/>
              </w:rPr>
              <w:t>纳入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8"/>
              </w:rPr>
              <w:t>基准</w:t>
            </w:r>
            <w:r>
              <w:rPr>
                <w:rFonts w:hint="eastAsia" w:cs="Times New Roman"/>
                <w:b/>
                <w:i w:val="0"/>
                <w:color w:val="000000"/>
                <w:sz w:val="18"/>
                <w:lang w:val="en-US" w:eastAsia="zh-CN"/>
              </w:rPr>
              <w:t>计算</w:t>
            </w:r>
          </w:p>
        </w:tc>
      </w:tr>
      <w:tr w14:paraId="10D5B3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1" w:type="dxa"/>
            <w:tcBorders>
              <w:top w:val="single" w:color="000000" w:sz="4" w:space="0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C96F0E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A</w:t>
            </w:r>
          </w:p>
        </w:tc>
        <w:tc>
          <w:tcPr>
            <w:tcW w:w="6386" w:type="dxa"/>
            <w:tcBorders>
              <w:top w:val="single" w:color="000000" w:sz="4" w:space="0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0181C0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边界与目标一致，仅需简单单位换算</w:t>
            </w:r>
          </w:p>
        </w:tc>
        <w:tc>
          <w:tcPr>
            <w:tcW w:w="1309" w:type="dxa"/>
            <w:tcBorders>
              <w:top w:val="single" w:color="000000" w:sz="4" w:space="0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DFDD92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是</w:t>
            </w:r>
          </w:p>
        </w:tc>
      </w:tr>
      <w:tr w14:paraId="17A874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A7DEED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B</w:t>
            </w:r>
          </w:p>
        </w:tc>
        <w:tc>
          <w:tcPr>
            <w:tcW w:w="6386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F4B26E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存在明确且可复算的单位、面积、良率或边界差异，修正后与目标一致</w:t>
            </w: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56549E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是</w:t>
            </w:r>
          </w:p>
        </w:tc>
      </w:tr>
      <w:tr w14:paraId="533059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5DDBC9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C</w:t>
            </w:r>
          </w:p>
        </w:tc>
        <w:tc>
          <w:tcPr>
            <w:tcW w:w="6386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6A5397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同一目标参数的合格代理；材料与过程节点可比，</w:t>
            </w:r>
            <w:r>
              <w:rPr>
                <w:rFonts w:hint="eastAsia" w:cs="Times New Roman"/>
                <w:b w:val="0"/>
                <w:i w:val="0"/>
                <w:color w:val="000000"/>
                <w:sz w:val="18"/>
                <w:lang w:val="en-US" w:eastAsia="zh-CN"/>
              </w:rPr>
              <w:t>且</w:t>
            </w:r>
            <w:r>
              <w:rPr>
                <w:rFonts w:ascii="Times New Roman" w:hAnsi="Times New Roman" w:eastAsia="宋体" w:cs="Times New Roman"/>
                <w:b w:val="0"/>
                <w:i/>
                <w:iCs/>
                <w:color w:val="000000"/>
                <w:sz w:val="18"/>
              </w:rPr>
              <w:t>Te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≤3，仅存在</w:t>
            </w:r>
            <w:r>
              <w:rPr>
                <w:rFonts w:hint="eastAsia" w:cs="Times New Roman"/>
                <w:b w:val="0"/>
                <w:i w:val="0"/>
                <w:color w:val="000000"/>
                <w:sz w:val="18"/>
                <w:lang w:val="en-US" w:eastAsia="zh-CN"/>
              </w:rPr>
              <w:t>部分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不确定性</w:t>
            </w: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C46548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是</w:t>
            </w:r>
          </w:p>
        </w:tc>
      </w:tr>
      <w:tr w14:paraId="655404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1F0488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D</w:t>
            </w:r>
          </w:p>
        </w:tc>
        <w:tc>
          <w:tcPr>
            <w:tcW w:w="6386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2AE0EF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边界不匹配、无法可靠修正，或</w:t>
            </w:r>
            <w:r>
              <w:rPr>
                <w:rFonts w:ascii="Times New Roman" w:hAnsi="Times New Roman" w:eastAsia="宋体" w:cs="Times New Roman"/>
                <w:b w:val="0"/>
                <w:i/>
                <w:iCs/>
                <w:color w:val="000000"/>
                <w:sz w:val="18"/>
              </w:rPr>
              <w:t>Te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=4</w:t>
            </w: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B99D42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否</w:t>
            </w:r>
          </w:p>
        </w:tc>
      </w:tr>
      <w:tr w14:paraId="4A148A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1" w:type="dxa"/>
            <w:tcBorders>
              <w:top w:val="nil"/>
              <w:left w:val="nil"/>
              <w:bottom w:val="double" w:color="auto" w:sz="4" w:space="0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8EB484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E</w:t>
            </w:r>
          </w:p>
        </w:tc>
        <w:tc>
          <w:tcPr>
            <w:tcW w:w="6386" w:type="dxa"/>
            <w:tcBorders>
              <w:top w:val="nil"/>
              <w:left w:val="nil"/>
              <w:bottom w:val="double" w:color="auto" w:sz="4" w:space="0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904D1E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来源不可核实、过程/材料不可比，或</w:t>
            </w:r>
            <w:r>
              <w:rPr>
                <w:rFonts w:ascii="Times New Roman" w:hAnsi="Times New Roman" w:eastAsia="宋体" w:cs="Times New Roman"/>
                <w:b w:val="0"/>
                <w:i/>
                <w:iCs/>
                <w:color w:val="000000"/>
                <w:sz w:val="18"/>
              </w:rPr>
              <w:t>Te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=5</w:t>
            </w:r>
          </w:p>
        </w:tc>
        <w:tc>
          <w:tcPr>
            <w:tcW w:w="1309" w:type="dxa"/>
            <w:tcBorders>
              <w:top w:val="nil"/>
              <w:left w:val="nil"/>
              <w:bottom w:val="double" w:color="auto" w:sz="4" w:space="0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EE7989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否</w:t>
            </w:r>
          </w:p>
        </w:tc>
      </w:tr>
    </w:tbl>
    <w:p w14:paraId="62EE6D43">
      <w:pPr>
        <w:keepNext/>
        <w:spacing w:before="80" w:after="40"/>
        <w:rPr>
          <w:rFonts w:ascii="Times New Roman" w:hAnsi="Times New Roman" w:eastAsia="宋体" w:cs="Times New Roman"/>
          <w:b/>
          <w:i w:val="0"/>
          <w:color w:val="000000"/>
          <w:sz w:val="22"/>
        </w:rPr>
      </w:pPr>
    </w:p>
    <w:p w14:paraId="103AD3E5">
      <w:pPr>
        <w:keepNext/>
        <w:spacing w:before="80" w:after="40"/>
      </w:pPr>
      <w:r>
        <w:rPr>
          <w:rFonts w:ascii="Times New Roman" w:hAnsi="Times New Roman" w:eastAsia="宋体" w:cs="Times New Roman"/>
          <w:b/>
          <w:i w:val="0"/>
          <w:color w:val="000000"/>
          <w:sz w:val="22"/>
        </w:rPr>
        <w:t>3  五维数据质量评分</w:t>
      </w:r>
    </w:p>
    <w:p w14:paraId="4625029F">
      <w:pPr>
        <w:spacing w:before="0" w:after="20" w:line="240" w:lineRule="auto"/>
        <w:ind w:firstLine="420"/>
        <w:jc w:val="both"/>
        <w:rPr>
          <w:rFonts w:hint="default" w:eastAsia="宋体"/>
          <w:lang w:val="en-US" w:eastAsia="zh-CN"/>
        </w:rPr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仅A/B/C</w:t>
      </w:r>
      <w:r>
        <w:rPr>
          <w:rFonts w:hint="eastAsia" w:cs="Times New Roman"/>
          <w:b w:val="0"/>
          <w:i w:val="0"/>
          <w:color w:val="000000"/>
          <w:sz w:val="21"/>
          <w:lang w:val="en-US" w:eastAsia="zh-CN"/>
        </w:rPr>
        <w:t>等级的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数据进入</w:t>
      </w:r>
      <w:r>
        <w:rPr>
          <w:rFonts w:ascii="Times New Roman" w:hAnsi="Times New Roman" w:eastAsia="宋体" w:cs="Times New Roman"/>
          <w:b w:val="0"/>
          <w:i/>
          <w:iCs/>
          <w:color w:val="000000"/>
          <w:sz w:val="21"/>
        </w:rPr>
        <w:t>R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、</w:t>
      </w:r>
      <w:r>
        <w:rPr>
          <w:rFonts w:ascii="Times New Roman" w:hAnsi="Times New Roman" w:eastAsia="宋体" w:cs="Times New Roman"/>
          <w:b w:val="0"/>
          <w:i/>
          <w:iCs/>
          <w:color w:val="000000"/>
          <w:sz w:val="21"/>
        </w:rPr>
        <w:t>C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、</w:t>
      </w:r>
      <w:r>
        <w:rPr>
          <w:rFonts w:ascii="Times New Roman" w:hAnsi="Times New Roman" w:eastAsia="宋体" w:cs="Times New Roman"/>
          <w:b w:val="0"/>
          <w:i/>
          <w:iCs/>
          <w:color w:val="000000"/>
          <w:sz w:val="21"/>
        </w:rPr>
        <w:t>Te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、</w:t>
      </w:r>
      <w:r>
        <w:rPr>
          <w:rFonts w:ascii="Times New Roman" w:hAnsi="Times New Roman" w:eastAsia="宋体" w:cs="Times New Roman"/>
          <w:b w:val="0"/>
          <w:i/>
          <w:iCs/>
          <w:color w:val="000000"/>
          <w:sz w:val="21"/>
        </w:rPr>
        <w:t>G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、</w:t>
      </w:r>
      <w:r>
        <w:rPr>
          <w:rFonts w:ascii="Times New Roman" w:hAnsi="Times New Roman" w:eastAsia="宋体" w:cs="Times New Roman"/>
          <w:b w:val="0"/>
          <w:i/>
          <w:iCs/>
          <w:color w:val="000000"/>
          <w:sz w:val="21"/>
        </w:rPr>
        <w:t>T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五维评分，各维度均为1</w:t>
      </w:r>
      <w:r>
        <w:rPr>
          <w:rFonts w:hint="eastAsia" w:cs="Times New Roman"/>
          <w:b w:val="0"/>
          <w:i w:val="0"/>
          <w:color w:val="000000"/>
          <w:sz w:val="21"/>
          <w:lang w:val="en-US" w:eastAsia="zh-CN"/>
        </w:rPr>
        <w:t>-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5 分（1最好、5最差），</w:t>
      </w:r>
      <w:r>
        <w:rPr>
          <w:rFonts w:hint="eastAsia" w:cs="Times New Roman"/>
          <w:b w:val="0"/>
          <w:i w:val="0"/>
          <w:color w:val="000000"/>
          <w:sz w:val="21"/>
          <w:lang w:val="en-US" w:eastAsia="zh-CN"/>
        </w:rPr>
        <w:t>五维度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等权。</w:t>
      </w:r>
      <w:r>
        <w:rPr>
          <w:rFonts w:hint="eastAsia" w:cs="Times New Roman"/>
          <w:b w:val="0"/>
          <w:i w:val="0"/>
          <w:color w:val="000000"/>
          <w:sz w:val="21"/>
          <w:lang w:eastAsia="zh-CN"/>
        </w:rPr>
        <w:t>（</w:t>
      </w:r>
      <w:r>
        <w:rPr>
          <w:rFonts w:hint="eastAsia" w:cs="Times New Roman"/>
          <w:b w:val="0"/>
          <w:i w:val="0"/>
          <w:color w:val="000000"/>
          <w:sz w:val="21"/>
          <w:lang w:val="en-US" w:eastAsia="zh-CN"/>
        </w:rPr>
        <w:t>注意：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准入等级C指</w:t>
      </w:r>
      <w:r>
        <w:rPr>
          <w:rFonts w:hint="eastAsia" w:cs="Times New Roman"/>
          <w:b w:val="0"/>
          <w:i w:val="0"/>
          <w:color w:val="000000"/>
          <w:sz w:val="21"/>
          <w:lang w:eastAsia="zh-CN"/>
        </w:rPr>
        <w:t>“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合格代理</w:t>
      </w:r>
      <w:r>
        <w:rPr>
          <w:rFonts w:hint="eastAsia" w:cs="Times New Roman"/>
          <w:b w:val="0"/>
          <w:i w:val="0"/>
          <w:color w:val="000000"/>
          <w:sz w:val="21"/>
          <w:lang w:eastAsia="zh-CN"/>
        </w:rPr>
        <w:t>”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，评分维度</w:t>
      </w:r>
      <w:r>
        <w:rPr>
          <w:rFonts w:ascii="Times New Roman" w:hAnsi="Times New Roman" w:eastAsia="宋体" w:cs="Times New Roman"/>
          <w:b w:val="0"/>
          <w:i/>
          <w:iCs/>
          <w:color w:val="000000"/>
          <w:sz w:val="21"/>
        </w:rPr>
        <w:t>C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指</w:t>
      </w:r>
      <w:r>
        <w:rPr>
          <w:rFonts w:hint="eastAsia" w:cs="Times New Roman"/>
          <w:b w:val="0"/>
          <w:i w:val="0"/>
          <w:color w:val="000000"/>
          <w:sz w:val="21"/>
          <w:lang w:eastAsia="zh-CN"/>
        </w:rPr>
        <w:t>“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完整性与可追溯性</w:t>
      </w:r>
      <w:r>
        <w:rPr>
          <w:rFonts w:hint="eastAsia" w:cs="Times New Roman"/>
          <w:b w:val="0"/>
          <w:i w:val="0"/>
          <w:color w:val="000000"/>
          <w:sz w:val="21"/>
          <w:lang w:eastAsia="zh-CN"/>
        </w:rPr>
        <w:t>”，</w:t>
      </w:r>
      <w:r>
        <w:rPr>
          <w:rFonts w:hint="eastAsia" w:cs="Times New Roman"/>
          <w:b w:val="0"/>
          <w:i w:val="0"/>
          <w:color w:val="000000"/>
          <w:sz w:val="21"/>
          <w:lang w:val="en-US" w:eastAsia="zh-CN"/>
        </w:rPr>
        <w:t>两者含义不同。）</w:t>
      </w:r>
    </w:p>
    <w:p w14:paraId="43B00AC9">
      <w:pPr>
        <w:spacing w:before="40" w:after="2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表3  评分维度</w:t>
      </w:r>
    </w:p>
    <w:tbl>
      <w:tblPr>
        <w:tblStyle w:val="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1"/>
        <w:gridCol w:w="1690"/>
        <w:gridCol w:w="5705"/>
      </w:tblGrid>
      <w:tr w14:paraId="1D5F90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1" w:type="dxa"/>
            <w:tcBorders>
              <w:top w:val="double" w:color="auto" w:sz="4" w:space="0"/>
              <w:left w:val="nil"/>
              <w:bottom w:val="single" w:color="000000" w:sz="4" w:space="0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24D7BE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8"/>
              </w:rPr>
              <w:t>符号</w:t>
            </w:r>
          </w:p>
        </w:tc>
        <w:tc>
          <w:tcPr>
            <w:tcW w:w="1690" w:type="dxa"/>
            <w:tcBorders>
              <w:top w:val="double" w:color="auto" w:sz="4" w:space="0"/>
              <w:left w:val="nil"/>
              <w:bottom w:val="single" w:color="000000" w:sz="4" w:space="0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842606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8"/>
              </w:rPr>
              <w:t>含义</w:t>
            </w:r>
          </w:p>
        </w:tc>
        <w:tc>
          <w:tcPr>
            <w:tcW w:w="5705" w:type="dxa"/>
            <w:tcBorders>
              <w:top w:val="double" w:color="auto" w:sz="4" w:space="0"/>
              <w:left w:val="nil"/>
              <w:bottom w:val="single" w:color="000000" w:sz="4" w:space="0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BBF1E8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8"/>
              </w:rPr>
              <w:t>评价内容</w:t>
            </w:r>
          </w:p>
        </w:tc>
      </w:tr>
      <w:tr w14:paraId="098017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1" w:type="dxa"/>
            <w:tcBorders>
              <w:top w:val="single" w:color="000000" w:sz="4" w:space="0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CB17C2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R</w:t>
            </w:r>
          </w:p>
        </w:tc>
        <w:tc>
          <w:tcPr>
            <w:tcW w:w="1690" w:type="dxa"/>
            <w:tcBorders>
              <w:top w:val="single" w:color="000000" w:sz="4" w:space="0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9FBF5B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来源可靠性</w:t>
            </w:r>
          </w:p>
        </w:tc>
        <w:tc>
          <w:tcPr>
            <w:tcW w:w="5705" w:type="dxa"/>
            <w:tcBorders>
              <w:top w:val="single" w:color="000000" w:sz="4" w:space="0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B891AA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原始/实测程度、同行评审、官方或第三方核查程度</w:t>
            </w:r>
          </w:p>
        </w:tc>
      </w:tr>
      <w:tr w14:paraId="256491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698EFE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C</w:t>
            </w:r>
          </w:p>
        </w:tc>
        <w:tc>
          <w:tcPr>
            <w:tcW w:w="1690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D6CCF9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完整性与可追溯性</w:t>
            </w:r>
          </w:p>
        </w:tc>
        <w:tc>
          <w:tcPr>
            <w:tcW w:w="5705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08167D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原值、单位、年份、对象、边界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等相关数据信息是否足以复算</w:t>
            </w:r>
          </w:p>
        </w:tc>
      </w:tr>
      <w:tr w14:paraId="49C5AF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0D4EF3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Te</w:t>
            </w:r>
          </w:p>
        </w:tc>
        <w:tc>
          <w:tcPr>
            <w:tcW w:w="1690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D121C2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技术代表性</w:t>
            </w:r>
          </w:p>
        </w:tc>
        <w:tc>
          <w:tcPr>
            <w:tcW w:w="5705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36CDD2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材料体系、器件类型、晶圆尺寸/平台及制造工艺与目标的匹配程度</w:t>
            </w:r>
          </w:p>
        </w:tc>
      </w:tr>
      <w:tr w14:paraId="31AAF2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C07B34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G</w:t>
            </w:r>
          </w:p>
        </w:tc>
        <w:tc>
          <w:tcPr>
            <w:tcW w:w="1690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034605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地域代表性</w:t>
            </w:r>
          </w:p>
        </w:tc>
        <w:tc>
          <w:tcPr>
            <w:tcW w:w="5705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ED32DC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生产地区、电力结构与目标供应链背景的匹配程度</w:t>
            </w:r>
          </w:p>
        </w:tc>
      </w:tr>
      <w:tr w14:paraId="6FEFA2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1" w:type="dxa"/>
            <w:tcBorders>
              <w:top w:val="nil"/>
              <w:left w:val="nil"/>
              <w:bottom w:val="double" w:color="auto" w:sz="4" w:space="0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3FA006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T</w:t>
            </w:r>
          </w:p>
        </w:tc>
        <w:tc>
          <w:tcPr>
            <w:tcW w:w="1690" w:type="dxa"/>
            <w:tcBorders>
              <w:top w:val="nil"/>
              <w:left w:val="nil"/>
              <w:bottom w:val="double" w:color="auto" w:sz="4" w:space="0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357649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时间代表性</w:t>
            </w:r>
          </w:p>
        </w:tc>
        <w:tc>
          <w:tcPr>
            <w:tcW w:w="5705" w:type="dxa"/>
            <w:tcBorders>
              <w:top w:val="nil"/>
              <w:left w:val="nil"/>
              <w:bottom w:val="double" w:color="auto" w:sz="4" w:space="0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2C6EE1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实际数据年份与2026年的接近程度</w:t>
            </w:r>
          </w:p>
        </w:tc>
      </w:tr>
    </w:tbl>
    <w:p w14:paraId="36BC169A">
      <w:pPr>
        <w:pageBreakBefore/>
        <w:spacing w:after="0"/>
      </w:pPr>
    </w:p>
    <w:p w14:paraId="56F83369">
      <w:pPr>
        <w:spacing w:before="40" w:after="2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表4  五维评分标准</w:t>
      </w:r>
    </w:p>
    <w:tbl>
      <w:tblPr>
        <w:tblStyle w:val="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0"/>
        <w:gridCol w:w="1410"/>
        <w:gridCol w:w="1410"/>
        <w:gridCol w:w="1410"/>
        <w:gridCol w:w="1381"/>
        <w:gridCol w:w="1425"/>
      </w:tblGrid>
      <w:tr w14:paraId="2FF673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Borders>
              <w:top w:val="double" w:color="auto" w:sz="4" w:space="0"/>
              <w:left w:val="nil"/>
              <w:bottom w:val="single" w:color="000000" w:sz="4" w:space="0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BB8EB0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8"/>
              </w:rPr>
              <w:t>评分</w:t>
            </w:r>
          </w:p>
        </w:tc>
        <w:tc>
          <w:tcPr>
            <w:tcW w:w="1587" w:type="dxa"/>
            <w:tcBorders>
              <w:top w:val="double" w:color="auto" w:sz="4" w:space="0"/>
              <w:left w:val="nil"/>
              <w:bottom w:val="single" w:color="000000" w:sz="4" w:space="0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AABB99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8"/>
              </w:rPr>
              <w:t>R</w:t>
            </w:r>
          </w:p>
        </w:tc>
        <w:tc>
          <w:tcPr>
            <w:tcW w:w="1587" w:type="dxa"/>
            <w:tcBorders>
              <w:top w:val="double" w:color="auto" w:sz="4" w:space="0"/>
              <w:left w:val="nil"/>
              <w:bottom w:val="single" w:color="000000" w:sz="4" w:space="0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66783B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8"/>
              </w:rPr>
              <w:t>C</w:t>
            </w:r>
          </w:p>
        </w:tc>
        <w:tc>
          <w:tcPr>
            <w:tcW w:w="1587" w:type="dxa"/>
            <w:tcBorders>
              <w:top w:val="double" w:color="auto" w:sz="4" w:space="0"/>
              <w:left w:val="nil"/>
              <w:bottom w:val="single" w:color="000000" w:sz="4" w:space="0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099BFC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8"/>
              </w:rPr>
              <w:t>Te</w:t>
            </w:r>
          </w:p>
        </w:tc>
        <w:tc>
          <w:tcPr>
            <w:tcW w:w="1587" w:type="dxa"/>
            <w:tcBorders>
              <w:top w:val="double" w:color="auto" w:sz="4" w:space="0"/>
              <w:left w:val="nil"/>
              <w:bottom w:val="single" w:color="000000" w:sz="4" w:space="0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3F85B4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8"/>
              </w:rPr>
              <w:t>G</w:t>
            </w:r>
          </w:p>
        </w:tc>
        <w:tc>
          <w:tcPr>
            <w:tcW w:w="1587" w:type="dxa"/>
            <w:tcBorders>
              <w:top w:val="double" w:color="auto" w:sz="4" w:space="0"/>
              <w:left w:val="nil"/>
              <w:bottom w:val="single" w:color="000000" w:sz="4" w:space="0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67A9DC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8"/>
              </w:rPr>
              <w:t>T</w:t>
            </w:r>
          </w:p>
        </w:tc>
      </w:tr>
      <w:tr w14:paraId="107899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Borders>
              <w:top w:val="single" w:color="000000" w:sz="4" w:space="0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E51EFC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w="1587" w:type="dxa"/>
            <w:tcBorders>
              <w:top w:val="single" w:color="000000" w:sz="4" w:space="0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F0CA10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原始实测/同行评审，或第三方核查数据</w:t>
            </w:r>
          </w:p>
        </w:tc>
        <w:tc>
          <w:tcPr>
            <w:tcW w:w="1587" w:type="dxa"/>
            <w:tcBorders>
              <w:top w:val="single" w:color="000000" w:sz="4" w:space="0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CA397D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信息完整，可直接复算</w:t>
            </w:r>
          </w:p>
        </w:tc>
        <w:tc>
          <w:tcPr>
            <w:tcW w:w="1587" w:type="dxa"/>
            <w:tcBorders>
              <w:top w:val="single" w:color="000000" w:sz="4" w:space="0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ED8013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同材料；目标器件/工艺及晶圆尺寸/平台高度匹配</w:t>
            </w:r>
          </w:p>
        </w:tc>
        <w:tc>
          <w:tcPr>
            <w:tcW w:w="1587" w:type="dxa"/>
            <w:tcBorders>
              <w:top w:val="single" w:color="000000" w:sz="4" w:space="0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58BC7F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目标地区/供应链高度匹配</w:t>
            </w:r>
          </w:p>
        </w:tc>
        <w:tc>
          <w:tcPr>
            <w:tcW w:w="1587" w:type="dxa"/>
            <w:tcBorders>
              <w:top w:val="single" w:color="000000" w:sz="4" w:space="0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C40EBC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2026</w:t>
            </w:r>
          </w:p>
        </w:tc>
      </w:tr>
      <w:tr w14:paraId="433D9B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07D152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F6E150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正式官方/企业原始报告，或可靠同行评审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8D86A9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仅需简单明确换算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BA5264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同材料；相近功率器件商业路线，平台基本匹配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897983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同宏观区域或透明全球行业平均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779844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2025</w:t>
            </w:r>
          </w:p>
        </w:tc>
      </w:tr>
      <w:tr w14:paraId="0F6BC2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552507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C3F166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数据库、学位论文、项目报告等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E57AE6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需少量标准化假设，关键输入公开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0937BE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同材料合理代理；器件/平台/工艺存在有限差异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3EC441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其他主要商业半导体地区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958F27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2024</w:t>
            </w:r>
          </w:p>
        </w:tc>
      </w:tr>
      <w:tr w14:paraId="610A25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92CAED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76F244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二手转引、图读数或间接核实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B2E461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重要信息缺失，复算不确定性较大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01CFCE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器件/平台/工艺明显不匹配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E66407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特殊能源/地区情景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09F46B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2023</w:t>
            </w:r>
          </w:p>
        </w:tc>
      </w:tr>
      <w:tr w14:paraId="07A078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  <w:jc w:val="center"/>
        </w:trPr>
        <w:tc>
          <w:tcPr>
            <w:tcW w:w="1587" w:type="dxa"/>
            <w:tcBorders>
              <w:top w:val="nil"/>
              <w:left w:val="nil"/>
              <w:bottom w:val="double" w:color="auto" w:sz="4" w:space="0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77B8A7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w="1587" w:type="dxa"/>
            <w:tcBorders>
              <w:top w:val="nil"/>
              <w:left w:val="nil"/>
              <w:bottom w:val="double" w:color="auto" w:sz="4" w:space="0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9B60A7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来源不明或无法验证</w:t>
            </w:r>
          </w:p>
        </w:tc>
        <w:tc>
          <w:tcPr>
            <w:tcW w:w="1587" w:type="dxa"/>
            <w:tcBorders>
              <w:top w:val="nil"/>
              <w:left w:val="nil"/>
              <w:bottom w:val="double" w:color="auto" w:sz="4" w:space="0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9C7517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无法可靠复算</w:t>
            </w:r>
          </w:p>
        </w:tc>
        <w:tc>
          <w:tcPr>
            <w:tcW w:w="1587" w:type="dxa"/>
            <w:tcBorders>
              <w:top w:val="nil"/>
              <w:left w:val="nil"/>
              <w:bottom w:val="double" w:color="auto" w:sz="4" w:space="0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4F4B46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材料或技术路线不可比</w:t>
            </w:r>
          </w:p>
        </w:tc>
        <w:tc>
          <w:tcPr>
            <w:tcW w:w="1587" w:type="dxa"/>
            <w:tcBorders>
              <w:top w:val="nil"/>
              <w:left w:val="nil"/>
              <w:bottom w:val="double" w:color="auto" w:sz="4" w:space="0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25662D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地域未知或显著不匹配</w:t>
            </w:r>
          </w:p>
        </w:tc>
        <w:tc>
          <w:tcPr>
            <w:tcW w:w="1587" w:type="dxa"/>
            <w:tcBorders>
              <w:top w:val="nil"/>
              <w:left w:val="nil"/>
              <w:bottom w:val="double" w:color="auto" w:sz="4" w:space="0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9B2B87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≤2022</w:t>
            </w:r>
          </w:p>
        </w:tc>
      </w:tr>
    </w:tbl>
    <w:p w14:paraId="04798921">
      <w:pPr>
        <w:spacing w:before="0" w:after="20" w:line="240" w:lineRule="auto"/>
        <w:ind w:firstLine="420"/>
        <w:jc w:val="left"/>
        <w:rPr>
          <w:rFonts w:ascii="Times New Roman" w:hAnsi="Times New Roman" w:eastAsia="宋体" w:cs="Times New Roman"/>
          <w:b w:val="0"/>
          <w:i w:val="0"/>
          <w:color w:val="000000"/>
          <w:sz w:val="21"/>
        </w:rPr>
      </w:pPr>
    </w:p>
    <w:p w14:paraId="0BB873FD">
      <w:pPr>
        <w:spacing w:before="0" w:after="20" w:line="240" w:lineRule="auto"/>
        <w:ind w:firstLine="420"/>
        <w:jc w:val="left"/>
        <w:rPr>
          <w:rFonts w:hint="eastAsia" w:ascii="Times New Roman" w:hAnsi="Times New Roman" w:eastAsia="宋体" w:cs="Times New Roman"/>
          <w:b w:val="0"/>
          <w:i w:val="0"/>
          <w:color w:val="000000"/>
          <w:sz w:val="21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1"/>
        </w:rPr>
        <w:t>注意：T为数据的实际年份，而不是论文或报告的发表年份。</w:t>
      </w:r>
    </w:p>
    <w:p w14:paraId="3892C1D1">
      <w:pPr>
        <w:spacing w:before="0" w:after="20" w:line="240" w:lineRule="auto"/>
        <w:ind w:firstLine="420"/>
        <w:jc w:val="left"/>
        <w:rPr>
          <w:rFonts w:hint="eastAsia" w:ascii="Times New Roman" w:hAnsi="Times New Roman" w:eastAsia="宋体" w:cs="Times New Roman"/>
          <w:b w:val="0"/>
          <w:i w:val="0"/>
          <w:color w:val="000000"/>
          <w:sz w:val="21"/>
        </w:rPr>
      </w:pPr>
    </w:p>
    <w:p w14:paraId="7C6E7F4B">
      <w:pPr>
        <w:keepNext/>
        <w:spacing w:before="80" w:after="40"/>
      </w:pPr>
      <w:r>
        <w:rPr>
          <w:rFonts w:ascii="Times New Roman" w:hAnsi="Times New Roman" w:eastAsia="宋体" w:cs="Times New Roman"/>
          <w:b/>
          <w:i w:val="0"/>
          <w:color w:val="000000"/>
          <w:sz w:val="22"/>
        </w:rPr>
        <w:t>4  权重与最终取值</w:t>
      </w:r>
    </w:p>
    <w:p w14:paraId="2A34F906">
      <w:pPr>
        <w:spacing w:before="0" w:after="20" w:line="240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五维评分先转换为数据质量系数，再通过</w:t>
      </w:r>
      <w:r>
        <w:rPr>
          <w:rFonts w:hint="eastAsia" w:cs="Times New Roman"/>
          <w:b w:val="0"/>
          <w:i w:val="0"/>
          <w:color w:val="000000"/>
          <w:sz w:val="21"/>
          <w:lang w:val="en-US" w:eastAsia="zh-CN"/>
        </w:rPr>
        <w:t>来源族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修正同源数据的重复计权。同一企业多年数据、同一论文多情景或共享同一底层数据的记录归为同一来源族。</w:t>
      </w:r>
    </w:p>
    <w:p w14:paraId="46483FA1">
      <w:pPr>
        <w:spacing w:before="40" w:after="2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表5  质量系数与权重</w:t>
      </w:r>
    </w:p>
    <w:tbl>
      <w:tblPr>
        <w:tblStyle w:val="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1"/>
        <w:gridCol w:w="3346"/>
        <w:gridCol w:w="3599"/>
      </w:tblGrid>
      <w:tr w14:paraId="04B452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tcBorders>
              <w:top w:val="double" w:color="auto" w:sz="4" w:space="0"/>
              <w:left w:val="nil"/>
              <w:bottom w:val="single" w:color="000000" w:sz="4" w:space="0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922F15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8"/>
              </w:rPr>
              <w:t>量</w:t>
            </w:r>
          </w:p>
        </w:tc>
        <w:tc>
          <w:tcPr>
            <w:tcW w:w="3346" w:type="dxa"/>
            <w:tcBorders>
              <w:top w:val="double" w:color="auto" w:sz="4" w:space="0"/>
              <w:left w:val="nil"/>
              <w:bottom w:val="single" w:color="000000" w:sz="4" w:space="0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E015F4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8"/>
              </w:rPr>
              <w:t>计算式</w:t>
            </w:r>
          </w:p>
        </w:tc>
        <w:tc>
          <w:tcPr>
            <w:tcW w:w="3599" w:type="dxa"/>
            <w:tcBorders>
              <w:top w:val="double" w:color="auto" w:sz="4" w:space="0"/>
              <w:left w:val="nil"/>
              <w:bottom w:val="single" w:color="000000" w:sz="4" w:space="0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7A2735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8"/>
              </w:rPr>
              <w:t>含义</w:t>
            </w:r>
          </w:p>
        </w:tc>
      </w:tr>
      <w:tr w14:paraId="2E954F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tcBorders>
              <w:top w:val="single" w:color="000000" w:sz="4" w:space="0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E1CEF4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DQR</w:t>
            </w:r>
          </w:p>
        </w:tc>
        <w:tc>
          <w:tcPr>
            <w:tcW w:w="3346" w:type="dxa"/>
            <w:tcBorders>
              <w:top w:val="single" w:color="000000" w:sz="4" w:space="0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C94733F">
            <w:pPr>
              <w:spacing w:before="0"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position w:val="-10"/>
                <w:lang w:eastAsia="zh-CN"/>
              </w:rPr>
              <w:object>
                <v:shape id="_x0000_i1035" o:spt="75" type="#_x0000_t75" style="height:15pt;width:95pt;" o:ole="t" filled="f" o:preferrelative="t" stroked="f" coordsize="21600,21600">
                  <v:fill on="f" focussize="0,0"/>
                  <v:stroke on="f"/>
                  <v:imagedata r:id="rId8" o:title=""/>
                  <o:lock v:ext="edit" aspectratio="t"/>
                  <w10:wrap type="none"/>
                  <w10:anchorlock/>
                </v:shape>
                <o:OLEObject Type="Embed" ProgID="DSEquations" ShapeID="_x0000_i1035" DrawAspect="Content" ObjectID="_1468075725" r:id="rId7">
                  <o:LockedField>false</o:LockedField>
                </o:OLEObject>
              </w:objec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3599" w:type="dxa"/>
            <w:tcBorders>
              <w:top w:val="single" w:color="000000" w:sz="4" w:space="0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A174E2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五维平均质量评分，越小越好</w:t>
            </w:r>
          </w:p>
        </w:tc>
      </w:tr>
      <w:tr w14:paraId="28489B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F41431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Q</w:t>
            </w:r>
          </w:p>
        </w:tc>
        <w:tc>
          <w:tcPr>
            <w:tcW w:w="3346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20595D3">
            <w:pPr>
              <w:spacing w:before="0"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position w:val="-10"/>
                <w:lang w:eastAsia="zh-CN"/>
              </w:rPr>
              <w:object>
                <v:shape id="_x0000_i1036" o:spt="75" type="#_x0000_t75" style="height:15pt;width:57pt;" o:ole="t" filled="f" o:preferrelative="t" stroked="f" coordsize="21600,21600">
                  <v:fill on="f" focussize="0,0"/>
                  <v:stroke on="f"/>
                  <v:imagedata r:id="rId10" o:title=""/>
                  <o:lock v:ext="edit" aspectratio="t"/>
                  <w10:wrap type="none"/>
                  <w10:anchorlock/>
                </v:shape>
                <o:OLEObject Type="Embed" ProgID="DSEquations" ShapeID="_x0000_i1036" DrawAspect="Content" ObjectID="_1468075726" r:id="rId9">
                  <o:LockedField>false</o:LockedField>
                </o:OLEObject>
              </w:objec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3599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BFB343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质量系数，0</w:t>
            </w:r>
            <w:r>
              <w:rPr>
                <w:rFonts w:hint="eastAsia" w:cs="Times New Roman"/>
                <w:b w:val="0"/>
                <w:i w:val="0"/>
                <w:color w:val="000000"/>
                <w:sz w:val="18"/>
                <w:lang w:val="en-US" w:eastAsia="zh-CN"/>
              </w:rPr>
              <w:t>-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1，越大越好</w:t>
            </w:r>
          </w:p>
        </w:tc>
      </w:tr>
      <w:tr w14:paraId="326C2E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08CD06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/>
                <w:iCs/>
                <w:color w:val="000000"/>
                <w:sz w:val="18"/>
              </w:rPr>
              <w:t>n</w:t>
            </w:r>
            <w:r>
              <w:rPr>
                <w:rFonts w:ascii="Times New Roman" w:hAnsi="Times New Roman" w:eastAsia="宋体" w:cs="Times New Roman"/>
                <w:b w:val="0"/>
                <w:i/>
                <w:iCs/>
                <w:color w:val="000000"/>
                <w:sz w:val="18"/>
                <w:vertAlign w:val="subscript"/>
              </w:rPr>
              <w:t>f</w:t>
            </w:r>
          </w:p>
        </w:tc>
        <w:tc>
          <w:tcPr>
            <w:tcW w:w="3346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8CA523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w="3599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B784EB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同一来源族的数据点数</w:t>
            </w:r>
          </w:p>
        </w:tc>
      </w:tr>
      <w:tr w14:paraId="6CC949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00F5F5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/>
                <w:iCs/>
                <w:color w:val="000000"/>
                <w:sz w:val="18"/>
              </w:rPr>
              <w:t>d</w:t>
            </w:r>
          </w:p>
        </w:tc>
        <w:tc>
          <w:tcPr>
            <w:tcW w:w="3346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2EE17EB">
            <w:pPr>
              <w:spacing w:before="0"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position w:val="-12"/>
                <w:lang w:eastAsia="zh-CN"/>
              </w:rPr>
              <w:object>
                <v:shape id="_x0000_i1037" o:spt="75" type="#_x0000_t75" style="height:16pt;width:23pt;" o:ole="t" filled="f" o:preferrelative="t" stroked="f" coordsize="21600,21600">
                  <v:fill on="f" focussize="0,0"/>
                  <v:stroke on="f"/>
                  <v:imagedata r:id="rId12" o:title=""/>
                  <o:lock v:ext="edit" aspectratio="t"/>
                  <w10:wrap type="none"/>
                  <w10:anchorlock/>
                </v:shape>
                <o:OLEObject Type="Embed" ProgID="DSEquations" ShapeID="_x0000_i1037" DrawAspect="Content" ObjectID="_1468075727" r:id="rId11">
                  <o:LockedField>false</o:LockedField>
                </o:OLEObject>
              </w:objec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3599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79A1E7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来源独立性修正</w:t>
            </w:r>
          </w:p>
        </w:tc>
      </w:tr>
      <w:tr w14:paraId="7D483A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80E389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/>
                <w:iCs/>
                <w:color w:val="000000"/>
                <w:sz w:val="18"/>
              </w:rPr>
              <w:t>w</w:t>
            </w:r>
          </w:p>
        </w:tc>
        <w:tc>
          <w:tcPr>
            <w:tcW w:w="3346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69A1D5E">
            <w:pPr>
              <w:spacing w:before="0"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position w:val="-10"/>
                <w:lang w:eastAsia="zh-CN"/>
              </w:rPr>
              <w:object>
                <v:shape id="_x0000_i1038" o:spt="75" type="#_x0000_t75" style="height:15pt;width:24.95pt;" o:ole="t" filled="f" o:preferrelative="t" stroked="f" coordsize="21600,21600">
                  <v:fill on="f" focussize="0,0"/>
                  <v:stroke on="f"/>
                  <v:imagedata r:id="rId14" o:title=""/>
                  <o:lock v:ext="edit" aspectratio="t"/>
                  <w10:wrap type="none"/>
                  <w10:anchorlock/>
                </v:shape>
                <o:OLEObject Type="Embed" ProgID="DSEquations" ShapeID="_x0000_i1038" DrawAspect="Content" ObjectID="_1468075728" r:id="rId13">
                  <o:LockedField>false</o:LockedField>
                </o:OLEObject>
              </w:objec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3599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E5BA21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有效权重</w:t>
            </w:r>
          </w:p>
        </w:tc>
      </w:tr>
      <w:tr w14:paraId="3CE0B3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tcBorders>
              <w:top w:val="nil"/>
              <w:left w:val="nil"/>
              <w:bottom w:val="double" w:color="auto" w:sz="4" w:space="0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97EE46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W</w:t>
            </w:r>
          </w:p>
        </w:tc>
        <w:tc>
          <w:tcPr>
            <w:tcW w:w="3346" w:type="dxa"/>
            <w:tcBorders>
              <w:top w:val="nil"/>
              <w:left w:val="nil"/>
              <w:bottom w:val="double" w:color="auto" w:sz="4" w:space="0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001C071">
            <w:pPr>
              <w:spacing w:before="0"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position w:val="-6"/>
                <w:lang w:eastAsia="zh-CN"/>
              </w:rPr>
              <w:object>
                <v:shape id="_x0000_i1039" o:spt="75" type="#_x0000_t75" style="height:13pt;width:30pt;" o:ole="t" filled="f" o:preferrelative="t" stroked="f" coordsize="21600,21600">
                  <v:fill on="f" focussize="0,0"/>
                  <v:stroke on="f"/>
                  <v:imagedata r:id="rId16" o:title=""/>
                  <o:lock v:ext="edit" aspectratio="t"/>
                  <w10:wrap type="none"/>
                  <w10:anchorlock/>
                </v:shape>
                <o:OLEObject Type="Embed" ProgID="DSEquations" ShapeID="_x0000_i1039" DrawAspect="Content" ObjectID="_1468075729" r:id="rId15">
                  <o:LockedField>false</o:LockedField>
                </o:OLEObject>
              </w:object>
            </w:r>
            <w:bookmarkStart w:id="1" w:name="_GoBack"/>
            <w:bookmarkEnd w:id="1"/>
          </w:p>
        </w:tc>
        <w:tc>
          <w:tcPr>
            <w:tcW w:w="3599" w:type="dxa"/>
            <w:tcBorders>
              <w:top w:val="nil"/>
              <w:left w:val="nil"/>
              <w:bottom w:val="double" w:color="auto" w:sz="4" w:space="0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490684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归一化权重</w:t>
            </w:r>
          </w:p>
        </w:tc>
      </w:tr>
    </w:tbl>
    <w:p w14:paraId="232DBC9C">
      <w:pPr>
        <w:spacing w:before="0" w:after="20" w:line="240" w:lineRule="auto"/>
        <w:ind w:firstLine="420"/>
        <w:jc w:val="left"/>
        <w:rPr>
          <w:rFonts w:ascii="Times New Roman" w:hAnsi="Times New Roman" w:eastAsia="宋体" w:cs="Times New Roman"/>
          <w:b w:val="0"/>
          <w:i w:val="0"/>
          <w:color w:val="000000"/>
          <w:sz w:val="21"/>
        </w:rPr>
      </w:pPr>
    </w:p>
    <w:p w14:paraId="5F885E77">
      <w:pPr>
        <w:spacing w:before="40" w:after="2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表6  三种汇总方法</w:t>
      </w:r>
    </w:p>
    <w:tbl>
      <w:tblPr>
        <w:tblStyle w:val="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5"/>
        <w:gridCol w:w="2946"/>
        <w:gridCol w:w="2735"/>
      </w:tblGrid>
      <w:tr w14:paraId="7167AF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tcBorders>
              <w:top w:val="double" w:color="auto" w:sz="4" w:space="0"/>
              <w:left w:val="nil"/>
              <w:bottom w:val="single" w:color="000000" w:sz="4" w:space="0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AF6EF2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8"/>
              </w:rPr>
              <w:t>方法</w:t>
            </w:r>
          </w:p>
        </w:tc>
        <w:tc>
          <w:tcPr>
            <w:tcW w:w="3175" w:type="dxa"/>
            <w:tcBorders>
              <w:top w:val="double" w:color="auto" w:sz="4" w:space="0"/>
              <w:left w:val="nil"/>
              <w:bottom w:val="single" w:color="000000" w:sz="4" w:space="0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963360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8"/>
              </w:rPr>
              <w:t>计算式</w:t>
            </w:r>
          </w:p>
        </w:tc>
        <w:tc>
          <w:tcPr>
            <w:tcW w:w="3175" w:type="dxa"/>
            <w:tcBorders>
              <w:top w:val="double" w:color="auto" w:sz="4" w:space="0"/>
              <w:left w:val="nil"/>
              <w:bottom w:val="single" w:color="000000" w:sz="4" w:space="0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975050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8"/>
              </w:rPr>
              <w:t>用途</w:t>
            </w:r>
          </w:p>
        </w:tc>
      </w:tr>
      <w:tr w14:paraId="53F76C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tcBorders>
              <w:top w:val="single" w:color="000000" w:sz="4" w:space="0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D0633B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等权算术均值</w:t>
            </w:r>
          </w:p>
        </w:tc>
        <w:tc>
          <w:tcPr>
            <w:tcW w:w="3175" w:type="dxa"/>
            <w:tcBorders>
              <w:top w:val="single" w:color="000000" w:sz="4" w:space="0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1A7F4E5">
            <w:pPr>
              <w:spacing w:before="0" w:after="0" w:line="240" w:lineRule="auto"/>
              <w:jc w:val="center"/>
            </w:pPr>
            <w:bookmarkStart w:id="0" w:name="MTBlankEqn"/>
            <w:r>
              <w:rPr>
                <w:position w:val="-10"/>
              </w:rPr>
              <w:object>
                <v:shape id="_x0000_i1032" o:spt="75" alt="" type="#_x0000_t75" style="height:15pt;width:41pt;" o:ole="t" filled="f" o:preferrelative="t" stroked="f" coordsize="21600,21600">
                  <v:path/>
                  <v:fill on="f" focussize="0,0"/>
                  <v:stroke on="f"/>
                  <v:imagedata r:id="rId18" o:title=""/>
                  <o:lock v:ext="edit" aspectratio="t"/>
                  <w10:wrap type="none"/>
                  <w10:anchorlock/>
                </v:shape>
                <o:OLEObject Type="Embed" ProgID="Equation.DSMT4" ShapeID="_x0000_i1032" DrawAspect="Content" ObjectID="_1468075730" r:id="rId17">
                  <o:LockedField>false</o:LockedField>
                </o:OLEObject>
              </w:object>
            </w:r>
            <w:bookmarkEnd w:id="0"/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3175" w:type="dxa"/>
            <w:tcBorders>
              <w:top w:val="single" w:color="000000" w:sz="4" w:space="0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D3F324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稳健性对照</w:t>
            </w:r>
          </w:p>
        </w:tc>
      </w:tr>
      <w:tr w14:paraId="160BAC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7E9F9A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等权几何均值</w:t>
            </w:r>
          </w:p>
        </w:tc>
        <w:tc>
          <w:tcPr>
            <w:tcW w:w="3175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F8DF64F">
            <w:pPr>
              <w:spacing w:before="0" w:after="0" w:line="240" w:lineRule="auto"/>
              <w:jc w:val="center"/>
            </w:pPr>
            <w:r>
              <w:rPr>
                <w:position w:val="-10"/>
              </w:rPr>
              <w:object>
                <v:shape id="_x0000_i1033" o:spt="75" alt="" type="#_x0000_t75" style="height:15pt;width:78pt;" o:ole="t" filled="f" o:preferrelative="t" stroked="f" coordsize="21600,21600">
                  <v:path/>
                  <v:fill on="f" focussize="0,0"/>
                  <v:stroke on="f"/>
                  <v:imagedata r:id="rId20" o:title=""/>
                  <o:lock v:ext="edit" aspectratio="t"/>
                  <w10:wrap type="none"/>
                  <w10:anchorlock/>
                </v:shape>
                <o:OLEObject Type="Embed" ProgID="Equation.DSMT4" ShapeID="_x0000_i1033" DrawAspect="Content" ObjectID="_1468075731" r:id="rId19">
                  <o:LockedField>false</o:LockedField>
                </o:OLEObject>
              </w:objec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3175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94F8BB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稳健性对照</w:t>
            </w:r>
          </w:p>
        </w:tc>
      </w:tr>
      <w:tr w14:paraId="7BA125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tcBorders>
              <w:top w:val="nil"/>
              <w:left w:val="nil"/>
              <w:bottom w:val="double" w:color="auto" w:sz="4" w:space="0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0CFB3C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质量加权几何均值</w:t>
            </w:r>
          </w:p>
        </w:tc>
        <w:tc>
          <w:tcPr>
            <w:tcW w:w="3175" w:type="dxa"/>
            <w:tcBorders>
              <w:top w:val="nil"/>
              <w:left w:val="nil"/>
              <w:bottom w:val="double" w:color="auto" w:sz="4" w:space="0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007B2AF">
            <w:pPr>
              <w:spacing w:before="0" w:after="0" w:line="240" w:lineRule="auto"/>
              <w:jc w:val="center"/>
            </w:pPr>
            <w:r>
              <w:rPr>
                <w:position w:val="-10"/>
              </w:rPr>
              <w:object>
                <v:shape id="_x0000_i1034" o:spt="75" alt="" type="#_x0000_t75" style="height:15pt;width:64pt;" o:ole="t" filled="f" o:preferrelative="t" stroked="f" coordsize="21600,21600">
                  <v:path/>
                  <v:fill on="f" focussize="0,0"/>
                  <v:stroke on="f"/>
                  <v:imagedata r:id="rId22" o:title=""/>
                  <o:lock v:ext="edit" aspectratio="t"/>
                  <w10:wrap type="none"/>
                  <w10:anchorlock/>
                </v:shape>
                <o:OLEObject Type="Embed" ProgID="Equation.DSMT4" ShapeID="_x0000_i1034" DrawAspect="Content" ObjectID="_1468075732" r:id="rId21">
                  <o:LockedField>false</o:LockedField>
                </o:OLEObject>
              </w:objec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3175" w:type="dxa"/>
            <w:tcBorders>
              <w:top w:val="nil"/>
              <w:left w:val="nil"/>
              <w:bottom w:val="double" w:color="auto" w:sz="4" w:space="0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B5FC30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基准值</w:t>
            </w:r>
          </w:p>
        </w:tc>
      </w:tr>
    </w:tbl>
    <w:p w14:paraId="5397734E"/>
    <w:p w14:paraId="10DDD974"/>
    <w:sectPr>
      <w:footerReference r:id="rId5" w:type="default"/>
      <w:pgSz w:w="11906" w:h="16838"/>
      <w:pgMar w:top="1440" w:right="1800" w:bottom="1440" w:left="1800" w:header="720" w:footer="720" w:gutter="0"/>
      <w:pgNumType w:fmt="decimal"/>
      <w:cols w:space="720" w:num="1"/>
      <w:docGrid w:linePitch="360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6E821D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BA38376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BA38376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13CC5"/>
    <w:rsid w:val="00117DA6"/>
    <w:rsid w:val="00481C94"/>
    <w:rsid w:val="00A747E2"/>
    <w:rsid w:val="00AA4733"/>
    <w:rsid w:val="011B0F73"/>
    <w:rsid w:val="01426D32"/>
    <w:rsid w:val="01CE2E9D"/>
    <w:rsid w:val="01E03B35"/>
    <w:rsid w:val="02031DC8"/>
    <w:rsid w:val="020834AC"/>
    <w:rsid w:val="02881B10"/>
    <w:rsid w:val="02A96D5B"/>
    <w:rsid w:val="02AD3B9E"/>
    <w:rsid w:val="02B30FCF"/>
    <w:rsid w:val="02DC3B58"/>
    <w:rsid w:val="02E9549C"/>
    <w:rsid w:val="03337C91"/>
    <w:rsid w:val="034615A7"/>
    <w:rsid w:val="034E3158"/>
    <w:rsid w:val="03DF159F"/>
    <w:rsid w:val="03EA3B15"/>
    <w:rsid w:val="04682BF3"/>
    <w:rsid w:val="04991343"/>
    <w:rsid w:val="04E44068"/>
    <w:rsid w:val="05083F2E"/>
    <w:rsid w:val="053242B0"/>
    <w:rsid w:val="0540125C"/>
    <w:rsid w:val="05812B41"/>
    <w:rsid w:val="05903FC8"/>
    <w:rsid w:val="05DB3D1B"/>
    <w:rsid w:val="06065F87"/>
    <w:rsid w:val="06770ACE"/>
    <w:rsid w:val="067D1523"/>
    <w:rsid w:val="070A62F3"/>
    <w:rsid w:val="073744E0"/>
    <w:rsid w:val="07531A99"/>
    <w:rsid w:val="077B0190"/>
    <w:rsid w:val="07BB77DE"/>
    <w:rsid w:val="08383FE4"/>
    <w:rsid w:val="08470D50"/>
    <w:rsid w:val="086A5533"/>
    <w:rsid w:val="087A0447"/>
    <w:rsid w:val="08D26035"/>
    <w:rsid w:val="08D52012"/>
    <w:rsid w:val="0906049A"/>
    <w:rsid w:val="09163637"/>
    <w:rsid w:val="0936320F"/>
    <w:rsid w:val="095C60AB"/>
    <w:rsid w:val="09671286"/>
    <w:rsid w:val="0A691330"/>
    <w:rsid w:val="0A797821"/>
    <w:rsid w:val="0A8E30DF"/>
    <w:rsid w:val="0A986772"/>
    <w:rsid w:val="0ADF4592"/>
    <w:rsid w:val="0B175286"/>
    <w:rsid w:val="0B1A2B64"/>
    <w:rsid w:val="0B924162"/>
    <w:rsid w:val="0BBD6678"/>
    <w:rsid w:val="0BC25682"/>
    <w:rsid w:val="0C3F6CED"/>
    <w:rsid w:val="0C937C7F"/>
    <w:rsid w:val="0CDE4E4B"/>
    <w:rsid w:val="0D352AAD"/>
    <w:rsid w:val="0D503CF6"/>
    <w:rsid w:val="0D611858"/>
    <w:rsid w:val="0DA325CC"/>
    <w:rsid w:val="0E277812"/>
    <w:rsid w:val="0E4E22F4"/>
    <w:rsid w:val="0EB977F0"/>
    <w:rsid w:val="0ED2440E"/>
    <w:rsid w:val="0ED73D82"/>
    <w:rsid w:val="0EF05E23"/>
    <w:rsid w:val="0EF80318"/>
    <w:rsid w:val="0F472F5F"/>
    <w:rsid w:val="0F4831D3"/>
    <w:rsid w:val="0F5558E9"/>
    <w:rsid w:val="0F8C40E4"/>
    <w:rsid w:val="0FCA0C52"/>
    <w:rsid w:val="0FF34394"/>
    <w:rsid w:val="100E0482"/>
    <w:rsid w:val="10A36C40"/>
    <w:rsid w:val="10B949E9"/>
    <w:rsid w:val="10C72751"/>
    <w:rsid w:val="10F7015B"/>
    <w:rsid w:val="110B1645"/>
    <w:rsid w:val="115472B6"/>
    <w:rsid w:val="11685179"/>
    <w:rsid w:val="117C4C32"/>
    <w:rsid w:val="119500A0"/>
    <w:rsid w:val="11BF336F"/>
    <w:rsid w:val="126006AE"/>
    <w:rsid w:val="12642ED9"/>
    <w:rsid w:val="12650510"/>
    <w:rsid w:val="12907159"/>
    <w:rsid w:val="13091D7F"/>
    <w:rsid w:val="13281C22"/>
    <w:rsid w:val="147306A9"/>
    <w:rsid w:val="149E07FA"/>
    <w:rsid w:val="14A40BAE"/>
    <w:rsid w:val="14AE3BD9"/>
    <w:rsid w:val="14E2178E"/>
    <w:rsid w:val="153E27FD"/>
    <w:rsid w:val="154F39A7"/>
    <w:rsid w:val="157601E9"/>
    <w:rsid w:val="15A81BB0"/>
    <w:rsid w:val="15C3228D"/>
    <w:rsid w:val="15C50828"/>
    <w:rsid w:val="15CF70E6"/>
    <w:rsid w:val="15D23CBE"/>
    <w:rsid w:val="15D23E95"/>
    <w:rsid w:val="163742BA"/>
    <w:rsid w:val="1663054D"/>
    <w:rsid w:val="1674343F"/>
    <w:rsid w:val="17167E37"/>
    <w:rsid w:val="17DF52C3"/>
    <w:rsid w:val="17E51656"/>
    <w:rsid w:val="18133ACD"/>
    <w:rsid w:val="186A4D1B"/>
    <w:rsid w:val="18B05AF9"/>
    <w:rsid w:val="18B61885"/>
    <w:rsid w:val="18F41387"/>
    <w:rsid w:val="195539D7"/>
    <w:rsid w:val="197267B0"/>
    <w:rsid w:val="19926A91"/>
    <w:rsid w:val="19F8017D"/>
    <w:rsid w:val="1ADA3D88"/>
    <w:rsid w:val="1B4364E7"/>
    <w:rsid w:val="1B486E70"/>
    <w:rsid w:val="1B7737E1"/>
    <w:rsid w:val="1BAF528B"/>
    <w:rsid w:val="1BF5598D"/>
    <w:rsid w:val="1C346730"/>
    <w:rsid w:val="1CCA4D15"/>
    <w:rsid w:val="1CD64A78"/>
    <w:rsid w:val="1D0E0D07"/>
    <w:rsid w:val="1D1D0CCF"/>
    <w:rsid w:val="1D2B7DA0"/>
    <w:rsid w:val="1D2C08EE"/>
    <w:rsid w:val="1DB31DF3"/>
    <w:rsid w:val="1DC4734E"/>
    <w:rsid w:val="1DCA1CC3"/>
    <w:rsid w:val="1EC3140E"/>
    <w:rsid w:val="1EEF4690"/>
    <w:rsid w:val="1EF30F1B"/>
    <w:rsid w:val="1F744AA8"/>
    <w:rsid w:val="1F9F48B7"/>
    <w:rsid w:val="202C5D35"/>
    <w:rsid w:val="203A4092"/>
    <w:rsid w:val="2061413D"/>
    <w:rsid w:val="207F249C"/>
    <w:rsid w:val="20923546"/>
    <w:rsid w:val="20BF0C96"/>
    <w:rsid w:val="20FF3ED7"/>
    <w:rsid w:val="21025026"/>
    <w:rsid w:val="21B1594D"/>
    <w:rsid w:val="21BB3D74"/>
    <w:rsid w:val="22BE5497"/>
    <w:rsid w:val="22E305DF"/>
    <w:rsid w:val="23031A19"/>
    <w:rsid w:val="23092087"/>
    <w:rsid w:val="236A2BD8"/>
    <w:rsid w:val="237C10C0"/>
    <w:rsid w:val="23C85025"/>
    <w:rsid w:val="23CB7672"/>
    <w:rsid w:val="24003A9F"/>
    <w:rsid w:val="24444535"/>
    <w:rsid w:val="24EF5080"/>
    <w:rsid w:val="24FC7135"/>
    <w:rsid w:val="2536673D"/>
    <w:rsid w:val="25493224"/>
    <w:rsid w:val="259E3416"/>
    <w:rsid w:val="267A6EF7"/>
    <w:rsid w:val="26C83F72"/>
    <w:rsid w:val="26EC32F5"/>
    <w:rsid w:val="26F45E8F"/>
    <w:rsid w:val="2718270C"/>
    <w:rsid w:val="27356373"/>
    <w:rsid w:val="27570939"/>
    <w:rsid w:val="275B35F7"/>
    <w:rsid w:val="27AC3FAB"/>
    <w:rsid w:val="285973D3"/>
    <w:rsid w:val="285D706B"/>
    <w:rsid w:val="286B2FBB"/>
    <w:rsid w:val="290F539E"/>
    <w:rsid w:val="2918765C"/>
    <w:rsid w:val="29EB5041"/>
    <w:rsid w:val="2A5C7DD3"/>
    <w:rsid w:val="2A7E7DB8"/>
    <w:rsid w:val="2AF429A2"/>
    <w:rsid w:val="2B6A3117"/>
    <w:rsid w:val="2C50570C"/>
    <w:rsid w:val="2C5540F0"/>
    <w:rsid w:val="2C6B08BA"/>
    <w:rsid w:val="2C994A91"/>
    <w:rsid w:val="2CAC575E"/>
    <w:rsid w:val="2CD526D7"/>
    <w:rsid w:val="2CDE5825"/>
    <w:rsid w:val="2CEE5FDA"/>
    <w:rsid w:val="2CFE361C"/>
    <w:rsid w:val="2D35153D"/>
    <w:rsid w:val="2DDA0058"/>
    <w:rsid w:val="2E007756"/>
    <w:rsid w:val="2E583115"/>
    <w:rsid w:val="2E857C28"/>
    <w:rsid w:val="2ED964C2"/>
    <w:rsid w:val="2F08725D"/>
    <w:rsid w:val="2F1C4EAB"/>
    <w:rsid w:val="2F7E1717"/>
    <w:rsid w:val="2FAB4538"/>
    <w:rsid w:val="2FC932A5"/>
    <w:rsid w:val="2FCB3CE5"/>
    <w:rsid w:val="302428C3"/>
    <w:rsid w:val="304256B0"/>
    <w:rsid w:val="307B500C"/>
    <w:rsid w:val="30990960"/>
    <w:rsid w:val="310F6780"/>
    <w:rsid w:val="31283C96"/>
    <w:rsid w:val="315339F0"/>
    <w:rsid w:val="31967CDB"/>
    <w:rsid w:val="31A16195"/>
    <w:rsid w:val="31BB7257"/>
    <w:rsid w:val="321F73B6"/>
    <w:rsid w:val="32641AEE"/>
    <w:rsid w:val="32AE472E"/>
    <w:rsid w:val="32FE0B61"/>
    <w:rsid w:val="33125694"/>
    <w:rsid w:val="333A3D04"/>
    <w:rsid w:val="334C2E2D"/>
    <w:rsid w:val="33686F6B"/>
    <w:rsid w:val="337932E3"/>
    <w:rsid w:val="33F702EF"/>
    <w:rsid w:val="34501D45"/>
    <w:rsid w:val="345810A9"/>
    <w:rsid w:val="351C616B"/>
    <w:rsid w:val="3566231B"/>
    <w:rsid w:val="35A428FB"/>
    <w:rsid w:val="35F24ED4"/>
    <w:rsid w:val="35FC7E3E"/>
    <w:rsid w:val="3619124F"/>
    <w:rsid w:val="361B5946"/>
    <w:rsid w:val="37024E0E"/>
    <w:rsid w:val="375C71EC"/>
    <w:rsid w:val="376A2E8C"/>
    <w:rsid w:val="37776676"/>
    <w:rsid w:val="38336AE5"/>
    <w:rsid w:val="387A2103"/>
    <w:rsid w:val="38BF72B9"/>
    <w:rsid w:val="38F01E7C"/>
    <w:rsid w:val="3A19758E"/>
    <w:rsid w:val="3AD86D09"/>
    <w:rsid w:val="3AFF2816"/>
    <w:rsid w:val="3BB31CF4"/>
    <w:rsid w:val="3BC00367"/>
    <w:rsid w:val="3BCE665F"/>
    <w:rsid w:val="3BFE66BE"/>
    <w:rsid w:val="3C4458A9"/>
    <w:rsid w:val="3C9017B0"/>
    <w:rsid w:val="3CB15C61"/>
    <w:rsid w:val="3CCF4B01"/>
    <w:rsid w:val="3D665C48"/>
    <w:rsid w:val="3D691F33"/>
    <w:rsid w:val="3DA00B22"/>
    <w:rsid w:val="3DD2229E"/>
    <w:rsid w:val="3E3848A8"/>
    <w:rsid w:val="3E556CCA"/>
    <w:rsid w:val="3E834C59"/>
    <w:rsid w:val="3EF0738C"/>
    <w:rsid w:val="3F2106C0"/>
    <w:rsid w:val="3FAC7381"/>
    <w:rsid w:val="3FE149C4"/>
    <w:rsid w:val="3FE94F8F"/>
    <w:rsid w:val="408263DD"/>
    <w:rsid w:val="40AC4BE0"/>
    <w:rsid w:val="410437E9"/>
    <w:rsid w:val="41171FD0"/>
    <w:rsid w:val="41370B10"/>
    <w:rsid w:val="417B255F"/>
    <w:rsid w:val="41B036E3"/>
    <w:rsid w:val="41DE28D6"/>
    <w:rsid w:val="41F27C1B"/>
    <w:rsid w:val="41FE7A65"/>
    <w:rsid w:val="42412FF1"/>
    <w:rsid w:val="425E1FC5"/>
    <w:rsid w:val="42764AD5"/>
    <w:rsid w:val="428B491A"/>
    <w:rsid w:val="430C7F46"/>
    <w:rsid w:val="433A6FCF"/>
    <w:rsid w:val="4346632E"/>
    <w:rsid w:val="43726904"/>
    <w:rsid w:val="43AA5740"/>
    <w:rsid w:val="43E65ED8"/>
    <w:rsid w:val="445318B4"/>
    <w:rsid w:val="445D7155"/>
    <w:rsid w:val="4462631A"/>
    <w:rsid w:val="44B6051E"/>
    <w:rsid w:val="44EE2D01"/>
    <w:rsid w:val="45554C5B"/>
    <w:rsid w:val="45B54E99"/>
    <w:rsid w:val="46AB1F66"/>
    <w:rsid w:val="46E82445"/>
    <w:rsid w:val="46EC7422"/>
    <w:rsid w:val="47207017"/>
    <w:rsid w:val="475950F1"/>
    <w:rsid w:val="475C5274"/>
    <w:rsid w:val="47A51914"/>
    <w:rsid w:val="47A52253"/>
    <w:rsid w:val="47AB46EF"/>
    <w:rsid w:val="480651E6"/>
    <w:rsid w:val="48216C64"/>
    <w:rsid w:val="48971F6C"/>
    <w:rsid w:val="49280A74"/>
    <w:rsid w:val="49E615A7"/>
    <w:rsid w:val="49F8140A"/>
    <w:rsid w:val="4A325AB6"/>
    <w:rsid w:val="4A524201"/>
    <w:rsid w:val="4A6154C6"/>
    <w:rsid w:val="4A7674C6"/>
    <w:rsid w:val="4A9C2CDA"/>
    <w:rsid w:val="4AB93EC2"/>
    <w:rsid w:val="4B425E9C"/>
    <w:rsid w:val="4B853D4C"/>
    <w:rsid w:val="4B9A1834"/>
    <w:rsid w:val="4BAD5577"/>
    <w:rsid w:val="4C0B04D9"/>
    <w:rsid w:val="4C1079C5"/>
    <w:rsid w:val="4C254B2F"/>
    <w:rsid w:val="4CEA7289"/>
    <w:rsid w:val="4CEF6C50"/>
    <w:rsid w:val="4D893963"/>
    <w:rsid w:val="4D997CAC"/>
    <w:rsid w:val="4D9B3A76"/>
    <w:rsid w:val="4DF03B9A"/>
    <w:rsid w:val="4EC92B5C"/>
    <w:rsid w:val="4EDF6494"/>
    <w:rsid w:val="4EF74D49"/>
    <w:rsid w:val="4EFF14D6"/>
    <w:rsid w:val="4F0867B5"/>
    <w:rsid w:val="4F310701"/>
    <w:rsid w:val="4F3217C3"/>
    <w:rsid w:val="4F403FF7"/>
    <w:rsid w:val="4F790FC4"/>
    <w:rsid w:val="4F8847C5"/>
    <w:rsid w:val="4FD51BB0"/>
    <w:rsid w:val="507A78F0"/>
    <w:rsid w:val="509F4BB0"/>
    <w:rsid w:val="50AD289F"/>
    <w:rsid w:val="51271DBC"/>
    <w:rsid w:val="516D0BAC"/>
    <w:rsid w:val="518C1C1F"/>
    <w:rsid w:val="51A00EB4"/>
    <w:rsid w:val="523F6238"/>
    <w:rsid w:val="526C594C"/>
    <w:rsid w:val="52992F08"/>
    <w:rsid w:val="52AB53A8"/>
    <w:rsid w:val="53051D4B"/>
    <w:rsid w:val="5331330C"/>
    <w:rsid w:val="537C20A3"/>
    <w:rsid w:val="538B6CB6"/>
    <w:rsid w:val="53D820DF"/>
    <w:rsid w:val="54114CF9"/>
    <w:rsid w:val="5472334E"/>
    <w:rsid w:val="548206FA"/>
    <w:rsid w:val="54F31AB6"/>
    <w:rsid w:val="55091AE3"/>
    <w:rsid w:val="55255F0F"/>
    <w:rsid w:val="55460E4D"/>
    <w:rsid w:val="55BB7696"/>
    <w:rsid w:val="55CD4E74"/>
    <w:rsid w:val="55D669D8"/>
    <w:rsid w:val="560B2DD5"/>
    <w:rsid w:val="5624708F"/>
    <w:rsid w:val="565102A2"/>
    <w:rsid w:val="5655113F"/>
    <w:rsid w:val="56C05217"/>
    <w:rsid w:val="57572276"/>
    <w:rsid w:val="57731FA7"/>
    <w:rsid w:val="580A0133"/>
    <w:rsid w:val="581A63BC"/>
    <w:rsid w:val="58AD791B"/>
    <w:rsid w:val="58B404E7"/>
    <w:rsid w:val="58C16491"/>
    <w:rsid w:val="58C17821"/>
    <w:rsid w:val="59053070"/>
    <w:rsid w:val="59A10ED7"/>
    <w:rsid w:val="59A923CB"/>
    <w:rsid w:val="59BE360B"/>
    <w:rsid w:val="59C06F49"/>
    <w:rsid w:val="59C40B1F"/>
    <w:rsid w:val="5A3570F8"/>
    <w:rsid w:val="5A4C689B"/>
    <w:rsid w:val="5A511ACE"/>
    <w:rsid w:val="5A767527"/>
    <w:rsid w:val="5A835A85"/>
    <w:rsid w:val="5A865ED2"/>
    <w:rsid w:val="5AE82E61"/>
    <w:rsid w:val="5BAA1709"/>
    <w:rsid w:val="5C0366CC"/>
    <w:rsid w:val="5C082940"/>
    <w:rsid w:val="5CBA15F1"/>
    <w:rsid w:val="5D0E5B20"/>
    <w:rsid w:val="5D4A6C44"/>
    <w:rsid w:val="5DC53DE7"/>
    <w:rsid w:val="5DDF70C0"/>
    <w:rsid w:val="5E377955"/>
    <w:rsid w:val="5E805C89"/>
    <w:rsid w:val="5E841D16"/>
    <w:rsid w:val="5E9433DA"/>
    <w:rsid w:val="5E9E667F"/>
    <w:rsid w:val="5F441A47"/>
    <w:rsid w:val="5F6C2999"/>
    <w:rsid w:val="5FE23E50"/>
    <w:rsid w:val="60103FB0"/>
    <w:rsid w:val="601F7BE2"/>
    <w:rsid w:val="602C4CF9"/>
    <w:rsid w:val="60327F9A"/>
    <w:rsid w:val="609B6155"/>
    <w:rsid w:val="60B27D9F"/>
    <w:rsid w:val="612E4FBC"/>
    <w:rsid w:val="615C0491"/>
    <w:rsid w:val="6161074B"/>
    <w:rsid w:val="61734BA9"/>
    <w:rsid w:val="61FF370F"/>
    <w:rsid w:val="620A72BB"/>
    <w:rsid w:val="62112C18"/>
    <w:rsid w:val="623E1161"/>
    <w:rsid w:val="624C2F65"/>
    <w:rsid w:val="624F1172"/>
    <w:rsid w:val="625C30BA"/>
    <w:rsid w:val="625F4C1A"/>
    <w:rsid w:val="6263523F"/>
    <w:rsid w:val="62FD0B14"/>
    <w:rsid w:val="63104771"/>
    <w:rsid w:val="63343F70"/>
    <w:rsid w:val="63391772"/>
    <w:rsid w:val="634C5DA1"/>
    <w:rsid w:val="63E82D7B"/>
    <w:rsid w:val="63F160E5"/>
    <w:rsid w:val="642152E2"/>
    <w:rsid w:val="649B63EC"/>
    <w:rsid w:val="64A72723"/>
    <w:rsid w:val="653E29A4"/>
    <w:rsid w:val="6546747B"/>
    <w:rsid w:val="654F3DFC"/>
    <w:rsid w:val="65B05ADD"/>
    <w:rsid w:val="65E05A4C"/>
    <w:rsid w:val="660C2936"/>
    <w:rsid w:val="663F79BE"/>
    <w:rsid w:val="665703AA"/>
    <w:rsid w:val="6659052D"/>
    <w:rsid w:val="66F7771C"/>
    <w:rsid w:val="678179E0"/>
    <w:rsid w:val="67B46336"/>
    <w:rsid w:val="67F027BB"/>
    <w:rsid w:val="682269E1"/>
    <w:rsid w:val="686C0F2F"/>
    <w:rsid w:val="6873723D"/>
    <w:rsid w:val="68A718C1"/>
    <w:rsid w:val="68C53F3C"/>
    <w:rsid w:val="68F97B1E"/>
    <w:rsid w:val="69383E3B"/>
    <w:rsid w:val="69580DAC"/>
    <w:rsid w:val="69A553E3"/>
    <w:rsid w:val="6A266C5C"/>
    <w:rsid w:val="6A723459"/>
    <w:rsid w:val="6A9F619F"/>
    <w:rsid w:val="6AC628F6"/>
    <w:rsid w:val="6B933F9A"/>
    <w:rsid w:val="6B947BF6"/>
    <w:rsid w:val="6BBB0AAB"/>
    <w:rsid w:val="6BC91967"/>
    <w:rsid w:val="6C8F79D8"/>
    <w:rsid w:val="6CA95A9D"/>
    <w:rsid w:val="6CED1CB3"/>
    <w:rsid w:val="6D0B7583"/>
    <w:rsid w:val="6D235DFF"/>
    <w:rsid w:val="6D4C6FC1"/>
    <w:rsid w:val="6DCF7F43"/>
    <w:rsid w:val="6E061640"/>
    <w:rsid w:val="6E2C5C07"/>
    <w:rsid w:val="6E3E1AE0"/>
    <w:rsid w:val="6E504963"/>
    <w:rsid w:val="6E560DC7"/>
    <w:rsid w:val="6E8A09A6"/>
    <w:rsid w:val="6F074182"/>
    <w:rsid w:val="6F2C0A78"/>
    <w:rsid w:val="6F437969"/>
    <w:rsid w:val="6F7C0582"/>
    <w:rsid w:val="6FD64CEC"/>
    <w:rsid w:val="6FFB69E3"/>
    <w:rsid w:val="70047F8B"/>
    <w:rsid w:val="706C2EEF"/>
    <w:rsid w:val="70700F6A"/>
    <w:rsid w:val="70954C14"/>
    <w:rsid w:val="70BC0902"/>
    <w:rsid w:val="70E02159"/>
    <w:rsid w:val="714B3459"/>
    <w:rsid w:val="71535B1B"/>
    <w:rsid w:val="71624F70"/>
    <w:rsid w:val="71691A72"/>
    <w:rsid w:val="716F5B9B"/>
    <w:rsid w:val="719E6C6B"/>
    <w:rsid w:val="725C51E8"/>
    <w:rsid w:val="72AD6F73"/>
    <w:rsid w:val="73003045"/>
    <w:rsid w:val="733F48EB"/>
    <w:rsid w:val="734225C7"/>
    <w:rsid w:val="736F73AB"/>
    <w:rsid w:val="739F4FE6"/>
    <w:rsid w:val="74B62D06"/>
    <w:rsid w:val="74E2242F"/>
    <w:rsid w:val="74F6029E"/>
    <w:rsid w:val="75787DDD"/>
    <w:rsid w:val="75AB4D14"/>
    <w:rsid w:val="75BD7FE1"/>
    <w:rsid w:val="75EB2832"/>
    <w:rsid w:val="764E0A25"/>
    <w:rsid w:val="76AC7521"/>
    <w:rsid w:val="76E21061"/>
    <w:rsid w:val="76E535A6"/>
    <w:rsid w:val="76EB35B4"/>
    <w:rsid w:val="771432D8"/>
    <w:rsid w:val="773575BB"/>
    <w:rsid w:val="7755498B"/>
    <w:rsid w:val="77A03194"/>
    <w:rsid w:val="77A63B89"/>
    <w:rsid w:val="77AC464A"/>
    <w:rsid w:val="77C056C6"/>
    <w:rsid w:val="77C91740"/>
    <w:rsid w:val="77D2796C"/>
    <w:rsid w:val="784F036E"/>
    <w:rsid w:val="785962B6"/>
    <w:rsid w:val="786B3194"/>
    <w:rsid w:val="78727511"/>
    <w:rsid w:val="789D11CD"/>
    <w:rsid w:val="78CF6CC0"/>
    <w:rsid w:val="78F4767B"/>
    <w:rsid w:val="78F5310F"/>
    <w:rsid w:val="795C6890"/>
    <w:rsid w:val="7961096C"/>
    <w:rsid w:val="79B85630"/>
    <w:rsid w:val="79EF0BCC"/>
    <w:rsid w:val="7A196B01"/>
    <w:rsid w:val="7A3E46A0"/>
    <w:rsid w:val="7A41508C"/>
    <w:rsid w:val="7A8D08BB"/>
    <w:rsid w:val="7B7A6F95"/>
    <w:rsid w:val="7BC55837"/>
    <w:rsid w:val="7C5D1419"/>
    <w:rsid w:val="7C8949A7"/>
    <w:rsid w:val="7D0D2321"/>
    <w:rsid w:val="7D2120A2"/>
    <w:rsid w:val="7D3B0995"/>
    <w:rsid w:val="7D43696B"/>
    <w:rsid w:val="7D630112"/>
    <w:rsid w:val="7D7A39D5"/>
    <w:rsid w:val="7D7A6A50"/>
    <w:rsid w:val="7DB306CF"/>
    <w:rsid w:val="7DDE4BBF"/>
    <w:rsid w:val="7E040C2B"/>
    <w:rsid w:val="7E265025"/>
    <w:rsid w:val="7E3327B0"/>
    <w:rsid w:val="7E4E1C7F"/>
    <w:rsid w:val="7E634251"/>
    <w:rsid w:val="7E956FFA"/>
    <w:rsid w:val="7EF43124"/>
    <w:rsid w:val="7F39502F"/>
    <w:rsid w:val="7F5C7483"/>
    <w:rsid w:val="7F7B569D"/>
    <w:rsid w:val="7FAD424E"/>
    <w:rsid w:val="7FF82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2767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="Times New Roman"/>
      <w:sz w:val="21"/>
      <w:szCs w:val="22"/>
      <w:lang w:val="en-US" w:eastAsia="en-US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2.bin"/><Relationship Id="rId8" Type="http://schemas.openxmlformats.org/officeDocument/2006/relationships/image" Target="media/image1.wmf"/><Relationship Id="rId7" Type="http://schemas.openxmlformats.org/officeDocument/2006/relationships/oleObject" Target="embeddings/oleObject1.bin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microsoft.com/office/2006/relationships/keyMapCustomizations" Target="customizations.xml"/><Relationship Id="rId23" Type="http://schemas.openxmlformats.org/officeDocument/2006/relationships/customXml" Target="../customXml/item1.xml"/><Relationship Id="rId22" Type="http://schemas.openxmlformats.org/officeDocument/2006/relationships/image" Target="media/image8.wmf"/><Relationship Id="rId21" Type="http://schemas.openxmlformats.org/officeDocument/2006/relationships/oleObject" Target="embeddings/oleObject8.bin"/><Relationship Id="rId20" Type="http://schemas.openxmlformats.org/officeDocument/2006/relationships/image" Target="media/image7.wmf"/><Relationship Id="rId2" Type="http://schemas.openxmlformats.org/officeDocument/2006/relationships/settings" Target="settings.xml"/><Relationship Id="rId19" Type="http://schemas.openxmlformats.org/officeDocument/2006/relationships/oleObject" Target="embeddings/oleObject7.bin"/><Relationship Id="rId18" Type="http://schemas.openxmlformats.org/officeDocument/2006/relationships/image" Target="media/image6.wmf"/><Relationship Id="rId17" Type="http://schemas.openxmlformats.org/officeDocument/2006/relationships/oleObject" Target="embeddings/oleObject6.bin"/><Relationship Id="rId16" Type="http://schemas.openxmlformats.org/officeDocument/2006/relationships/image" Target="media/image5.wmf"/><Relationship Id="rId15" Type="http://schemas.openxmlformats.org/officeDocument/2006/relationships/oleObject" Target="embeddings/oleObject5.bin"/><Relationship Id="rId14" Type="http://schemas.openxmlformats.org/officeDocument/2006/relationships/image" Target="media/image4.wmf"/><Relationship Id="rId13" Type="http://schemas.openxmlformats.org/officeDocument/2006/relationships/oleObject" Target="embeddings/oleObject4.bin"/><Relationship Id="rId12" Type="http://schemas.openxmlformats.org/officeDocument/2006/relationships/image" Target="media/image3.wmf"/><Relationship Id="rId11" Type="http://schemas.openxmlformats.org/officeDocument/2006/relationships/oleObject" Target="embeddings/oleObject3.bin"/><Relationship Id="rId10" Type="http://schemas.openxmlformats.org/officeDocument/2006/relationships/image" Target="media/image2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1462</Words>
  <Characters>1904</Characters>
  <Lines>0</Lines>
  <Paragraphs>0</Paragraphs>
  <TotalTime>1</TotalTime>
  <ScaleCrop>false</ScaleCrop>
  <LinksUpToDate>false</LinksUpToDate>
  <CharactersWithSpaces>2014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2026-03-23T14:04:00Z</dcterms:created>
  <dc:creator>朱易成</dc:creator>
  <cp:lastModifiedBy>朱易成</cp:lastModifiedBy>
  <dcterms:modified xsi:type="dcterms:W3CDTF">2026-09-03T14:20:13Z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eyJoZGlkIjoiNDNiZjA2ZDdiOTJiZjdiMjMzMDAwNTU4ZTA4NTFiNDEiLCJ1c2VySWQiOiIxODAxOTcxNDc4In0=</vt:lpwstr>
  </property>
  <property fmtid="{D5CDD505-2E9C-101B-9397-08002B2CF9AE}" pid="3" name="KSOProductBuildVer">
    <vt:lpwstr>2052-12.1.0.25225</vt:lpwstr>
  </property>
  <property fmtid="{D5CDD505-2E9C-101B-9397-08002B2CF9AE}" pid="4" name="ICV">
    <vt:lpwstr>3D4FAAF79A0D4F3F91462123E386601F_12</vt:lpwstr>
  </property>
  <property fmtid="{D5CDD505-2E9C-101B-9397-08002B2CF9AE}" pid="5" name="MTPreferences">
    <vt:lpwstr>[Styles]
Text=Times New Roman
Function=Times New Roman
Variable=Times New Roman,I
LCGreek=Symbol,I
UCGreek=Symbol
Symbol=Symbol
Vector=Times New Roman,B
Number=Times New Roman
User1=Courier New
User2=Times New Roman
MTExtra=MT Extra
[Sizes]</vt:lpwstr>
  </property>
  <property fmtid="{D5CDD505-2E9C-101B-9397-08002B2CF9AE}" pid="6" name="MTPreferences 1">
    <vt:lpwstr>
Full=10 pt
Script=58 %
ScriptScript=42 %
Symbol=150 %
SubSymbol=100 %
User1=75 %
User2=150 %
SmallLargeIncr=1 pt
[Spacing]
LineSpacing=150 %
MatrixRowSpacing=150 %
MatrixColSpacing=100 %
SuperscriptHeight=45 %
SubscriptDepth=25 %
SubSupGa</vt:lpwstr>
  </property>
  <property fmtid="{D5CDD505-2E9C-101B-9397-08002B2CF9AE}" pid="7" name="MTPreferences 2">
    <vt:lpwstr>p=8 %
LimHeight=25 %
LimDepth=100 %
LimLineSpacing=100 %
NumerHeight=35 %
DenomDepth=100 %
FractBarOver=8 %
FractBarThick=5 %
SubFractBarThick=2.5 %
FractGap=8 %
FenceOver=8 %
OperSpacing=100 %
NonOperSpacing=100 %
CharWidth=0 %
MinGap=8 %
</vt:lpwstr>
  </property>
  <property fmtid="{D5CDD505-2E9C-101B-9397-08002B2CF9AE}" pid="8" name="MTPreferences 3">
    <vt:lpwstr>VertRadGap=17 %
HorizRadGap=8 %
RadWidth=100 %
EmbellGap=12.5 %
PrimeHeight=45 %
BoxStrokeThick=5 %
StikeThruThick=5 %
MatrixLineThick=5 %
RadStrokeThick=5 %
HorizFenceGap=10 %
</vt:lpwstr>
  </property>
  <property fmtid="{D5CDD505-2E9C-101B-9397-08002B2CF9AE}" pid="9" name="MTPreferenceSource">
    <vt:lpwstr>Times+Symbol 10.eqp</vt:lpwstr>
  </property>
  <property fmtid="{D5CDD505-2E9C-101B-9397-08002B2CF9AE}" pid="10" name="MTWinEqns">
    <vt:bool>true</vt:bool>
  </property>
</Properties>
</file>