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2E417">
      <w:pPr>
        <w:spacing w:before="0" w:after="100" w:line="240" w:lineRule="auto"/>
        <w:jc w:val="center"/>
        <w:rPr>
          <w:rFonts w:ascii="Times New Roman" w:hAnsi="Times New Roman" w:eastAsia="宋体"/>
          <w:b/>
          <w:bCs w:val="0"/>
          <w:sz w:val="32"/>
          <w:szCs w:val="24"/>
        </w:rPr>
      </w:pPr>
      <w:r>
        <w:rPr>
          <w:rFonts w:ascii="Times New Roman" w:hAnsi="Times New Roman" w:eastAsia="宋体"/>
          <w:b/>
          <w:bCs w:val="0"/>
          <w:sz w:val="32"/>
          <w:szCs w:val="24"/>
        </w:rPr>
        <w:t>交通运输排放因子数据集方法说明</w:t>
      </w:r>
    </w:p>
    <w:p w14:paraId="76A9C6CF">
      <w:pPr>
        <w:spacing w:before="0" w:after="100" w:line="240" w:lineRule="auto"/>
        <w:jc w:val="center"/>
        <w:rPr>
          <w:rFonts w:ascii="Times New Roman" w:hAnsi="Times New Roman" w:eastAsia="宋体"/>
          <w:b/>
          <w:sz w:val="28"/>
        </w:rPr>
      </w:pPr>
    </w:p>
    <w:p w14:paraId="54192FD3">
      <w:pPr>
        <w:keepNext/>
        <w:spacing w:before="40" w:after="20" w:line="240" w:lineRule="auto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sz w:val="21"/>
        </w:rPr>
        <w:t>1  数据集</w:t>
      </w:r>
      <w:r>
        <w:rPr>
          <w:rFonts w:hint="eastAsia"/>
          <w:b/>
          <w:sz w:val="21"/>
          <w:lang w:val="en-US" w:eastAsia="zh-CN"/>
        </w:rPr>
        <w:t>建立</w:t>
      </w:r>
    </w:p>
    <w:p w14:paraId="20B10E92">
      <w:pPr>
        <w:spacing w:before="0" w:after="20" w:line="240" w:lineRule="auto"/>
        <w:ind w:firstLine="420"/>
        <w:jc w:val="both"/>
      </w:pPr>
      <w:r>
        <w:rPr>
          <w:rFonts w:hint="eastAsia"/>
          <w:b w:val="0"/>
          <w:sz w:val="21"/>
          <w:lang w:val="en-US" w:eastAsia="zh-CN"/>
        </w:rPr>
        <w:t>分别</w:t>
      </w:r>
      <w:r>
        <w:rPr>
          <w:rFonts w:ascii="Times New Roman" w:hAnsi="Times New Roman" w:eastAsia="宋体"/>
          <w:b w:val="0"/>
          <w:sz w:val="21"/>
        </w:rPr>
        <w:t>建立轻型货车/快递车、中重型厢式货车、大型铰接/半挂牵引车、铁路货运、海运、短途航空货运和长途航空货运七类数据集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进行广泛的数据搜集</w:t>
      </w:r>
      <w:r>
        <w:rPr>
          <w:rFonts w:ascii="Times New Roman" w:hAnsi="Times New Roman" w:eastAsia="宋体"/>
          <w:b w:val="0"/>
          <w:sz w:val="21"/>
        </w:rPr>
        <w:t>。各运输方式独立筛选、</w:t>
      </w:r>
      <w:r>
        <w:rPr>
          <w:rFonts w:hint="eastAsia"/>
          <w:b w:val="0"/>
          <w:sz w:val="21"/>
          <w:lang w:val="en-US" w:eastAsia="zh-CN"/>
        </w:rPr>
        <w:t>处理、归一化换算</w:t>
      </w:r>
      <w:r>
        <w:rPr>
          <w:rFonts w:ascii="Times New Roman" w:hAnsi="Times New Roman" w:eastAsia="宋体"/>
          <w:b w:val="0"/>
          <w:sz w:val="21"/>
        </w:rPr>
        <w:t>和评分</w:t>
      </w:r>
      <w:r>
        <w:rPr>
          <w:rFonts w:hint="eastAsia"/>
          <w:b w:val="0"/>
          <w:sz w:val="21"/>
          <w:lang w:eastAsia="zh-CN"/>
        </w:rPr>
        <w:t>。</w:t>
      </w:r>
    </w:p>
    <w:p w14:paraId="64F2024E">
      <w:pPr>
        <w:spacing w:before="0" w:after="0" w:line="240" w:lineRule="auto"/>
      </w:pPr>
    </w:p>
    <w:p w14:paraId="1C9AD518">
      <w:pPr>
        <w:keepNext/>
        <w:spacing w:before="40" w:after="20" w:line="240" w:lineRule="auto"/>
        <w:jc w:val="left"/>
      </w:pPr>
      <w:r>
        <w:rPr>
          <w:rFonts w:ascii="Times New Roman" w:hAnsi="Times New Roman" w:eastAsia="宋体"/>
          <w:b/>
          <w:sz w:val="21"/>
        </w:rPr>
        <w:t>2  数据检查</w:t>
      </w:r>
    </w:p>
    <w:p w14:paraId="1A6A2BF3">
      <w:pPr>
        <w:spacing w:before="0" w:after="20" w:line="24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评分前进行四项基本检查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如表2所示，</w:t>
      </w:r>
      <w:r>
        <w:rPr>
          <w:rFonts w:ascii="Times New Roman" w:hAnsi="Times New Roman" w:eastAsia="宋体"/>
          <w:b w:val="0"/>
          <w:sz w:val="21"/>
        </w:rPr>
        <w:t>不满足</w:t>
      </w:r>
      <w:r>
        <w:rPr>
          <w:rFonts w:hint="eastAsia"/>
          <w:b w:val="0"/>
          <w:sz w:val="21"/>
          <w:lang w:val="en-US" w:eastAsia="zh-CN"/>
        </w:rPr>
        <w:t>的数据</w:t>
      </w:r>
      <w:r>
        <w:rPr>
          <w:rFonts w:ascii="Times New Roman" w:hAnsi="Times New Roman" w:eastAsia="宋体"/>
          <w:b w:val="0"/>
          <w:sz w:val="21"/>
        </w:rPr>
        <w:t>直接剔除。</w:t>
      </w:r>
      <w:r>
        <w:rPr>
          <w:rFonts w:hint="eastAsia"/>
          <w:b w:val="0"/>
          <w:sz w:val="21"/>
          <w:lang w:val="en-US" w:eastAsia="zh-CN"/>
        </w:rPr>
        <w:t>当</w:t>
      </w:r>
      <w:r>
        <w:rPr>
          <w:rFonts w:hint="eastAsia" w:ascii="Times New Roman" w:hAnsi="Times New Roman" w:eastAsia="宋体"/>
          <w:b w:val="0"/>
          <w:sz w:val="21"/>
        </w:rPr>
        <w:t>同一来源</w:t>
      </w:r>
      <w:r>
        <w:rPr>
          <w:rFonts w:hint="eastAsia"/>
          <w:b w:val="0"/>
          <w:sz w:val="21"/>
          <w:lang w:val="en-US" w:eastAsia="zh-CN"/>
        </w:rPr>
        <w:t>有多个相关数据时，</w:t>
      </w:r>
      <w:r>
        <w:rPr>
          <w:rFonts w:hint="eastAsia" w:ascii="Times New Roman" w:hAnsi="Times New Roman" w:eastAsia="宋体"/>
          <w:b w:val="0"/>
          <w:sz w:val="21"/>
        </w:rPr>
        <w:t>多个相近情景不重复计权，优先选择与目标运输方式最匹配的代表值</w:t>
      </w:r>
      <w:r>
        <w:rPr>
          <w:rFonts w:hint="eastAsia"/>
          <w:b w:val="0"/>
          <w:sz w:val="21"/>
          <w:lang w:eastAsia="zh-CN"/>
        </w:rPr>
        <w:t>。</w:t>
      </w:r>
    </w:p>
    <w:p w14:paraId="5F4897EC">
      <w:pPr>
        <w:spacing w:before="0" w:after="20" w:line="24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</w:p>
    <w:p w14:paraId="552ACEB5">
      <w:pPr>
        <w:keepNext/>
        <w:spacing w:before="20" w:after="20" w:line="240" w:lineRule="auto"/>
        <w:jc w:val="center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0"/>
        </w:rPr>
        <w:t>表</w:t>
      </w:r>
      <w:r>
        <w:rPr>
          <w:rFonts w:hint="eastAsia"/>
          <w:b w:val="0"/>
          <w:sz w:val="20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0"/>
        </w:rPr>
        <w:t xml:space="preserve">  基本检查</w:t>
      </w:r>
      <w:r>
        <w:rPr>
          <w:rFonts w:hint="eastAsia"/>
          <w:b w:val="0"/>
          <w:sz w:val="20"/>
          <w:lang w:val="en-US" w:eastAsia="zh-CN"/>
        </w:rPr>
        <w:t>规则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5648"/>
      </w:tblGrid>
      <w:tr w14:paraId="03273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03907F">
            <w:pPr>
              <w:spacing w:before="0" w:after="0" w:line="24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w="5648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619B8F">
            <w:pPr>
              <w:spacing w:before="0" w:after="0" w:line="240" w:lineRule="auto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18"/>
              </w:rPr>
              <w:t>通过标准</w:t>
            </w:r>
          </w:p>
        </w:tc>
      </w:tr>
      <w:tr w14:paraId="1B3CA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5AB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运输方式正确</w:t>
            </w:r>
          </w:p>
        </w:tc>
        <w:tc>
          <w:tcPr>
            <w:tcW w:w="5648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709279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代表性的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运输方式或明确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同类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运输方式</w:t>
            </w:r>
          </w:p>
        </w:tc>
      </w:tr>
      <w:tr w14:paraId="4A7FD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3A89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货运属性正确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EF1EC0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明确数据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以货物运输为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研究对象</w:t>
            </w:r>
          </w:p>
        </w:tc>
      </w:tr>
      <w:tr w14:paraId="7147A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A615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单位可统一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A0CD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可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准确得到数值，单位可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换算为kgCO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vertAlign w:val="subscript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e/(t·km)</w:t>
            </w:r>
          </w:p>
        </w:tc>
      </w:tr>
      <w:tr w14:paraId="1EB3B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1A26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来源可追溯</w:t>
            </w:r>
          </w:p>
        </w:tc>
        <w:tc>
          <w:tcPr>
            <w:tcW w:w="5648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D174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可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准确追溯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原始报告、论文或数据库</w:t>
            </w:r>
          </w:p>
        </w:tc>
      </w:tr>
    </w:tbl>
    <w:p w14:paraId="288D0AAC">
      <w:pPr>
        <w:spacing w:before="0" w:after="20" w:line="240" w:lineRule="auto"/>
        <w:jc w:val="both"/>
        <w:rPr>
          <w:rFonts w:ascii="Times New Roman" w:hAnsi="Times New Roman" w:eastAsia="宋体"/>
          <w:b w:val="0"/>
          <w:sz w:val="21"/>
        </w:rPr>
      </w:pPr>
    </w:p>
    <w:p w14:paraId="1434DC14">
      <w:pPr>
        <w:keepNext/>
        <w:spacing w:before="40" w:after="20" w:line="240" w:lineRule="auto"/>
        <w:jc w:val="left"/>
      </w:pPr>
      <w:r>
        <w:rPr>
          <w:rFonts w:ascii="Times New Roman" w:hAnsi="Times New Roman" w:eastAsia="宋体"/>
          <w:b/>
          <w:sz w:val="21"/>
        </w:rPr>
        <w:t>3  五维数据质量评分</w:t>
      </w:r>
    </w:p>
    <w:p w14:paraId="15501023">
      <w:pPr>
        <w:spacing w:before="0" w:after="20" w:line="24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hint="eastAsia"/>
          <w:b w:val="0"/>
          <w:sz w:val="21"/>
          <w:lang w:val="en-US" w:eastAsia="zh-CN"/>
        </w:rPr>
        <w:t>对</w:t>
      </w:r>
      <w:r>
        <w:rPr>
          <w:rFonts w:ascii="Times New Roman" w:hAnsi="Times New Roman" w:eastAsia="宋体"/>
          <w:b w:val="0"/>
          <w:sz w:val="21"/>
        </w:rPr>
        <w:t>所有</w:t>
      </w:r>
      <w:r>
        <w:rPr>
          <w:rFonts w:hint="eastAsia"/>
          <w:b w:val="0"/>
          <w:sz w:val="21"/>
          <w:lang w:val="en-US" w:eastAsia="zh-CN"/>
        </w:rPr>
        <w:t>采纳</w:t>
      </w:r>
      <w:r>
        <w:rPr>
          <w:rFonts w:ascii="Times New Roman" w:hAnsi="Times New Roman" w:eastAsia="宋体"/>
          <w:b w:val="0"/>
          <w:sz w:val="21"/>
        </w:rPr>
        <w:t>数据进行</w:t>
      </w:r>
      <w:r>
        <w:rPr>
          <w:rFonts w:ascii="Times New Roman" w:hAnsi="Times New Roman" w:eastAsia="宋体"/>
          <w:b w:val="0"/>
          <w:i/>
          <w:iCs/>
          <w:sz w:val="21"/>
        </w:rPr>
        <w:t>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i/>
          <w:iCs/>
          <w:sz w:val="21"/>
        </w:rPr>
        <w:t>C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i/>
          <w:iCs/>
          <w:sz w:val="21"/>
        </w:rPr>
        <w:t>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i/>
          <w:iCs/>
          <w:sz w:val="21"/>
        </w:rPr>
        <w:t>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i/>
          <w:iCs/>
          <w:sz w:val="21"/>
        </w:rPr>
        <w:t>T</w:t>
      </w:r>
      <w:r>
        <w:rPr>
          <w:rFonts w:ascii="Times New Roman" w:hAnsi="Times New Roman" w:eastAsia="宋体"/>
          <w:b w:val="0"/>
          <w:sz w:val="21"/>
        </w:rPr>
        <w:t>五维评分，各维度均为1</w:t>
      </w:r>
      <w:r>
        <w:rPr>
          <w:rFonts w:hint="eastAsia"/>
          <w:b w:val="0"/>
          <w:sz w:val="21"/>
          <w:lang w:val="en-US" w:eastAsia="zh-CN"/>
        </w:rPr>
        <w:t>-</w:t>
      </w:r>
      <w:r>
        <w:rPr>
          <w:rFonts w:ascii="Times New Roman" w:hAnsi="Times New Roman" w:eastAsia="宋体"/>
          <w:b w:val="0"/>
          <w:sz w:val="21"/>
        </w:rPr>
        <w:t>5分（1最好，5最差），</w:t>
      </w:r>
      <w:r>
        <w:rPr>
          <w:rFonts w:hint="eastAsia"/>
          <w:b w:val="0"/>
          <w:sz w:val="21"/>
          <w:lang w:val="en-US" w:eastAsia="zh-CN"/>
        </w:rPr>
        <w:t>五个维度</w:t>
      </w:r>
      <w:r>
        <w:rPr>
          <w:rFonts w:ascii="Times New Roman" w:hAnsi="Times New Roman" w:eastAsia="宋体"/>
          <w:b w:val="0"/>
          <w:sz w:val="21"/>
        </w:rPr>
        <w:t>等权。</w:t>
      </w:r>
    </w:p>
    <w:p w14:paraId="0CC62B13">
      <w:pPr>
        <w:spacing w:before="0" w:after="20" w:line="24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</w:p>
    <w:p w14:paraId="1CF4BB78">
      <w:pPr>
        <w:keepNext/>
        <w:spacing w:before="20" w:after="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</w:t>
      </w:r>
      <w:r>
        <w:rPr>
          <w:rFonts w:hint="eastAsia"/>
          <w:b w:val="0"/>
          <w:sz w:val="20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0"/>
        </w:rPr>
        <w:t xml:space="preserve">  五个评分维度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794"/>
        <w:gridCol w:w="5803"/>
      </w:tblGrid>
      <w:tr w14:paraId="7336A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9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C084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符号</w:t>
            </w:r>
          </w:p>
        </w:tc>
        <w:tc>
          <w:tcPr>
            <w:tcW w:w="1794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4BD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含义</w:t>
            </w:r>
          </w:p>
        </w:tc>
        <w:tc>
          <w:tcPr>
            <w:tcW w:w="5803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EA06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评价内容</w:t>
            </w:r>
          </w:p>
        </w:tc>
      </w:tr>
      <w:tr w14:paraId="1CAEF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9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792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/>
                <w:iCs/>
                <w:sz w:val="21"/>
              </w:rPr>
              <w:t>R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84E1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来源可靠性</w:t>
            </w:r>
          </w:p>
        </w:tc>
        <w:tc>
          <w:tcPr>
            <w:tcW w:w="5803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9D7B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原始/实测程度、同行评审、官方或第三方核查程度</w:t>
            </w:r>
          </w:p>
        </w:tc>
      </w:tr>
      <w:tr w14:paraId="5AE0B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61AE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/>
                <w:iCs/>
                <w:sz w:val="21"/>
              </w:rPr>
              <w:t>C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BDA3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完整性与可追溯性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6CA9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原值、单位、年份、地区、对象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等相关数据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信息是否足以复算</w:t>
            </w:r>
          </w:p>
        </w:tc>
      </w:tr>
      <w:tr w14:paraId="276B2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219D0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/>
                <w:iCs/>
                <w:sz w:val="21"/>
              </w:rPr>
              <w:t>Te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261C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技术代表性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2BA2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运输类别、车型/船型、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运输距离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与目标的匹配程度</w:t>
            </w:r>
          </w:p>
        </w:tc>
      </w:tr>
      <w:tr w14:paraId="7C01E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0BDC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/>
                <w:iCs/>
                <w:sz w:val="21"/>
              </w:rPr>
              <w:t>G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A820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地域代表性</w:t>
            </w:r>
          </w:p>
        </w:tc>
        <w:tc>
          <w:tcPr>
            <w:tcW w:w="58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9128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运输地区、能源结构与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论文功率模块运输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背景的匹配程度</w:t>
            </w:r>
          </w:p>
        </w:tc>
      </w:tr>
      <w:tr w14:paraId="7F92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9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0827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/>
                <w:iCs/>
                <w:sz w:val="21"/>
              </w:rPr>
              <w:t>T</w:t>
            </w:r>
          </w:p>
        </w:tc>
        <w:tc>
          <w:tcPr>
            <w:tcW w:w="1794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5910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时间代表性</w:t>
            </w:r>
          </w:p>
        </w:tc>
        <w:tc>
          <w:tcPr>
            <w:tcW w:w="5803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033F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实际数据年份与2026年的接近程度</w:t>
            </w:r>
          </w:p>
        </w:tc>
      </w:tr>
    </w:tbl>
    <w:p w14:paraId="4E909A64">
      <w:pPr>
        <w:spacing w:before="0" w:after="0" w:line="240" w:lineRule="auto"/>
      </w:pPr>
    </w:p>
    <w:p w14:paraId="62390637">
      <w:pPr>
        <w:keepNext/>
        <w:spacing w:before="40" w:after="20" w:line="240" w:lineRule="auto"/>
        <w:jc w:val="left"/>
      </w:pPr>
      <w:r>
        <w:rPr>
          <w:rFonts w:ascii="Times New Roman" w:hAnsi="Times New Roman" w:eastAsia="宋体"/>
          <w:b/>
          <w:sz w:val="21"/>
        </w:rPr>
        <w:t>4  五维评分标准</w:t>
      </w:r>
    </w:p>
    <w:p w14:paraId="7789EA4D">
      <w:pPr>
        <w:keepNext/>
        <w:spacing w:before="20" w:after="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</w:t>
      </w:r>
      <w:r>
        <w:rPr>
          <w:rFonts w:hint="eastAsia"/>
          <w:b w:val="0"/>
          <w:sz w:val="20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0"/>
        </w:rPr>
        <w:t xml:space="preserve">  五维评分标准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457"/>
        <w:gridCol w:w="1457"/>
        <w:gridCol w:w="1457"/>
        <w:gridCol w:w="1436"/>
        <w:gridCol w:w="1507"/>
      </w:tblGrid>
      <w:tr w14:paraId="6566EE4B">
        <w:trPr>
          <w:jc w:val="center"/>
        </w:trPr>
        <w:tc>
          <w:tcPr>
            <w:tcW w:w="90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EB3A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评分</w:t>
            </w:r>
          </w:p>
        </w:tc>
        <w:tc>
          <w:tcPr>
            <w:tcW w:w="145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0AEC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R</w:t>
            </w:r>
          </w:p>
        </w:tc>
        <w:tc>
          <w:tcPr>
            <w:tcW w:w="145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ED56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w="145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D8F9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w="143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B844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G</w:t>
            </w:r>
          </w:p>
        </w:tc>
        <w:tc>
          <w:tcPr>
            <w:tcW w:w="150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E3B1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T</w:t>
            </w:r>
          </w:p>
        </w:tc>
      </w:tr>
      <w:tr w14:paraId="1E921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2359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w="145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ADE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政府官方原始/实测、同行评审原始或第三方核查</w:t>
            </w:r>
          </w:p>
        </w:tc>
        <w:tc>
          <w:tcPr>
            <w:tcW w:w="145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7B82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信息完整，可直接复算</w:t>
            </w:r>
          </w:p>
        </w:tc>
        <w:tc>
          <w:tcPr>
            <w:tcW w:w="145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D303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目标运输技术高度匹配</w:t>
            </w:r>
          </w:p>
        </w:tc>
        <w:tc>
          <w:tcPr>
            <w:tcW w:w="143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4DF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目标地区/高代表性全球数据</w:t>
            </w:r>
          </w:p>
        </w:tc>
        <w:tc>
          <w:tcPr>
            <w:tcW w:w="150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122D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2024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2026</w:t>
            </w:r>
          </w:p>
        </w:tc>
      </w:tr>
      <w:tr w14:paraId="019BB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CB7F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EB4D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权威行业机构、正式企业报告、同行评审模型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9AF9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仅需简单单位换算或同源合并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5BF8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同类运输方式，规格或工况略有差异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D11E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同一宏观区域或透明全球平均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B977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2021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2023</w:t>
            </w:r>
          </w:p>
        </w:tc>
      </w:tr>
      <w:tr w14:paraId="28BF4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7AE7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18B46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成熟数据库、正式项目报告、学位论文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B1C0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需少量公开参数换算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B0F9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同一运输大类的合理代理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CFB3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其他主要物流区域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BBA5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2018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2020</w:t>
            </w:r>
          </w:p>
        </w:tc>
      </w:tr>
      <w:tr w14:paraId="408FA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CD1C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B5CE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二手文献、技术资料、网页等可追溯来源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3DB5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部分重要信息缺失，需合理代理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339F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技术条件差异明显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CA89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地区能源或运营条件差异明显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33CB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2014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2017</w:t>
            </w:r>
          </w:p>
        </w:tc>
      </w:tr>
      <w:tr w14:paraId="33E46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4622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w="145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64D1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可靠性较低但仍可定位来源</w:t>
            </w:r>
          </w:p>
        </w:tc>
        <w:tc>
          <w:tcPr>
            <w:tcW w:w="145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6973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信息较不完整但达到最低可用条件</w:t>
            </w:r>
          </w:p>
        </w:tc>
        <w:tc>
          <w:tcPr>
            <w:tcW w:w="145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A135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代理性较强</w:t>
            </w:r>
          </w:p>
        </w:tc>
        <w:tc>
          <w:tcPr>
            <w:tcW w:w="143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2F82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地域未知或代表性较差</w:t>
            </w:r>
          </w:p>
        </w:tc>
        <w:tc>
          <w:tcPr>
            <w:tcW w:w="150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6363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≤2013</w:t>
            </w:r>
          </w:p>
        </w:tc>
      </w:tr>
    </w:tbl>
    <w:p w14:paraId="68AE538A">
      <w:pPr>
        <w:spacing w:before="0" w:after="0" w:line="240" w:lineRule="auto"/>
      </w:pPr>
    </w:p>
    <w:p w14:paraId="091577DF">
      <w:pPr>
        <w:spacing w:before="0" w:after="20" w:line="24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hint="eastAsia"/>
          <w:b w:val="0"/>
          <w:sz w:val="21"/>
          <w:lang w:val="en-US" w:eastAsia="zh-CN"/>
        </w:rPr>
        <w:t>注意：</w:t>
      </w:r>
      <w:r>
        <w:rPr>
          <w:rFonts w:ascii="Times New Roman" w:hAnsi="Times New Roman" w:eastAsia="宋体"/>
          <w:b w:val="0"/>
          <w:i/>
          <w:iCs/>
          <w:sz w:val="21"/>
        </w:rPr>
        <w:t>T</w:t>
      </w:r>
      <w:r>
        <w:rPr>
          <w:rFonts w:hint="eastAsia"/>
          <w:b w:val="0"/>
          <w:sz w:val="21"/>
          <w:lang w:val="en-US" w:eastAsia="zh-CN"/>
        </w:rPr>
        <w:t>为</w:t>
      </w:r>
      <w:r>
        <w:rPr>
          <w:rFonts w:ascii="Times New Roman" w:hAnsi="Times New Roman" w:eastAsia="宋体"/>
          <w:b w:val="0"/>
          <w:sz w:val="21"/>
        </w:rPr>
        <w:t>数据</w:t>
      </w:r>
      <w:r>
        <w:rPr>
          <w:rFonts w:hint="eastAsia"/>
          <w:b w:val="0"/>
          <w:sz w:val="21"/>
          <w:lang w:val="en-US" w:eastAsia="zh-CN"/>
        </w:rPr>
        <w:t>的</w:t>
      </w:r>
      <w:r>
        <w:rPr>
          <w:rFonts w:ascii="Times New Roman" w:hAnsi="Times New Roman" w:eastAsia="宋体"/>
          <w:b w:val="0"/>
          <w:sz w:val="21"/>
        </w:rPr>
        <w:t>实际年份，而不是论文或报告</w:t>
      </w:r>
      <w:r>
        <w:rPr>
          <w:rFonts w:hint="eastAsia"/>
          <w:b w:val="0"/>
          <w:sz w:val="21"/>
          <w:lang w:val="en-US" w:eastAsia="zh-CN"/>
        </w:rPr>
        <w:t>的</w:t>
      </w:r>
      <w:r>
        <w:rPr>
          <w:rFonts w:ascii="Times New Roman" w:hAnsi="Times New Roman" w:eastAsia="宋体"/>
          <w:b w:val="0"/>
          <w:sz w:val="21"/>
        </w:rPr>
        <w:t>发表年份。</w:t>
      </w:r>
    </w:p>
    <w:p w14:paraId="7EF17DC2">
      <w:pPr>
        <w:spacing w:before="0" w:after="20" w:line="24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</w:p>
    <w:p w14:paraId="73644AD4">
      <w:pPr>
        <w:keepNext/>
        <w:spacing w:before="40" w:after="20" w:line="240" w:lineRule="auto"/>
        <w:jc w:val="left"/>
      </w:pPr>
      <w:r>
        <w:rPr>
          <w:rFonts w:ascii="Times New Roman" w:hAnsi="Times New Roman" w:eastAsia="宋体"/>
          <w:b/>
          <w:sz w:val="21"/>
        </w:rPr>
        <w:t>5  权重与最终取值</w:t>
      </w:r>
    </w:p>
    <w:p w14:paraId="4A35BB05">
      <w:pPr>
        <w:keepNext/>
        <w:spacing w:before="20" w:after="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</w:t>
      </w:r>
      <w:r>
        <w:rPr>
          <w:rFonts w:hint="eastAsia"/>
          <w:b w:val="0"/>
          <w:sz w:val="20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0"/>
        </w:rPr>
        <w:t xml:space="preserve">  质量系数与权重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346"/>
        <w:gridCol w:w="3599"/>
      </w:tblGrid>
      <w:tr w14:paraId="49D4E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2354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量</w:t>
            </w:r>
          </w:p>
        </w:tc>
        <w:tc>
          <w:tcPr>
            <w:tcW w:w="334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A413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计算式</w:t>
            </w:r>
          </w:p>
        </w:tc>
        <w:tc>
          <w:tcPr>
            <w:tcW w:w="3599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5C0E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 w14:paraId="7A82D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68AA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DQR</w:t>
            </w:r>
          </w:p>
        </w:tc>
        <w:tc>
          <w:tcPr>
            <w:tcW w:w="334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5BA753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25" o:spt="75" type="#_x0000_t75" style="height:15pt;width:9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DSEquations" ShapeID="_x0000_i1025" DrawAspect="Content" ObjectID="_1468075725" r:id="rId7">
                  <o:LockedField>false</o:LockedField>
                </o:OLEObject>
              </w:object>
            </w:r>
          </w:p>
        </w:tc>
        <w:tc>
          <w:tcPr>
            <w:tcW w:w="3599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8FD3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五维平均质量评分，越小越好</w:t>
            </w:r>
          </w:p>
        </w:tc>
      </w:tr>
      <w:tr w14:paraId="0B65C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EE7C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Q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5EC15C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26" o:spt="75" type="#_x0000_t75" style="height:15pt;width:57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DSEquations" ShapeID="_x0000_i1026" DrawAspect="Content" ObjectID="_1468075726" r:id="rId9">
                  <o:LockedField>false</o:LockedField>
                </o:OLEObject>
              </w:objec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3788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质量系数，0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1，越大越好</w:t>
            </w:r>
          </w:p>
        </w:tc>
      </w:tr>
      <w:tr w14:paraId="26B03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6B07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W</w:t>
            </w:r>
          </w:p>
        </w:tc>
        <w:tc>
          <w:tcPr>
            <w:tcW w:w="334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90D2B4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27" o:spt="75" type="#_x0000_t75" style="height:15pt;width:31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DSEquations" ShapeID="_x0000_i1027" DrawAspect="Content" ObjectID="_1468075727" r:id="rId11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99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7E6E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同一运输方式内的归一化权重</w:t>
            </w:r>
          </w:p>
        </w:tc>
      </w:tr>
    </w:tbl>
    <w:p w14:paraId="64164978">
      <w:pPr>
        <w:spacing w:before="0" w:after="0" w:line="240" w:lineRule="auto"/>
      </w:pPr>
      <w:bookmarkStart w:id="0" w:name="_GoBack"/>
      <w:bookmarkEnd w:id="0"/>
    </w:p>
    <w:p w14:paraId="33349B1D">
      <w:pPr>
        <w:keepNext/>
        <w:spacing w:before="20" w:after="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</w:t>
      </w:r>
      <w:r>
        <w:rPr>
          <w:rFonts w:hint="eastAsia"/>
          <w:b w:val="0"/>
          <w:sz w:val="20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0"/>
        </w:rPr>
        <w:t xml:space="preserve">  三种汇总方法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  <w:gridCol w:w="2998"/>
        <w:gridCol w:w="1464"/>
      </w:tblGrid>
      <w:tr w14:paraId="4F3EF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EB60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方法</w:t>
            </w:r>
          </w:p>
        </w:tc>
        <w:tc>
          <w:tcPr>
            <w:tcW w:w="2998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4FF7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计算式</w:t>
            </w:r>
          </w:p>
        </w:tc>
        <w:tc>
          <w:tcPr>
            <w:tcW w:w="1464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6ACF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用途</w:t>
            </w:r>
          </w:p>
        </w:tc>
      </w:tr>
      <w:tr w14:paraId="276C2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64D2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等权算术均值</w:t>
            </w:r>
          </w:p>
        </w:tc>
        <w:tc>
          <w:tcPr>
            <w:tcW w:w="2998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316AFC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28" o:spt="75" type="#_x0000_t75" style="height:15pt;width:41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DSEquations" ShapeID="_x0000_i1028" DrawAspect="Content" ObjectID="_1468075728" r:id="rId13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464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E665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稳健性对照</w:t>
            </w:r>
          </w:p>
        </w:tc>
      </w:tr>
      <w:tr w14:paraId="01142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0979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等权几何均值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078F03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29" o:spt="75" type="#_x0000_t75" style="height:15pt;width:78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DSEquations" ShapeID="_x0000_i1029" DrawAspect="Content" ObjectID="_1468075729" r:id="rId15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FFB4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稳健性对照</w:t>
            </w:r>
          </w:p>
        </w:tc>
      </w:tr>
      <w:tr w14:paraId="764DC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E69A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质量加权几何均值</w:t>
            </w:r>
          </w:p>
        </w:tc>
        <w:tc>
          <w:tcPr>
            <w:tcW w:w="2998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95ABD9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30" o:spt="75" type="#_x0000_t75" style="height:15pt;width:64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DSEquations" ShapeID="_x0000_i1030" DrawAspect="Content" ObjectID="_1468075730" r:id="rId17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464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06B7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基准值</w:t>
            </w:r>
          </w:p>
        </w:tc>
      </w:tr>
    </w:tbl>
    <w:p w14:paraId="45F10625">
      <w:pPr>
        <w:spacing w:before="0" w:after="0" w:line="240" w:lineRule="auto"/>
      </w:pPr>
    </w:p>
    <w:p w14:paraId="674D46CB"/>
    <w:sectPr>
      <w:footerReference r:id="rId5" w:type="default"/>
      <w:pgSz w:w="12240" w:h="15840"/>
      <w:pgMar w:top="1440" w:right="1800" w:bottom="1440" w:left="1800" w:header="850" w:footer="850" w:gutter="0"/>
      <w:pgNumType w:fmt="decimal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8E01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A11A4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A11A4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3CC5"/>
    <w:rsid w:val="00117DA6"/>
    <w:rsid w:val="00481C94"/>
    <w:rsid w:val="00A747E2"/>
    <w:rsid w:val="00AA4733"/>
    <w:rsid w:val="011B0F73"/>
    <w:rsid w:val="01426D32"/>
    <w:rsid w:val="01CE2E9D"/>
    <w:rsid w:val="01E03B35"/>
    <w:rsid w:val="02031DC8"/>
    <w:rsid w:val="020834AC"/>
    <w:rsid w:val="02881B10"/>
    <w:rsid w:val="02A96D5B"/>
    <w:rsid w:val="02AD3B9E"/>
    <w:rsid w:val="02B30FCF"/>
    <w:rsid w:val="02DC3B58"/>
    <w:rsid w:val="02E9549C"/>
    <w:rsid w:val="03337C91"/>
    <w:rsid w:val="034615A7"/>
    <w:rsid w:val="034E3158"/>
    <w:rsid w:val="03DF159F"/>
    <w:rsid w:val="03EA3B15"/>
    <w:rsid w:val="04671EF4"/>
    <w:rsid w:val="04682BF3"/>
    <w:rsid w:val="04991343"/>
    <w:rsid w:val="04E44068"/>
    <w:rsid w:val="05083F2E"/>
    <w:rsid w:val="053242B0"/>
    <w:rsid w:val="0540125C"/>
    <w:rsid w:val="05903FC8"/>
    <w:rsid w:val="05DB3D1B"/>
    <w:rsid w:val="06065F87"/>
    <w:rsid w:val="06770ACE"/>
    <w:rsid w:val="067D1523"/>
    <w:rsid w:val="070A62F3"/>
    <w:rsid w:val="073744E0"/>
    <w:rsid w:val="07531A99"/>
    <w:rsid w:val="07BB77DE"/>
    <w:rsid w:val="08383FE4"/>
    <w:rsid w:val="086A5533"/>
    <w:rsid w:val="08D26035"/>
    <w:rsid w:val="08D52012"/>
    <w:rsid w:val="0906049A"/>
    <w:rsid w:val="09163637"/>
    <w:rsid w:val="0936320F"/>
    <w:rsid w:val="095C60AB"/>
    <w:rsid w:val="09671286"/>
    <w:rsid w:val="0A691330"/>
    <w:rsid w:val="0A797821"/>
    <w:rsid w:val="0A8E30DF"/>
    <w:rsid w:val="0A986772"/>
    <w:rsid w:val="0B175286"/>
    <w:rsid w:val="0B1A2B64"/>
    <w:rsid w:val="0B924162"/>
    <w:rsid w:val="0BBD6678"/>
    <w:rsid w:val="0BC25682"/>
    <w:rsid w:val="0C3453CF"/>
    <w:rsid w:val="0C3F6CED"/>
    <w:rsid w:val="0C937C7F"/>
    <w:rsid w:val="0CDE4E4B"/>
    <w:rsid w:val="0D352AAD"/>
    <w:rsid w:val="0D503CF6"/>
    <w:rsid w:val="0D611858"/>
    <w:rsid w:val="0DA325CC"/>
    <w:rsid w:val="0E277812"/>
    <w:rsid w:val="0E4E22F4"/>
    <w:rsid w:val="0ED73D82"/>
    <w:rsid w:val="0EF05E23"/>
    <w:rsid w:val="0EF80318"/>
    <w:rsid w:val="0F472F5F"/>
    <w:rsid w:val="0F4831D3"/>
    <w:rsid w:val="0F5558E9"/>
    <w:rsid w:val="0F557518"/>
    <w:rsid w:val="0F8C40E4"/>
    <w:rsid w:val="0FCA0C52"/>
    <w:rsid w:val="0FF34394"/>
    <w:rsid w:val="100E0482"/>
    <w:rsid w:val="10A36C40"/>
    <w:rsid w:val="10B949E9"/>
    <w:rsid w:val="10C72751"/>
    <w:rsid w:val="10F7015B"/>
    <w:rsid w:val="110B1645"/>
    <w:rsid w:val="115472B6"/>
    <w:rsid w:val="11685179"/>
    <w:rsid w:val="117C4C32"/>
    <w:rsid w:val="12650510"/>
    <w:rsid w:val="12907159"/>
    <w:rsid w:val="13091D7F"/>
    <w:rsid w:val="13281C22"/>
    <w:rsid w:val="1412633C"/>
    <w:rsid w:val="147306A9"/>
    <w:rsid w:val="149E07FA"/>
    <w:rsid w:val="14A40BAE"/>
    <w:rsid w:val="14AE3BD9"/>
    <w:rsid w:val="14E2178E"/>
    <w:rsid w:val="15086DDB"/>
    <w:rsid w:val="153E27FD"/>
    <w:rsid w:val="154F39A7"/>
    <w:rsid w:val="155D0ED5"/>
    <w:rsid w:val="15A81BB0"/>
    <w:rsid w:val="15C3228D"/>
    <w:rsid w:val="15C50828"/>
    <w:rsid w:val="15CF70E6"/>
    <w:rsid w:val="15D23CBE"/>
    <w:rsid w:val="15D23E95"/>
    <w:rsid w:val="163742BA"/>
    <w:rsid w:val="1663054D"/>
    <w:rsid w:val="1674343F"/>
    <w:rsid w:val="17167E37"/>
    <w:rsid w:val="17DF52C3"/>
    <w:rsid w:val="186A4D1B"/>
    <w:rsid w:val="18B05AF9"/>
    <w:rsid w:val="18B61885"/>
    <w:rsid w:val="18F41387"/>
    <w:rsid w:val="195539D7"/>
    <w:rsid w:val="197267B0"/>
    <w:rsid w:val="19926A91"/>
    <w:rsid w:val="19CC6629"/>
    <w:rsid w:val="19F8017D"/>
    <w:rsid w:val="1ADA3D88"/>
    <w:rsid w:val="1B4364E7"/>
    <w:rsid w:val="1B486E70"/>
    <w:rsid w:val="1B7737E1"/>
    <w:rsid w:val="1BAF528B"/>
    <w:rsid w:val="1BF5598D"/>
    <w:rsid w:val="1C346730"/>
    <w:rsid w:val="1CB4787F"/>
    <w:rsid w:val="1CCA4D15"/>
    <w:rsid w:val="1CD64A78"/>
    <w:rsid w:val="1D1D0CCF"/>
    <w:rsid w:val="1D2B7DA0"/>
    <w:rsid w:val="1D2C08EE"/>
    <w:rsid w:val="1D9E02DC"/>
    <w:rsid w:val="1DB31DF3"/>
    <w:rsid w:val="1DC4734E"/>
    <w:rsid w:val="1DCA1CC3"/>
    <w:rsid w:val="1DCC0C2B"/>
    <w:rsid w:val="1EC3140E"/>
    <w:rsid w:val="1EEF4690"/>
    <w:rsid w:val="1EF30F1B"/>
    <w:rsid w:val="1F744AA8"/>
    <w:rsid w:val="1F9F48B7"/>
    <w:rsid w:val="202C5D35"/>
    <w:rsid w:val="203A4092"/>
    <w:rsid w:val="2061413D"/>
    <w:rsid w:val="207F249C"/>
    <w:rsid w:val="20923546"/>
    <w:rsid w:val="20FF3ED7"/>
    <w:rsid w:val="21B1594D"/>
    <w:rsid w:val="21BB3D74"/>
    <w:rsid w:val="22BE5497"/>
    <w:rsid w:val="22E305DF"/>
    <w:rsid w:val="23031A19"/>
    <w:rsid w:val="23092087"/>
    <w:rsid w:val="236A2BD8"/>
    <w:rsid w:val="23C85025"/>
    <w:rsid w:val="23CB7672"/>
    <w:rsid w:val="24444535"/>
    <w:rsid w:val="24EF5080"/>
    <w:rsid w:val="24FC7135"/>
    <w:rsid w:val="259E3416"/>
    <w:rsid w:val="267A6EF7"/>
    <w:rsid w:val="26C83F72"/>
    <w:rsid w:val="26EC32F5"/>
    <w:rsid w:val="26F45E8F"/>
    <w:rsid w:val="2718270C"/>
    <w:rsid w:val="27356373"/>
    <w:rsid w:val="27570939"/>
    <w:rsid w:val="275B35F7"/>
    <w:rsid w:val="275B723E"/>
    <w:rsid w:val="27AC3FAB"/>
    <w:rsid w:val="285973D3"/>
    <w:rsid w:val="285D706B"/>
    <w:rsid w:val="286B2FBB"/>
    <w:rsid w:val="290F539E"/>
    <w:rsid w:val="2918765C"/>
    <w:rsid w:val="291C47AB"/>
    <w:rsid w:val="29782952"/>
    <w:rsid w:val="29E277A3"/>
    <w:rsid w:val="29EB5041"/>
    <w:rsid w:val="2A104310"/>
    <w:rsid w:val="2A5C7DD3"/>
    <w:rsid w:val="2A7E7DB8"/>
    <w:rsid w:val="2AF429A2"/>
    <w:rsid w:val="2B6A3117"/>
    <w:rsid w:val="2B877017"/>
    <w:rsid w:val="2BCF3D57"/>
    <w:rsid w:val="2C50570C"/>
    <w:rsid w:val="2C5540F0"/>
    <w:rsid w:val="2C6B08BA"/>
    <w:rsid w:val="2CAC575E"/>
    <w:rsid w:val="2CD526D7"/>
    <w:rsid w:val="2CDE5825"/>
    <w:rsid w:val="2CEE5FDA"/>
    <w:rsid w:val="2CFE361C"/>
    <w:rsid w:val="2D35153D"/>
    <w:rsid w:val="2DDA0058"/>
    <w:rsid w:val="2E007756"/>
    <w:rsid w:val="2E583115"/>
    <w:rsid w:val="2E857C28"/>
    <w:rsid w:val="2ED964C2"/>
    <w:rsid w:val="2F08725D"/>
    <w:rsid w:val="2F1C4EAB"/>
    <w:rsid w:val="2F7E1717"/>
    <w:rsid w:val="2FAB4538"/>
    <w:rsid w:val="2FC932A5"/>
    <w:rsid w:val="2FCB3CE5"/>
    <w:rsid w:val="302428C3"/>
    <w:rsid w:val="304256B0"/>
    <w:rsid w:val="307B500C"/>
    <w:rsid w:val="30990960"/>
    <w:rsid w:val="310F6780"/>
    <w:rsid w:val="31283C96"/>
    <w:rsid w:val="315339F0"/>
    <w:rsid w:val="31967CDB"/>
    <w:rsid w:val="319950AE"/>
    <w:rsid w:val="321F73B6"/>
    <w:rsid w:val="32641AEE"/>
    <w:rsid w:val="32AE472E"/>
    <w:rsid w:val="32FE0B61"/>
    <w:rsid w:val="33125694"/>
    <w:rsid w:val="333A3D04"/>
    <w:rsid w:val="334C2E2D"/>
    <w:rsid w:val="337932E3"/>
    <w:rsid w:val="33F702EF"/>
    <w:rsid w:val="34501D45"/>
    <w:rsid w:val="345810A9"/>
    <w:rsid w:val="351C616B"/>
    <w:rsid w:val="3566231B"/>
    <w:rsid w:val="35A428FB"/>
    <w:rsid w:val="35F24ED4"/>
    <w:rsid w:val="35FC7E3E"/>
    <w:rsid w:val="3619124F"/>
    <w:rsid w:val="361B5946"/>
    <w:rsid w:val="37024E0E"/>
    <w:rsid w:val="375C71EC"/>
    <w:rsid w:val="376A2E8C"/>
    <w:rsid w:val="37776676"/>
    <w:rsid w:val="37DF17C6"/>
    <w:rsid w:val="38336AE5"/>
    <w:rsid w:val="387A2103"/>
    <w:rsid w:val="38AB7897"/>
    <w:rsid w:val="38BF72B9"/>
    <w:rsid w:val="38F01E7C"/>
    <w:rsid w:val="3A19758E"/>
    <w:rsid w:val="3AD86D09"/>
    <w:rsid w:val="3AF15A98"/>
    <w:rsid w:val="3AFF2816"/>
    <w:rsid w:val="3B994EDD"/>
    <w:rsid w:val="3BB31CF4"/>
    <w:rsid w:val="3BC00367"/>
    <w:rsid w:val="3BCE665F"/>
    <w:rsid w:val="3BFE66BE"/>
    <w:rsid w:val="3C4458A9"/>
    <w:rsid w:val="3C9017B0"/>
    <w:rsid w:val="3CB15C61"/>
    <w:rsid w:val="3CCF4B01"/>
    <w:rsid w:val="3D665C48"/>
    <w:rsid w:val="3D691F33"/>
    <w:rsid w:val="3DA00B22"/>
    <w:rsid w:val="3DD2229E"/>
    <w:rsid w:val="3E3848A8"/>
    <w:rsid w:val="3E556CCA"/>
    <w:rsid w:val="3EF0738C"/>
    <w:rsid w:val="3F2106C0"/>
    <w:rsid w:val="3FAC7381"/>
    <w:rsid w:val="3FE149C4"/>
    <w:rsid w:val="3FE94F8F"/>
    <w:rsid w:val="408263DD"/>
    <w:rsid w:val="40AC4BE0"/>
    <w:rsid w:val="410437E9"/>
    <w:rsid w:val="41370B10"/>
    <w:rsid w:val="415B728B"/>
    <w:rsid w:val="417B255F"/>
    <w:rsid w:val="41B036E3"/>
    <w:rsid w:val="41D81760"/>
    <w:rsid w:val="41DE28D6"/>
    <w:rsid w:val="41F27C1B"/>
    <w:rsid w:val="41FE7A65"/>
    <w:rsid w:val="42412FF1"/>
    <w:rsid w:val="425E1FC5"/>
    <w:rsid w:val="42764AD5"/>
    <w:rsid w:val="428B491A"/>
    <w:rsid w:val="42B45D29"/>
    <w:rsid w:val="42F97BDF"/>
    <w:rsid w:val="430C7F46"/>
    <w:rsid w:val="433A6FCF"/>
    <w:rsid w:val="4346632E"/>
    <w:rsid w:val="43726904"/>
    <w:rsid w:val="43AA5740"/>
    <w:rsid w:val="43E65ED8"/>
    <w:rsid w:val="445318B4"/>
    <w:rsid w:val="445D7155"/>
    <w:rsid w:val="4462631A"/>
    <w:rsid w:val="44B6051E"/>
    <w:rsid w:val="44EE2D01"/>
    <w:rsid w:val="45554C5B"/>
    <w:rsid w:val="45B54E99"/>
    <w:rsid w:val="46AB1F66"/>
    <w:rsid w:val="46EC7422"/>
    <w:rsid w:val="47207017"/>
    <w:rsid w:val="475C5274"/>
    <w:rsid w:val="47A51914"/>
    <w:rsid w:val="47A52253"/>
    <w:rsid w:val="47AB46EF"/>
    <w:rsid w:val="47B95B8F"/>
    <w:rsid w:val="480651E6"/>
    <w:rsid w:val="48216C64"/>
    <w:rsid w:val="48971F6C"/>
    <w:rsid w:val="48BB76E5"/>
    <w:rsid w:val="49280A74"/>
    <w:rsid w:val="497F0713"/>
    <w:rsid w:val="49804BB7"/>
    <w:rsid w:val="49E615A7"/>
    <w:rsid w:val="49F8140A"/>
    <w:rsid w:val="4A325AB6"/>
    <w:rsid w:val="4A524201"/>
    <w:rsid w:val="4A6154C6"/>
    <w:rsid w:val="4A7674C6"/>
    <w:rsid w:val="4A9C2CDA"/>
    <w:rsid w:val="4AB93EC2"/>
    <w:rsid w:val="4B425E9C"/>
    <w:rsid w:val="4B4D6D1A"/>
    <w:rsid w:val="4B853D4C"/>
    <w:rsid w:val="4BAD5577"/>
    <w:rsid w:val="4C1079C5"/>
    <w:rsid w:val="4C254B2F"/>
    <w:rsid w:val="4CBB7CB4"/>
    <w:rsid w:val="4CEA7289"/>
    <w:rsid w:val="4CEF6C50"/>
    <w:rsid w:val="4D893963"/>
    <w:rsid w:val="4D997CAC"/>
    <w:rsid w:val="4D9B3A76"/>
    <w:rsid w:val="4DF03B9A"/>
    <w:rsid w:val="4EDF6494"/>
    <w:rsid w:val="4EF74D49"/>
    <w:rsid w:val="4EFF14D6"/>
    <w:rsid w:val="4F0867B5"/>
    <w:rsid w:val="4F3217C3"/>
    <w:rsid w:val="4F403FF7"/>
    <w:rsid w:val="4F790FC4"/>
    <w:rsid w:val="4FD51BB0"/>
    <w:rsid w:val="507A78F0"/>
    <w:rsid w:val="509F4BB0"/>
    <w:rsid w:val="50AD289F"/>
    <w:rsid w:val="51271DBC"/>
    <w:rsid w:val="516D0BAC"/>
    <w:rsid w:val="518C1C1F"/>
    <w:rsid w:val="51A00EB4"/>
    <w:rsid w:val="523F6238"/>
    <w:rsid w:val="526C594C"/>
    <w:rsid w:val="52992F08"/>
    <w:rsid w:val="52AB53A8"/>
    <w:rsid w:val="53051D4B"/>
    <w:rsid w:val="5331330C"/>
    <w:rsid w:val="537C20A3"/>
    <w:rsid w:val="538B6CB6"/>
    <w:rsid w:val="53D820DF"/>
    <w:rsid w:val="54114CF9"/>
    <w:rsid w:val="548206FA"/>
    <w:rsid w:val="55091AE3"/>
    <w:rsid w:val="55255F0F"/>
    <w:rsid w:val="55460E4D"/>
    <w:rsid w:val="55BB7696"/>
    <w:rsid w:val="55CD4E74"/>
    <w:rsid w:val="55D669D8"/>
    <w:rsid w:val="560B2DD5"/>
    <w:rsid w:val="5624708F"/>
    <w:rsid w:val="565102A2"/>
    <w:rsid w:val="5655113F"/>
    <w:rsid w:val="56C05217"/>
    <w:rsid w:val="57572276"/>
    <w:rsid w:val="57731FA7"/>
    <w:rsid w:val="580A0133"/>
    <w:rsid w:val="581A63BC"/>
    <w:rsid w:val="58AD791B"/>
    <w:rsid w:val="58B404E7"/>
    <w:rsid w:val="58C16491"/>
    <w:rsid w:val="58C17821"/>
    <w:rsid w:val="59053070"/>
    <w:rsid w:val="59A10ED7"/>
    <w:rsid w:val="59A923CB"/>
    <w:rsid w:val="59BE360B"/>
    <w:rsid w:val="59C06F49"/>
    <w:rsid w:val="59C40B1F"/>
    <w:rsid w:val="5A3570F8"/>
    <w:rsid w:val="5A4C689B"/>
    <w:rsid w:val="5A511ACE"/>
    <w:rsid w:val="5A767527"/>
    <w:rsid w:val="5A785436"/>
    <w:rsid w:val="5A835A85"/>
    <w:rsid w:val="5A865ED2"/>
    <w:rsid w:val="5AE82E61"/>
    <w:rsid w:val="5BAA1709"/>
    <w:rsid w:val="5C0366CC"/>
    <w:rsid w:val="5C082940"/>
    <w:rsid w:val="5CBA15F1"/>
    <w:rsid w:val="5D0E5B20"/>
    <w:rsid w:val="5D4A6C44"/>
    <w:rsid w:val="5DC53DE7"/>
    <w:rsid w:val="5DDF70C0"/>
    <w:rsid w:val="5E377955"/>
    <w:rsid w:val="5E805C89"/>
    <w:rsid w:val="5E841D16"/>
    <w:rsid w:val="5E9433DA"/>
    <w:rsid w:val="5E9E667F"/>
    <w:rsid w:val="5F441A47"/>
    <w:rsid w:val="5F6C2999"/>
    <w:rsid w:val="5FE23E50"/>
    <w:rsid w:val="60103FB0"/>
    <w:rsid w:val="601F7BE2"/>
    <w:rsid w:val="60327F9A"/>
    <w:rsid w:val="609B6155"/>
    <w:rsid w:val="60B27D9F"/>
    <w:rsid w:val="612E4FBC"/>
    <w:rsid w:val="615C0491"/>
    <w:rsid w:val="6161074B"/>
    <w:rsid w:val="61734BA9"/>
    <w:rsid w:val="61FF370F"/>
    <w:rsid w:val="62112C18"/>
    <w:rsid w:val="623E1161"/>
    <w:rsid w:val="624C2F65"/>
    <w:rsid w:val="625C30BA"/>
    <w:rsid w:val="625F4C1A"/>
    <w:rsid w:val="6263523F"/>
    <w:rsid w:val="62FD0B14"/>
    <w:rsid w:val="63104771"/>
    <w:rsid w:val="63343F70"/>
    <w:rsid w:val="63391772"/>
    <w:rsid w:val="634C5DA1"/>
    <w:rsid w:val="63E82D7B"/>
    <w:rsid w:val="63F160E5"/>
    <w:rsid w:val="6457430E"/>
    <w:rsid w:val="64702871"/>
    <w:rsid w:val="649B63EC"/>
    <w:rsid w:val="64A72723"/>
    <w:rsid w:val="653E29A4"/>
    <w:rsid w:val="6546747B"/>
    <w:rsid w:val="654F3DFC"/>
    <w:rsid w:val="65B05ADD"/>
    <w:rsid w:val="65E05A4C"/>
    <w:rsid w:val="660C2936"/>
    <w:rsid w:val="663F79BE"/>
    <w:rsid w:val="665703AA"/>
    <w:rsid w:val="6659052D"/>
    <w:rsid w:val="66F7771C"/>
    <w:rsid w:val="678179E0"/>
    <w:rsid w:val="67B46336"/>
    <w:rsid w:val="67F027BB"/>
    <w:rsid w:val="681D761D"/>
    <w:rsid w:val="682269E1"/>
    <w:rsid w:val="686C0F2F"/>
    <w:rsid w:val="68A718C1"/>
    <w:rsid w:val="68F97B1E"/>
    <w:rsid w:val="69383E3B"/>
    <w:rsid w:val="69580DAC"/>
    <w:rsid w:val="69A553E3"/>
    <w:rsid w:val="6A723459"/>
    <w:rsid w:val="6A77474D"/>
    <w:rsid w:val="6A9F619F"/>
    <w:rsid w:val="6AC628F6"/>
    <w:rsid w:val="6B933F9A"/>
    <w:rsid w:val="6BBB0AAB"/>
    <w:rsid w:val="6BC91967"/>
    <w:rsid w:val="6C357D78"/>
    <w:rsid w:val="6C8F79D8"/>
    <w:rsid w:val="6CA95A9D"/>
    <w:rsid w:val="6D0B7583"/>
    <w:rsid w:val="6D235DFF"/>
    <w:rsid w:val="6D4C6FC1"/>
    <w:rsid w:val="6DCF7F43"/>
    <w:rsid w:val="6E061640"/>
    <w:rsid w:val="6E2C5C07"/>
    <w:rsid w:val="6E3E1AE0"/>
    <w:rsid w:val="6E504963"/>
    <w:rsid w:val="6E560DC7"/>
    <w:rsid w:val="6E8A09A6"/>
    <w:rsid w:val="6F074182"/>
    <w:rsid w:val="6F2C0A78"/>
    <w:rsid w:val="6F7C0582"/>
    <w:rsid w:val="6FD64CEC"/>
    <w:rsid w:val="6FFB69E3"/>
    <w:rsid w:val="70047F8B"/>
    <w:rsid w:val="706C2EEF"/>
    <w:rsid w:val="70700F6A"/>
    <w:rsid w:val="70BC0902"/>
    <w:rsid w:val="70E02159"/>
    <w:rsid w:val="714B3459"/>
    <w:rsid w:val="71535B1B"/>
    <w:rsid w:val="71624F70"/>
    <w:rsid w:val="71691A72"/>
    <w:rsid w:val="716F5B9B"/>
    <w:rsid w:val="719E6C6B"/>
    <w:rsid w:val="725C51E8"/>
    <w:rsid w:val="7285473C"/>
    <w:rsid w:val="72AD6F73"/>
    <w:rsid w:val="73003045"/>
    <w:rsid w:val="734225C7"/>
    <w:rsid w:val="736F73AB"/>
    <w:rsid w:val="739F4FE6"/>
    <w:rsid w:val="74B62D06"/>
    <w:rsid w:val="74E2242F"/>
    <w:rsid w:val="74F6029E"/>
    <w:rsid w:val="75787DDD"/>
    <w:rsid w:val="75AB4D14"/>
    <w:rsid w:val="75BD7FE1"/>
    <w:rsid w:val="75EB2832"/>
    <w:rsid w:val="764E0A25"/>
    <w:rsid w:val="76AC7521"/>
    <w:rsid w:val="76E21061"/>
    <w:rsid w:val="76E535A6"/>
    <w:rsid w:val="76EB35B4"/>
    <w:rsid w:val="771432D8"/>
    <w:rsid w:val="773575BB"/>
    <w:rsid w:val="7755498B"/>
    <w:rsid w:val="77A03194"/>
    <w:rsid w:val="77A63B89"/>
    <w:rsid w:val="77AC464A"/>
    <w:rsid w:val="77C056C6"/>
    <w:rsid w:val="77C91740"/>
    <w:rsid w:val="77D2796C"/>
    <w:rsid w:val="784F036E"/>
    <w:rsid w:val="785962B6"/>
    <w:rsid w:val="786B3194"/>
    <w:rsid w:val="789D11CD"/>
    <w:rsid w:val="78CF6CC0"/>
    <w:rsid w:val="78F5310F"/>
    <w:rsid w:val="7924080B"/>
    <w:rsid w:val="795C6890"/>
    <w:rsid w:val="7961096C"/>
    <w:rsid w:val="79B85630"/>
    <w:rsid w:val="79EF0BCC"/>
    <w:rsid w:val="7A196B01"/>
    <w:rsid w:val="7A3E46A0"/>
    <w:rsid w:val="7A41508C"/>
    <w:rsid w:val="7B7A6F95"/>
    <w:rsid w:val="7BC55837"/>
    <w:rsid w:val="7C176405"/>
    <w:rsid w:val="7C5D1419"/>
    <w:rsid w:val="7C8949A7"/>
    <w:rsid w:val="7D0D2321"/>
    <w:rsid w:val="7D2120A2"/>
    <w:rsid w:val="7D3B0995"/>
    <w:rsid w:val="7D43696B"/>
    <w:rsid w:val="7D630112"/>
    <w:rsid w:val="7D7A39D5"/>
    <w:rsid w:val="7D7A6A50"/>
    <w:rsid w:val="7DB306CF"/>
    <w:rsid w:val="7DDE4BBF"/>
    <w:rsid w:val="7E040C2B"/>
    <w:rsid w:val="7E3327B0"/>
    <w:rsid w:val="7E4E1C7F"/>
    <w:rsid w:val="7E634251"/>
    <w:rsid w:val="7E956FFA"/>
    <w:rsid w:val="7EF173E1"/>
    <w:rsid w:val="7EF43124"/>
    <w:rsid w:val="7F39502F"/>
    <w:rsid w:val="7F5C7483"/>
    <w:rsid w:val="7F7B569D"/>
    <w:rsid w:val="7FAD424E"/>
    <w:rsid w:val="7FF30F37"/>
    <w:rsid w:val="7FF8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935</Words>
  <Characters>995</Characters>
  <Lines>0</Lines>
  <Paragraphs>0</Paragraphs>
  <TotalTime>1</TotalTime>
  <ScaleCrop>false</ScaleCrop>
  <LinksUpToDate>false</LinksUpToDate>
  <CharactersWithSpaces>1019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2026-03-23T14:04:00Z</dcterms:created>
  <dc:creator>朱易成</dc:creator>
  <cp:lastModifiedBy>朱易成</cp:lastModifiedBy>
  <dcterms:modified xsi:type="dcterms:W3CDTF">2026-09-03T14:16:45Z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eyJoZGlkIjoiNDNiZjA2ZDdiOTJiZjdiMjMzMDAwNTU4ZTA4NTFiNDEiLCJ1c2VySWQiOiIxODAxOTcxNDc4In0=</vt:lpwstr>
  </property>
  <property fmtid="{D5CDD505-2E9C-101B-9397-08002B2CF9AE}" pid="3" name="KSOProductBuildVer">
    <vt:lpwstr>2052-12.1.0.25225</vt:lpwstr>
  </property>
  <property fmtid="{D5CDD505-2E9C-101B-9397-08002B2CF9AE}" pid="4" name="ICV">
    <vt:lpwstr>D504BB5E14774E32851A2C40073DF7F2_12</vt:lpwstr>
  </property>
  <property fmtid="{D5CDD505-2E9C-101B-9397-08002B2CF9AE}" pid="5" name="MTPreferences">
    <vt:lpwstr>[Styles]
Text=Times New Roman
Function=Times New Roman
Variable=Times New Roman,I
LCGreek=Symbol,I
UCGreek=Symbol
Symbol=Symbol
Vector=Times New Roman,B
Number=Times New Roman
User1=Courier New
User2=Times New Roman
MTExtra=MT Extra
[Sizes]</vt:lpwstr>
  </property>
  <property fmtid="{D5CDD505-2E9C-101B-9397-08002B2CF9AE}" pid="6" name="MTPreferences 1">
    <vt:lpwstr>
Full=10 pt
Script=58 %
ScriptScript=42 %
Symbol=150 %
SubSymbol=100 %
User1=75 %
User2=150 %
SmallLargeIncr=1 pt
[Spacing]
LineSpacing=150 %
MatrixRowSpacing=150 %
MatrixColSpacing=100 %
SuperscriptHeight=45 %
SubscriptDepth=25 %
SubSupGa</vt:lpwstr>
  </property>
  <property fmtid="{D5CDD505-2E9C-101B-9397-08002B2CF9AE}" pid="7" name="MTPreferences 2">
    <vt:lpwstr>p=8 %
LimHeight=25 %
LimDepth=100 %
LimLineSpacing=100 %
NumerHeight=35 %
DenomDepth=100 %
FractBarOver=8 %
FractBarThick=5 %
SubFractBarThick=2.5 %
FractGap=8 %
FenceOver=8 %
OperSpacing=100 %
NonOperSpacing=100 %
CharWidth=0 %
MinGap=8 %
</vt:lpwstr>
  </property>
  <property fmtid="{D5CDD505-2E9C-101B-9397-08002B2CF9AE}" pid="8" name="MTPreferences 3">
    <vt:lpwstr>VertRadGap=17 %
HorizRadGap=8 %
RadWidth=100 %
EmbellGap=12.5 %
PrimeHeight=45 %
BoxStrokeThick=5 %
StikeThruThick=5 %
MatrixLineThick=5 %
RadStrokeThick=5 %
HorizFenceGap=10 %
</vt:lpwstr>
  </property>
  <property fmtid="{D5CDD505-2E9C-101B-9397-08002B2CF9AE}" pid="9" name="MTPreferenceSource">
    <vt:lpwstr>Times+Symbol 10.eqp</vt:lpwstr>
  </property>
  <property fmtid="{D5CDD505-2E9C-101B-9397-08002B2CF9AE}" pid="10" name="MTWinEqns">
    <vt:bool>true</vt:bool>
  </property>
</Properties>
</file>