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0" w:space="0" w:color="153A57"/>
          <w:left w:val="single" w:sz="0" w:space="0" w:color="153A57"/>
          <w:bottom w:val="single" w:sz="0" w:space="0" w:color="153A57"/>
          <w:right w:val="single" w:sz="0" w:space="0" w:color="153A57"/>
          <w:insideH w:val="single" w:sz="0" w:space="0" w:color="153A57"/>
          <w:insideV w:val="single" w:sz="0" w:space="0" w:color="153A57"/>
        </w:tblBorders>
      </w:tblPr>
      <w:tblGrid>
        <w:gridCol w:w="9972"/>
      </w:tblGrid>
      <w:tr>
        <w:tc>
          <w:tcPr>
            <w:tcW w:type="dxa" w:w="9972"/>
            <w:shd w:fill="153A57"/>
          </w:tcPr>
          <w:p>
            <w:pPr>
              <w:jc w:val="left"/>
            </w:pPr>
            <w:r>
              <w:rPr>
                <w:b/>
                <w:color w:val="FFFFFF"/>
                <w:sz w:val="24"/>
              </w:rPr>
              <w:t>SASD</w:t>
            </w:r>
          </w:p>
          <w:p/>
          <w:p/>
          <w:p>
            <w:r>
              <w:rPr>
                <w:b/>
                <w:color w:val="FFFFFF"/>
                <w:sz w:val="60"/>
              </w:rPr>
              <w:t>Lastenheft</w:t>
            </w:r>
          </w:p>
          <w:p>
            <w:r>
              <w:rPr>
                <w:b/>
                <w:color w:val="DDF1F4"/>
                <w:sz w:val="36"/>
              </w:rPr>
              <w:t>SASD Desktop Secret Manager</w:t>
            </w:r>
          </w:p>
          <w:p>
            <w:r>
              <w:rPr>
                <w:color w:val="E8F4F6"/>
                <w:sz w:val="24"/>
              </w:rPr>
              <w:t>Überarbeitete Fassung aus Dokumenten, Projektchats und Repository-Stand</w:t>
            </w:r>
          </w:p>
          <w:p/>
        </w:tc>
      </w:tr>
    </w:tbl>
    <w:p>
      <w:pPr>
        <w:jc w:val="center"/>
      </w:pPr>
      <w:r>
        <w:rPr>
          <w:i/>
          <w:color w:val="0F3A5A"/>
          <w:sz w:val="24"/>
        </w:rPr>
        <w:t>Windows-Desktop-Anwendung für lokale, verschlüsselte Mehrfach-Tresore, strukturierte technische Secrets, HTTPS/TLS-Zertifikatsverwaltung und realistische Password-Safe-Interop</w:t>
      </w:r>
    </w:p>
    <w:tbl>
      <w:tblPr>
        <w:tblW w:type="auto" w:w="0"/>
        <w:jc w:val="center"/>
        <w:tblLook w:firstColumn="1" w:firstRow="1" w:lastColumn="0" w:lastRow="0" w:noHBand="0" w:noVBand="1" w:val="04A0"/>
        <w:tblBorders>
          <w:top w:val="single" w:sz="6" w:space="0" w:color="A9BEC5"/>
          <w:left w:val="single" w:sz="6" w:space="0" w:color="A9BEC5"/>
          <w:bottom w:val="single" w:sz="6" w:space="0" w:color="A9BEC5"/>
          <w:right w:val="single" w:sz="6" w:space="0" w:color="A9BEC5"/>
          <w:insideH w:val="single" w:sz="6" w:space="0" w:color="A9BEC5"/>
          <w:insideV w:val="single" w:sz="6" w:space="0" w:color="A9BEC5"/>
        </w:tblBorders>
      </w:tblPr>
      <w:tblGrid>
        <w:gridCol w:w="4986"/>
        <w:gridCol w:w="4986"/>
      </w:tblGrid>
      <w:tr>
        <w:tc>
          <w:tcPr>
            <w:tcW w:type="dxa" w:w="4986"/>
            <w:shd w:fill="153A57"/>
            <w:vAlign w:val="center"/>
          </w:tcPr>
          <w:p>
            <w:pPr>
              <w:spacing w:after="0" w:before="0"/>
            </w:pPr>
            <w:r>
              <w:rPr>
                <w:b/>
                <w:color w:val="FFFFFF"/>
                <w:sz w:val="18"/>
              </w:rPr>
              <w:t>Metadatum</w:t>
            </w:r>
          </w:p>
        </w:tc>
        <w:tc>
          <w:tcPr>
            <w:tcW w:type="dxa" w:w="4986"/>
            <w:shd w:fill="153A57"/>
            <w:vAlign w:val="center"/>
          </w:tcPr>
          <w:p>
            <w:pPr>
              <w:spacing w:after="0" w:before="0"/>
            </w:pPr>
            <w:r>
              <w:rPr>
                <w:b/>
                <w:color w:val="FFFFFF"/>
                <w:sz w:val="18"/>
              </w:rPr>
              <w:t>Wert</w:t>
            </w:r>
          </w:p>
        </w:tc>
      </w:tr>
      <w:tr>
        <w:tc>
          <w:tcPr>
            <w:tcW w:type="dxa" w:w="2438"/>
            <w:shd w:fill="D8E6EA"/>
            <w:vAlign w:val="center"/>
          </w:tcPr>
          <w:p>
            <w:pPr>
              <w:spacing w:after="0" w:before="0"/>
            </w:pPr>
            <w:r>
              <w:rPr>
                <w:b/>
                <w:sz w:val="18"/>
              </w:rPr>
              <w:t>Dokumenttyp</w:t>
            </w:r>
          </w:p>
        </w:tc>
        <w:tc>
          <w:tcPr>
            <w:tcW w:type="dxa" w:w="6633"/>
            <w:vAlign w:val="center"/>
          </w:tcPr>
          <w:p>
            <w:pPr>
              <w:spacing w:after="0" w:before="0"/>
            </w:pPr>
            <w:r>
              <w:rPr>
                <w:sz w:val="18"/>
              </w:rPr>
              <w:t>Lastenheft, überarbeitete Fassung</w:t>
            </w:r>
          </w:p>
        </w:tc>
      </w:tr>
      <w:tr>
        <w:tc>
          <w:tcPr>
            <w:tcW w:type="dxa" w:w="2438"/>
            <w:shd w:fill="D8E6EA"/>
            <w:vAlign w:val="center"/>
          </w:tcPr>
          <w:p>
            <w:pPr>
              <w:spacing w:after="0" w:before="0"/>
            </w:pPr>
            <w:r>
              <w:rPr>
                <w:b/>
                <w:sz w:val="18"/>
              </w:rPr>
              <w:t>Projekt</w:t>
            </w:r>
          </w:p>
        </w:tc>
        <w:tc>
          <w:tcPr>
            <w:tcW w:type="dxa" w:w="6633"/>
            <w:vAlign w:val="center"/>
          </w:tcPr>
          <w:p>
            <w:pPr>
              <w:spacing w:after="0" w:before="0"/>
            </w:pPr>
            <w:r>
              <w:rPr>
                <w:sz w:val="18"/>
              </w:rPr>
              <w:t>SASD Desktop Secret Manager / lokaler Passwort- und Secret-Manager</w:t>
            </w:r>
          </w:p>
        </w:tc>
      </w:tr>
      <w:tr>
        <w:tc>
          <w:tcPr>
            <w:tcW w:type="dxa" w:w="2438"/>
            <w:shd w:fill="D8E6EA"/>
            <w:vAlign w:val="center"/>
          </w:tcPr>
          <w:p>
            <w:pPr>
              <w:spacing w:after="0" w:before="0"/>
            </w:pPr>
            <w:r>
              <w:rPr>
                <w:b/>
                <w:sz w:val="18"/>
              </w:rPr>
              <w:t>Dokumentziel</w:t>
            </w:r>
          </w:p>
        </w:tc>
        <w:tc>
          <w:tcPr>
            <w:tcW w:type="dxa" w:w="6633"/>
            <w:vAlign w:val="center"/>
          </w:tcPr>
          <w:p>
            <w:pPr>
              <w:spacing w:after="0" w:before="0"/>
            </w:pPr>
            <w:r>
              <w:rPr>
                <w:sz w:val="18"/>
              </w:rPr>
              <w:t>Konsolidierung der bisherigen Dokumente, Projektchats, Roadmap und Repository-Hinweise zu einer bereinigten fachlichen Anforderungsbasis.</w:t>
            </w:r>
          </w:p>
        </w:tc>
      </w:tr>
      <w:tr>
        <w:tc>
          <w:tcPr>
            <w:tcW w:type="dxa" w:w="2438"/>
            <w:shd w:fill="D8E6EA"/>
            <w:vAlign w:val="center"/>
          </w:tcPr>
          <w:p>
            <w:pPr>
              <w:spacing w:after="0" w:before="0"/>
            </w:pPr>
            <w:r>
              <w:rPr>
                <w:b/>
                <w:sz w:val="18"/>
              </w:rPr>
              <w:t>Adressaten</w:t>
            </w:r>
          </w:p>
        </w:tc>
        <w:tc>
          <w:tcPr>
            <w:tcW w:type="dxa" w:w="6633"/>
            <w:vAlign w:val="center"/>
          </w:tcPr>
          <w:p>
            <w:pPr>
              <w:spacing w:after="0" w:before="0"/>
            </w:pPr>
            <w:r>
              <w:rPr>
                <w:sz w:val="18"/>
              </w:rPr>
              <w:t>Auftraggeber, Produktentscheidung, Architektur, Entwicklung, Test, spätere Release-Planung</w:t>
            </w:r>
          </w:p>
        </w:tc>
      </w:tr>
      <w:tr>
        <w:tc>
          <w:tcPr>
            <w:tcW w:type="dxa" w:w="2438"/>
            <w:shd w:fill="D8E6EA"/>
            <w:vAlign w:val="center"/>
          </w:tcPr>
          <w:p>
            <w:pPr>
              <w:spacing w:after="0" w:before="0"/>
            </w:pPr>
            <w:r>
              <w:rPr>
                <w:b/>
                <w:sz w:val="18"/>
              </w:rPr>
              <w:t>Status</w:t>
            </w:r>
          </w:p>
        </w:tc>
        <w:tc>
          <w:tcPr>
            <w:tcW w:type="dxa" w:w="6633"/>
            <w:vAlign w:val="center"/>
          </w:tcPr>
          <w:p>
            <w:pPr>
              <w:spacing w:after="0" w:before="0"/>
            </w:pPr>
            <w:r>
              <w:rPr>
                <w:sz w:val="18"/>
              </w:rPr>
              <w:t>Arbeits- und Entscheidungsgrundlage; kein produktives Sicherheitsfreigabedokument</w:t>
            </w:r>
          </w:p>
        </w:tc>
      </w:tr>
      <w:tr>
        <w:tc>
          <w:tcPr>
            <w:tcW w:type="dxa" w:w="2438"/>
            <w:shd w:fill="D8E6EA"/>
            <w:vAlign w:val="center"/>
          </w:tcPr>
          <w:p>
            <w:pPr>
              <w:spacing w:after="0" w:before="0"/>
            </w:pPr>
            <w:r>
              <w:rPr>
                <w:b/>
                <w:sz w:val="18"/>
              </w:rPr>
              <w:t>Stand</w:t>
            </w:r>
          </w:p>
        </w:tc>
        <w:tc>
          <w:tcPr>
            <w:tcW w:type="dxa" w:w="6633"/>
            <w:vAlign w:val="center"/>
          </w:tcPr>
          <w:p>
            <w:pPr>
              <w:spacing w:after="0" w:before="0"/>
            </w:pPr>
            <w:r>
              <w:rPr>
                <w:sz w:val="18"/>
              </w:rPr>
              <w:t>18.05.2026</w:t>
            </w:r>
          </w:p>
        </w:tc>
      </w:tr>
      <w:tr>
        <w:tc>
          <w:tcPr>
            <w:tcW w:type="dxa" w:w="2438"/>
            <w:shd w:fill="D8E6EA"/>
            <w:vAlign w:val="center"/>
          </w:tcPr>
          <w:p>
            <w:pPr>
              <w:spacing w:after="0" w:before="0"/>
            </w:pPr>
            <w:r>
              <w:rPr>
                <w:b/>
                <w:sz w:val="18"/>
              </w:rPr>
              <w:t>Quellenbasis</w:t>
            </w:r>
          </w:p>
        </w:tc>
        <w:tc>
          <w:tcPr>
            <w:tcW w:type="dxa" w:w="6633"/>
            <w:vAlign w:val="center"/>
          </w:tcPr>
          <w:p>
            <w:pPr>
              <w:spacing w:after="0" w:before="0"/>
            </w:pPr>
            <w:r>
              <w:rPr>
                <w:sz w:val="18"/>
              </w:rPr>
              <w:t>Hochgeladene Lastenheft-/Pflichtenheft-/Architekturdokumente, Feature-Collation, Roadmap, Projektchats und aktueller GitHub-README-Stand.</w:t>
            </w:r>
          </w:p>
        </w:tc>
      </w:tr>
    </w:tbl>
    <w:p/>
    <w:tbl>
      <w:tblPr>
        <w:tblW w:type="auto" w:w="0"/>
        <w:jc w:val="center"/>
        <w:tblLook w:firstColumn="1" w:firstRow="1" w:lastColumn="0" w:lastRow="0" w:noHBand="0" w:noVBand="1" w:val="04A0"/>
        <w:tblBorders>
          <w:top w:val="single" w:sz="8" w:space="0" w:color="6B9AA6"/>
          <w:left w:val="single" w:sz="8" w:space="0" w:color="6B9AA6"/>
          <w:bottom w:val="single" w:sz="8" w:space="0" w:color="6B9AA6"/>
          <w:right w:val="single" w:sz="8" w:space="0" w:color="6B9AA6"/>
          <w:insideH w:val="single" w:sz="8" w:space="0" w:color="6B9AA6"/>
          <w:insideV w:val="single" w:sz="8" w:space="0" w:color="6B9AA6"/>
        </w:tblBorders>
      </w:tblPr>
      <w:tblGrid>
        <w:gridCol w:w="9972"/>
      </w:tblGrid>
      <w:tr>
        <w:tc>
          <w:tcPr>
            <w:tcW w:type="dxa" w:w="9972"/>
            <w:shd w:fill="EAF2F4"/>
          </w:tcPr>
          <w:p>
            <w:pPr>
              <w:spacing w:after="80"/>
            </w:pPr>
            <w:r>
              <w:rPr>
                <w:b/>
                <w:color w:val="0F3A5A"/>
                <w:sz w:val="21"/>
              </w:rPr>
              <w:t>Leitgedanke</w:t>
            </w:r>
          </w:p>
          <w:p>
            <w:pPr>
              <w:spacing w:after="0"/>
            </w:pPr>
            <w:r>
              <w:rPr>
                <w:sz w:val="19"/>
              </w:rPr>
              <w:t>Dieses Lastenheft fasst die bisherigen Fassungen zusammen, bereinigt Überschneidungen und ergänzt die im Chat hinzugekommenen Punkte ausdrücklich. Besonders die Verwaltung von HTTPS/TLS-Zertifikaten wird nicht mehr nur als beiläufiger Zertifikatsbezug verstanden, sondern als eigener fachlicher Themenbereich mit klarer Versionszuordnung.</w:t>
            </w:r>
          </w:p>
        </w:tc>
      </w:tr>
    </w:tbl>
    <w:p/>
    <w:p>
      <w:r>
        <w:br w:type="page"/>
      </w:r>
    </w:p>
    <w:p>
      <w:pPr>
        <w:pStyle w:val="Heading1"/>
      </w:pPr>
      <w:r>
        <w:t>Inhaltsverzeichnis</w:t>
      </w:r>
    </w:p>
    <w:p>
      <w:pPr>
        <w:spacing w:after="40"/>
        <w:ind w:left="170"/>
      </w:pPr>
      <w:r>
        <w:t>1. Management Summary</w:t>
      </w:r>
    </w:p>
    <w:p>
      <w:pPr>
        <w:spacing w:after="40"/>
        <w:ind w:left="170"/>
      </w:pPr>
      <w:r>
        <w:t>2. Dokumentzweck und Quellenbasis</w:t>
      </w:r>
    </w:p>
    <w:p>
      <w:pPr>
        <w:spacing w:after="40"/>
        <w:ind w:left="170"/>
      </w:pPr>
      <w:r>
        <w:t>3. Ausgangssituation und Problemstellung</w:t>
      </w:r>
    </w:p>
    <w:p>
      <w:pPr>
        <w:spacing w:after="40"/>
        <w:ind w:left="170"/>
      </w:pPr>
      <w:r>
        <w:t>4. Zielbild des Produkts</w:t>
      </w:r>
    </w:p>
    <w:p>
      <w:pPr>
        <w:spacing w:after="40"/>
        <w:ind w:left="170"/>
      </w:pPr>
      <w:r>
        <w:t>5. Einsatzkontext, Stakeholder und Schutzannahmen</w:t>
      </w:r>
    </w:p>
    <w:p>
      <w:pPr>
        <w:spacing w:after="40"/>
        <w:ind w:left="170"/>
      </w:pPr>
      <w:r>
        <w:t>6. Fachlicher Leistungsumfang</w:t>
      </w:r>
    </w:p>
    <w:p>
      <w:pPr>
        <w:spacing w:after="40"/>
        <w:ind w:left="170"/>
      </w:pPr>
      <w:r>
        <w:t>7. Fachliches Datenmodell</w:t>
      </w:r>
    </w:p>
    <w:p>
      <w:pPr>
        <w:spacing w:after="40"/>
        <w:ind w:left="170"/>
      </w:pPr>
      <w:r>
        <w:t>8. Tresorverwaltung und Dateikonzept</w:t>
      </w:r>
    </w:p>
    <w:p>
      <w:pPr>
        <w:spacing w:after="40"/>
        <w:ind w:left="170"/>
      </w:pPr>
      <w:r>
        <w:t>9. Organisation, Navigation, Suche und Bedienfluss</w:t>
      </w:r>
    </w:p>
    <w:p>
      <w:pPr>
        <w:spacing w:after="40"/>
        <w:ind w:left="170"/>
      </w:pPr>
      <w:r>
        <w:t>10. Sicherheitsleitlinien und Schutzgrenzen</w:t>
      </w:r>
    </w:p>
    <w:p>
      <w:pPr>
        <w:spacing w:after="40"/>
        <w:ind w:left="170"/>
      </w:pPr>
      <w:r>
        <w:t>11. Recovery ohne Backdoor</w:t>
      </w:r>
    </w:p>
    <w:p>
      <w:pPr>
        <w:spacing w:after="40"/>
        <w:ind w:left="170"/>
      </w:pPr>
      <w:r>
        <w:t>12. Interoperabilität, Migration, Import und Export</w:t>
      </w:r>
    </w:p>
    <w:p>
      <w:pPr>
        <w:spacing w:after="40"/>
        <w:ind w:left="170"/>
      </w:pPr>
      <w:r>
        <w:t>13. Release- und Versionslogik</w:t>
      </w:r>
    </w:p>
    <w:p>
      <w:pPr>
        <w:spacing w:after="40"/>
        <w:ind w:left="170"/>
      </w:pPr>
      <w:r>
        <w:t>14. Funktionaler Anforderungskatalog</w:t>
      </w:r>
    </w:p>
    <w:p>
      <w:pPr>
        <w:spacing w:after="40"/>
        <w:ind w:left="170"/>
      </w:pPr>
      <w:r>
        <w:t>15. Nichtfunktionale Anforderungen</w:t>
      </w:r>
    </w:p>
    <w:p>
      <w:pPr>
        <w:spacing w:after="40"/>
        <w:ind w:left="170"/>
      </w:pPr>
      <w:r>
        <w:t>16. Bewusste Nicht-Ziele und vertagte Themen</w:t>
      </w:r>
    </w:p>
    <w:p>
      <w:pPr>
        <w:spacing w:after="40"/>
        <w:ind w:left="170"/>
      </w:pPr>
      <w:r>
        <w:t>17. Aktueller Prototypstand</w:t>
      </w:r>
    </w:p>
    <w:p>
      <w:pPr>
        <w:spacing w:after="40"/>
        <w:ind w:left="170"/>
      </w:pPr>
      <w:r>
        <w:t>18. Abnahmekriterien für V1</w:t>
      </w:r>
    </w:p>
    <w:p>
      <w:pPr>
        <w:spacing w:after="40"/>
        <w:ind w:left="170"/>
      </w:pPr>
      <w:r>
        <w:t>19. Offene Punkte für das anschließende Pflichtenheft</w:t>
      </w:r>
    </w:p>
    <w:p>
      <w:pPr>
        <w:spacing w:after="40"/>
        <w:ind w:left="170"/>
      </w:pPr>
      <w:r>
        <w:t>20. Quellen- und Entscheidungsregister</w:t>
      </w:r>
    </w:p>
    <w:p>
      <w:pPr>
        <w:spacing w:after="40"/>
        <w:ind w:left="170"/>
      </w:pPr>
      <w:r>
        <w:t>21. Schlussbemerkung</w:t>
      </w:r>
    </w:p>
    <w:tbl>
      <w:tblPr>
        <w:tblW w:type="auto" w:w="0"/>
        <w:jc w:val="center"/>
        <w:tblLook w:firstColumn="1" w:firstRow="1" w:lastColumn="0" w:lastRow="0" w:noHBand="0" w:noVBand="1" w:val="04A0"/>
        <w:tblBorders>
          <w:top w:val="single" w:sz="8" w:space="0" w:color="B8C7CC"/>
          <w:left w:val="single" w:sz="8" w:space="0" w:color="B8C7CC"/>
          <w:bottom w:val="single" w:sz="8" w:space="0" w:color="B8C7CC"/>
          <w:right w:val="single" w:sz="8" w:space="0" w:color="B8C7CC"/>
          <w:insideH w:val="single" w:sz="8" w:space="0" w:color="B8C7CC"/>
          <w:insideV w:val="single" w:sz="8" w:space="0" w:color="B8C7CC"/>
        </w:tblBorders>
      </w:tblPr>
      <w:tblGrid>
        <w:gridCol w:w="9972"/>
      </w:tblGrid>
      <w:tr>
        <w:tc>
          <w:tcPr>
            <w:tcW w:type="dxa" w:w="9972"/>
            <w:shd w:fill="F6F8F9"/>
          </w:tcPr>
          <w:p>
            <w:pPr>
              <w:spacing w:after="80"/>
            </w:pPr>
            <w:r>
              <w:rPr>
                <w:b/>
                <w:color w:val="0F3A5A"/>
                <w:sz w:val="21"/>
              </w:rPr>
              <w:t>Hinweis</w:t>
            </w:r>
          </w:p>
          <w:p>
            <w:pPr>
              <w:spacing w:after="0"/>
            </w:pPr>
            <w:r>
              <w:rPr>
                <w:sz w:val="19"/>
              </w:rPr>
              <w:t>Die Seitenzahlen werden im PDF korrekt angezeigt; die Inhaltsstruktur ist als statisches, bewusst schlichtes Verzeichnis angelegt.</w:t>
            </w:r>
          </w:p>
        </w:tc>
      </w:tr>
    </w:tbl>
    <w:p/>
    <w:p>
      <w:r>
        <w:br w:type="page"/>
      </w:r>
    </w:p>
    <w:p>
      <w:pPr>
        <w:pStyle w:val="Heading1"/>
      </w:pPr>
      <w:r>
        <w:t>1. Management Summary</w:t>
      </w:r>
    </w:p>
    <w:p>
      <w:r>
        <w:t>Aus den bisherigen Dokumenten und Projektchats ergibt sich ein klares Zielbild: Der SASD Desktop Secret Manager soll kein schlichter 1:1-Nachbau von Password Safe und keine bloße Passwortliste werden. Gesucht ist ein eigenständiger lokaler Secret Manager, der klassische Logins, technische Betriebszugänge und sicherheitsrelevante Kontextdaten sauber in mehreren voneinander unabhängigen verschlüsselten Tresoren verwaltet.</w:t>
      </w:r>
    </w:p>
    <w:p>
      <w:r>
        <w:t>Der fachliche Schwerpunkt liegt auf einem offline-first nutzbaren Windows-Desktop-Produkt. Die Anwendung muss mehrere Tresore, Gruppen, Untergruppen, Tags, Suche, strukturierte Zusatzfelder, sichere Anzeige- und Kopiermechanismen, belastbare Dateiverwaltung und eine realistische Interoperabilität zu Password Safe unterstützen. Das interne Datenmodell bleibt dabei führend; Fremdformate werden angebunden, dürfen aber das Produkt nicht fachlich einschränken.</w:t>
      </w:r>
    </w:p>
    <w:p>
      <w:r>
        <w:t>Neu gegenüber den älteren Fassungen wird die Verwaltung von HTTPS/TLS-Zertifikaten ausdrücklich als eigener Anwendungsfall aufgenommen. Zertifikate sollen nicht nur als Notiz oder beiläufiger Zertifikatsbezug auftauchen, sondern als strukturierter Secret-Kontext mit Domain, Common Name, Subject Alternative Names, Aussteller, Laufzeit, Fingerprint, Ablageort, Deployment-Ziel, privatem Schlüsselbezug und Erneuerungshinweisen modellierbar sein.</w:t>
      </w:r>
    </w:p>
    <w:tbl>
      <w:tblPr>
        <w:tblW w:type="auto" w:w="0"/>
        <w:jc w:val="center"/>
        <w:tblLook w:firstColumn="1" w:firstRow="1" w:lastColumn="0" w:lastRow="0" w:noHBand="0" w:noVBand="1" w:val="04A0"/>
        <w:tblBorders>
          <w:top w:val="single" w:sz="8" w:space="0" w:color="6B9AA6"/>
          <w:left w:val="single" w:sz="8" w:space="0" w:color="6B9AA6"/>
          <w:bottom w:val="single" w:sz="8" w:space="0" w:color="6B9AA6"/>
          <w:right w:val="single" w:sz="8" w:space="0" w:color="6B9AA6"/>
          <w:insideH w:val="single" w:sz="8" w:space="0" w:color="6B9AA6"/>
          <w:insideV w:val="single" w:sz="8" w:space="0" w:color="6B9AA6"/>
        </w:tblBorders>
      </w:tblPr>
      <w:tblGrid>
        <w:gridCol w:w="9972"/>
      </w:tblGrid>
      <w:tr>
        <w:tc>
          <w:tcPr>
            <w:tcW w:type="dxa" w:w="9972"/>
            <w:shd w:fill="EAF2F4"/>
          </w:tcPr>
          <w:p>
            <w:pPr>
              <w:spacing w:after="80"/>
            </w:pPr>
            <w:r>
              <w:rPr>
                <w:b/>
                <w:color w:val="0F3A5A"/>
                <w:sz w:val="21"/>
              </w:rPr>
              <w:t>Kernentscheidung</w:t>
            </w:r>
          </w:p>
          <w:p>
            <w:pPr>
              <w:spacing w:after="0"/>
            </w:pPr>
            <w:r>
              <w:rPr>
                <w:sz w:val="19"/>
              </w:rPr>
              <w:t>Das Produkt bleibt lokal, sicherheitsbewusst und für den Einzelplatz beziehungsweise die kleine SASD-Arbeitsumgebung optimiert. Team-Sharing, Cloud-Sync, Mobile-Clients und Browser-Autofill sind keine V1-Ziele. Sie dürfen später diskutiert werden, aber nicht den lokalen Kern verwässern.</w:t>
            </w:r>
          </w:p>
        </w:tc>
      </w:tr>
    </w:tbl>
    <w:p/>
    <w:p>
      <w:pPr>
        <w:pStyle w:val="Heading1"/>
      </w:pPr>
      <w:r>
        <w:t>2. Dokumentzweck und Quellenbasis</w:t>
      </w:r>
    </w:p>
    <w:p>
      <w:r>
        <w:t>Dieses Lastenheft beschreibt die fachlichen Anforderungen an das Zielprodukt. Es ist bewusst lösungsnah genug, um Missverständnisse bei Architektur und Umsetzung zu vermeiden, bleibt aber ein Lastenheft: Es beschreibt, was das Produkt leisten soll, warum es gebraucht wird und welche Grenzen gelten. Detaillierte technische Umsetzung, Klassenstruktur und konkrete Algorithmen gehören weiterhin in Pflichtenheft und Architekturdokument.</w:t>
      </w:r>
    </w:p>
    <w:p>
      <w:r>
        <w:t>Die Quellenbasis besteht aus den hochgeladenen Lastenheft-, Pflichtenheft-, Architektur-, Featuremap-, Roadmap- und Vergleichsdokumenten, dem aktuellen GitHub-Repository README sowie den relevanten Projektchats. Der bisherige Prototyp wird berücksichtigt, aber nicht mit dem Zielzustand verwechselt. Dieses Dokument ist damit eine Konsolidierung und redaktionelle Bereinigung, nicht nur eine Kopie einer früheren Fassung.</w:t>
      </w:r>
    </w:p>
    <w:p>
      <w:pPr>
        <w:pStyle w:val="ListBullet"/>
      </w:pPr>
      <w:r>
        <w:t>Frühere Lastenheft- und Architekturfassungen mit Fokus auf lokalem Secret Manager, Mehrtresor-Konzept und Password-Safe-Interop.</w:t>
      </w:r>
    </w:p>
    <w:p>
      <w:pPr>
        <w:pStyle w:val="ListBullet"/>
      </w:pPr>
      <w:r>
        <w:t>Fortgeschriebene Lastenheft- und Pflichtenheftfassung mit Versionsregister, bewussten Nicht-Zielen und Prototypstand.</w:t>
      </w:r>
    </w:p>
    <w:p>
      <w:pPr>
        <w:pStyle w:val="ListBullet"/>
      </w:pPr>
      <w:r>
        <w:t>Architekturdokument V1 mit Ist-/Soll-Abgleich des Repository-Stands.</w:t>
      </w:r>
    </w:p>
    <w:p>
      <w:pPr>
        <w:pStyle w:val="ListBullet"/>
      </w:pPr>
      <w:r>
        <w:t>Feature-Collation der betrachteten Passwortmanager als Inspirations- und Abgrenzungsquelle.</w:t>
      </w:r>
    </w:p>
    <w:p>
      <w:pPr>
        <w:pStyle w:val="ListBullet"/>
      </w:pPr>
      <w:r>
        <w:t>Roadmap und Projektchats mit später hinzugekommenen Punkten, insbesondere Recovery ohne Backdoor und HTTPS/TLS-Zertifikatsverwaltung.</w:t>
      </w:r>
    </w:p>
    <w:p>
      <w:pPr>
        <w:pStyle w:val="Heading1"/>
      </w:pPr>
      <w:r>
        <w:t>3. Ausgangssituation und Problemstellung</w:t>
      </w:r>
    </w:p>
    <w:p>
      <w:r>
        <w:t>Im SASD-Kontext werden nicht nur gewöhnliche Web-Logins verwaltet. Benötigt wird eine Anwendung für Hosting-Zugänge, Datenbankverbindungen, Webspace- und FTP/SFTP-Zugänge, Mail-Konten, GitHub-Zugänge, Server- und Infrastrukturzugriffe, API-Schlüssel, Lizenzschlüssel, technische Tokens, sichere Notizen sowie künftig strukturierte HTTPS/TLS-Zertifikatsinformationen. Ein Datensatz aus Titel, Benutzername und Passwort reicht dafür fachlich nicht aus.</w:t>
      </w:r>
    </w:p>
    <w:p>
      <w:r>
        <w:t>Die bisherigen Daten können organisatorisch sehr unterschiedlich sein: private Zugänge, SASD-interne Zugänge, providerbezogene Informationen wie IONOS, kundenbezogene Zugänge, Entwicklungs- und Produktionszugänge oder archivierte Bestände. Diese Inhalte dürfen nicht in einer einzigen ungeordneten Liste verschwinden. Sie benötigen getrennte Tresore, klare Gruppen, zusätzliche Tags und eine leistungsfähige Suche.</w:t>
      </w:r>
    </w:p>
    <w:p>
      <w:r>
        <w:t>Gleichzeitig existiert eine fachliche Nähe zu Bruce Schneiers Password Safe beziehungsweise PWSafe. Bestehende Daten und Nutzungsgewohnheiten sollen nicht ignoriert werden. Dennoch wäre ein starrer 1:1-Klon fachlich zu eng. Das Zielprodukt soll ehrliche Interoperabilität bieten, aber sein eigenes Datenmodell nicht auf die Grenzen eines Fremdformats reduzieren.</w:t>
      </w:r>
    </w:p>
    <w:p>
      <w:pPr>
        <w:pStyle w:val="Heading1"/>
      </w:pPr>
      <w:r>
        <w:t>4. Zielbild des Produkts</w:t>
      </w:r>
    </w:p>
    <w:p>
      <w:r>
        <w:t>Ziel ist eine lokal nutzbare Windows-Desktop-Anwendung, die verschlüsselte Tresore für Passwörter, Zugangsdaten, Tokens, Zertifikatsinformationen und strukturierte technische Secrets verwaltet. Jeder Tresor ist eine eigenständige Schutzdomäne mit eigenem Master-Passwort, eigener Datei, eigenen Metadaten und eigener organisatorischer Struktur.</w:t>
      </w:r>
    </w:p>
    <w:p>
      <w:r>
        <w:t>Ein Eintrag beschreibt einen primären Zugang oder ein primäres Secret fachlich sauber. Er kann über Typ, Titel, Benutzerkennung, Secret-Wert, Notizen, Gruppe, Tags und strukturierte Zusatzfelder so beschrieben werden, dass er im Alltag auffindbar und verständlich bleibt. Verwandte Zugänge werden über Gruppen, Tags und spätere Referenzen verbunden, nicht durch Vermischen mehrerer fachlicher Objekte in einem Sammeltext.</w:t>
      </w:r>
    </w:p>
    <w:p>
      <w:r>
        <w:t>Die Bedienung soll ruhig, professionell und technisch nachvollziehbar sein: links Tresor- und Gruppenstruktur, zentral Suche und Eintragsliste, rechts beziehungsweise in einem klaren Bereich Detailanzeige und sichere Copy-/Reveal-Aktionen. Kontextmenüs, Tastaturbedienung und Drag-and-Drop ergänzen den Ablauf, ohne die Oberfläche mit zu vielen Direktbuttons zu überladen.</w:t>
      </w:r>
    </w:p>
    <w:p>
      <w:pPr>
        <w:pStyle w:val="Heading1"/>
      </w:pPr>
      <w:r>
        <w:t>5. Einsatzkontext, Stakeholder und Schutzannahmen</w:t>
      </w:r>
    </w:p>
    <w:tbl>
      <w:tblPr>
        <w:tblStyle w:val="TableGrid"/>
        <w:tblW w:type="auto" w:w="0"/>
        <w:jc w:val="center"/>
        <w:tblLook w:firstColumn="1" w:firstRow="1" w:lastColumn="0" w:lastRow="0" w:noHBand="0" w:noVBand="1" w:val="04A0"/>
        <w:tblBorders>
          <w:top w:val="single" w:sz="6" w:space="0" w:color="A9BEC5"/>
          <w:left w:val="single" w:sz="6" w:space="0" w:color="A9BEC5"/>
          <w:bottom w:val="single" w:sz="6" w:space="0" w:color="A9BEC5"/>
          <w:right w:val="single" w:sz="6" w:space="0" w:color="A9BEC5"/>
          <w:insideH w:val="single" w:sz="6" w:space="0" w:color="A9BEC5"/>
          <w:insideV w:val="single" w:sz="6" w:space="0" w:color="A9BEC5"/>
        </w:tblBorders>
      </w:tblPr>
      <w:tblGrid>
        <w:gridCol w:w="4986"/>
        <w:gridCol w:w="4986"/>
      </w:tblGrid>
      <w:tr>
        <w:trPr>
          <w:tblHeader w:val="true"/>
          <w:cantSplit/>
        </w:trPr>
        <w:tc>
          <w:tcPr>
            <w:tcW w:type="dxa" w:w="4986"/>
            <w:shd w:fill="153A57"/>
            <w:vAlign w:val="top"/>
          </w:tcPr>
          <w:p>
            <w:pPr>
              <w:spacing w:after="0"/>
            </w:pPr>
            <w:r>
              <w:rPr>
                <w:b/>
                <w:color w:val="FFFFFF"/>
                <w:sz w:val="17"/>
              </w:rPr>
              <w:t>Aspekt</w:t>
            </w:r>
          </w:p>
        </w:tc>
        <w:tc>
          <w:tcPr>
            <w:tcW w:type="dxa" w:w="4986"/>
            <w:shd w:fill="153A57"/>
            <w:vAlign w:val="top"/>
          </w:tcPr>
          <w:p>
            <w:pPr>
              <w:spacing w:after="0"/>
            </w:pPr>
            <w:r>
              <w:rPr>
                <w:b/>
                <w:color w:val="FFFFFF"/>
                <w:sz w:val="17"/>
              </w:rPr>
              <w:t>Fachliche Einordnung</w:t>
            </w:r>
          </w:p>
        </w:tc>
      </w:tr>
      <w:tr>
        <w:trPr>
          <w:cantSplit/>
        </w:trPr>
        <w:tc>
          <w:tcPr>
            <w:tcW w:type="dxa" w:w="4986"/>
            <w:vAlign w:val="top"/>
          </w:tcPr>
          <w:p>
            <w:pPr>
              <w:spacing w:after="0"/>
            </w:pPr>
            <w:r>
              <w:rPr>
                <w:sz w:val="17"/>
              </w:rPr>
              <w:t>Primärer Einsatz</w:t>
            </w:r>
          </w:p>
        </w:tc>
        <w:tc>
          <w:tcPr>
            <w:tcW w:type="dxa" w:w="4986"/>
            <w:vAlign w:val="top"/>
          </w:tcPr>
          <w:p>
            <w:pPr>
              <w:spacing w:after="0"/>
            </w:pPr>
            <w:r>
              <w:rPr>
                <w:sz w:val="17"/>
              </w:rPr>
              <w:t>Lokaler Windows-Desktop, Einzelplatznutzung, offline-first, keine Pflicht zu Cloud-Konto oder Webdienst.</w:t>
            </w:r>
          </w:p>
        </w:tc>
      </w:tr>
      <w:tr>
        <w:trPr>
          <w:cantSplit/>
        </w:trPr>
        <w:tc>
          <w:tcPr>
            <w:tcW w:type="dxa" w:w="4986"/>
            <w:vAlign w:val="top"/>
          </w:tcPr>
          <w:p>
            <w:pPr>
              <w:spacing w:after="0"/>
            </w:pPr>
            <w:r>
              <w:rPr>
                <w:sz w:val="17"/>
              </w:rPr>
              <w:t>Nutzerkreis</w:t>
            </w:r>
          </w:p>
        </w:tc>
        <w:tc>
          <w:tcPr>
            <w:tcW w:type="dxa" w:w="4986"/>
            <w:vAlign w:val="top"/>
          </w:tcPr>
          <w:p>
            <w:pPr>
              <w:spacing w:after="0"/>
            </w:pPr>
            <w:r>
              <w:rPr>
                <w:sz w:val="17"/>
              </w:rPr>
              <w:t>Technisch versierter Einzelanwender, SASD-GmbH-nahe Arbeit, später ggf. kleine interne Nutzung oder vorbereitete Firmenprozesse.</w:t>
            </w:r>
          </w:p>
        </w:tc>
      </w:tr>
      <w:tr>
        <w:trPr>
          <w:cantSplit/>
        </w:trPr>
        <w:tc>
          <w:tcPr>
            <w:tcW w:type="dxa" w:w="4986"/>
            <w:vAlign w:val="top"/>
          </w:tcPr>
          <w:p>
            <w:pPr>
              <w:spacing w:after="0"/>
            </w:pPr>
            <w:r>
              <w:rPr>
                <w:sz w:val="17"/>
              </w:rPr>
              <w:t>Datenarten</w:t>
            </w:r>
          </w:p>
        </w:tc>
        <w:tc>
          <w:tcPr>
            <w:tcW w:type="dxa" w:w="4986"/>
            <w:vAlign w:val="top"/>
          </w:tcPr>
          <w:p>
            <w:pPr>
              <w:spacing w:after="0"/>
            </w:pPr>
            <w:r>
              <w:rPr>
                <w:sz w:val="17"/>
              </w:rPr>
              <w:t>Private, SASD-interne, providerbezogene, kundenbezogene und archivierte Geheimnisse und Zugangsinformationen.</w:t>
            </w:r>
          </w:p>
        </w:tc>
      </w:tr>
      <w:tr>
        <w:trPr>
          <w:cantSplit/>
        </w:trPr>
        <w:tc>
          <w:tcPr>
            <w:tcW w:type="dxa" w:w="4986"/>
            <w:vAlign w:val="top"/>
          </w:tcPr>
          <w:p>
            <w:pPr>
              <w:spacing w:after="0"/>
            </w:pPr>
            <w:r>
              <w:rPr>
                <w:sz w:val="17"/>
              </w:rPr>
              <w:t>Schutzannahme</w:t>
            </w:r>
          </w:p>
        </w:tc>
        <w:tc>
          <w:tcPr>
            <w:tcW w:type="dxa" w:w="4986"/>
            <w:vAlign w:val="top"/>
          </w:tcPr>
          <w:p>
            <w:pPr>
              <w:spacing w:after="0"/>
            </w:pPr>
            <w:r>
              <w:rPr>
                <w:sz w:val="17"/>
              </w:rPr>
              <w:t>Das Betriebssystem gilt grundsätzlich als vertrauenswürdig. Gegen vollständig kompromittierte Hosts, Keylogger oder aggressive Malware kann die Anwendung allein keinen vollständigen Schutz versprechen.</w:t>
            </w:r>
          </w:p>
        </w:tc>
      </w:tr>
      <w:tr>
        <w:trPr>
          <w:cantSplit/>
        </w:trPr>
        <w:tc>
          <w:tcPr>
            <w:tcW w:type="dxa" w:w="4986"/>
            <w:vAlign w:val="top"/>
          </w:tcPr>
          <w:p>
            <w:pPr>
              <w:spacing w:after="0"/>
            </w:pPr>
            <w:r>
              <w:rPr>
                <w:sz w:val="17"/>
              </w:rPr>
              <w:t>Produktcharakter</w:t>
            </w:r>
          </w:p>
        </w:tc>
        <w:tc>
          <w:tcPr>
            <w:tcW w:type="dxa" w:w="4986"/>
            <w:vAlign w:val="top"/>
          </w:tcPr>
          <w:p>
            <w:pPr>
              <w:spacing w:after="0"/>
            </w:pPr>
            <w:r>
              <w:rPr>
                <w:sz w:val="17"/>
              </w:rPr>
              <w:t>Sicherheitsrelevantes Arbeitsprodukt mit Prototyp-/Entwicklungsstand; keine Freigabe für alleinige produktive Verwaltung echter kritischer Secrets vor V1-Härtung.</w:t>
            </w:r>
          </w:p>
        </w:tc>
      </w:tr>
    </w:tbl>
    <w:p/>
    <w:p>
      <w:pPr>
        <w:pStyle w:val="Heading1"/>
      </w:pPr>
      <w:r>
        <w:t>6. Fachlicher Leistungsumfang</w:t>
      </w:r>
    </w:p>
    <w:p>
      <w:pPr>
        <w:pStyle w:val="Heading2"/>
      </w:pPr>
      <w:r>
        <w:t>6.1 Gegenstand der Verwaltung</w:t>
      </w:r>
    </w:p>
    <w:p>
      <w:r>
        <w:t>Die Anwendung muss klassische und technische Secret-Kontexte verwalten. Dazu gehören mindestens Logins, Datenbankverbindungen, Mail-Konten, Hosting-Zugänge, FTP/SFTP-Zugänge, Server- und Infrastrukturzugänge, API-Schlüssel, Lizenzinformationen, sichere Notizen, frei definierte Custom-Einträge und HTTPS/TLS-Zertifikatskontexte.</w:t>
      </w:r>
    </w:p>
    <w:tbl>
      <w:tblPr>
        <w:tblStyle w:val="TableGrid"/>
        <w:tblW w:type="auto" w:w="0"/>
        <w:jc w:val="center"/>
        <w:tblLook w:firstColumn="1" w:firstRow="1" w:lastColumn="0" w:lastRow="0" w:noHBand="0" w:noVBand="1" w:val="04A0"/>
        <w:tblBorders>
          <w:top w:val="single" w:sz="6" w:space="0" w:color="A9BEC5"/>
          <w:left w:val="single" w:sz="6" w:space="0" w:color="A9BEC5"/>
          <w:bottom w:val="single" w:sz="6" w:space="0" w:color="A9BEC5"/>
          <w:right w:val="single" w:sz="6" w:space="0" w:color="A9BEC5"/>
          <w:insideH w:val="single" w:sz="6" w:space="0" w:color="A9BEC5"/>
          <w:insideV w:val="single" w:sz="6" w:space="0" w:color="A9BEC5"/>
        </w:tblBorders>
      </w:tblPr>
      <w:tblGrid>
        <w:gridCol w:w="4986"/>
        <w:gridCol w:w="4986"/>
      </w:tblGrid>
      <w:tr>
        <w:trPr>
          <w:tblHeader w:val="true"/>
          <w:cantSplit/>
        </w:trPr>
        <w:tc>
          <w:tcPr>
            <w:tcW w:type="dxa" w:w="4986"/>
            <w:shd w:fill="153A57"/>
            <w:vAlign w:val="top"/>
          </w:tcPr>
          <w:p>
            <w:pPr>
              <w:spacing w:after="0"/>
            </w:pPr>
            <w:r>
              <w:rPr>
                <w:b/>
                <w:color w:val="FFFFFF"/>
                <w:sz w:val="17"/>
              </w:rPr>
              <w:t>Secret-Kontext</w:t>
            </w:r>
          </w:p>
        </w:tc>
        <w:tc>
          <w:tcPr>
            <w:tcW w:type="dxa" w:w="4986"/>
            <w:shd w:fill="153A57"/>
            <w:vAlign w:val="top"/>
          </w:tcPr>
          <w:p>
            <w:pPr>
              <w:spacing w:after="0"/>
            </w:pPr>
            <w:r>
              <w:rPr>
                <w:b/>
                <w:color w:val="FFFFFF"/>
                <w:sz w:val="17"/>
              </w:rPr>
              <w:t>Typische fachliche Informationen</w:t>
            </w:r>
          </w:p>
        </w:tc>
      </w:tr>
      <w:tr>
        <w:trPr>
          <w:cantSplit/>
        </w:trPr>
        <w:tc>
          <w:tcPr>
            <w:tcW w:type="dxa" w:w="4986"/>
            <w:vAlign w:val="top"/>
          </w:tcPr>
          <w:p>
            <w:pPr>
              <w:spacing w:after="0"/>
            </w:pPr>
            <w:r>
              <w:rPr>
                <w:sz w:val="17"/>
              </w:rPr>
              <w:t>Login</w:t>
            </w:r>
          </w:p>
        </w:tc>
        <w:tc>
          <w:tcPr>
            <w:tcW w:type="dxa" w:w="4986"/>
            <w:vAlign w:val="top"/>
          </w:tcPr>
          <w:p>
            <w:pPr>
              <w:spacing w:after="0"/>
            </w:pPr>
            <w:r>
              <w:rPr>
                <w:sz w:val="17"/>
              </w:rPr>
              <w:t>URL, Benutzername, Passwort, Notizen, 2FA-Hinweise, betroffener Dienst.</w:t>
            </w:r>
          </w:p>
        </w:tc>
      </w:tr>
      <w:tr>
        <w:trPr>
          <w:cantSplit/>
        </w:trPr>
        <w:tc>
          <w:tcPr>
            <w:tcW w:type="dxa" w:w="4986"/>
            <w:vAlign w:val="top"/>
          </w:tcPr>
          <w:p>
            <w:pPr>
              <w:spacing w:after="0"/>
            </w:pPr>
            <w:r>
              <w:rPr>
                <w:sz w:val="17"/>
              </w:rPr>
              <w:t>Datenbank</w:t>
            </w:r>
          </w:p>
        </w:tc>
        <w:tc>
          <w:tcPr>
            <w:tcW w:type="dxa" w:w="4986"/>
            <w:vAlign w:val="top"/>
          </w:tcPr>
          <w:p>
            <w:pPr>
              <w:spacing w:after="0"/>
            </w:pPr>
            <w:r>
              <w:rPr>
                <w:sz w:val="17"/>
              </w:rPr>
              <w:t>Host, Port, Datenbankname, Schema, Benutzer, Passwort, SSL/TLS-Hinweis, Umgebung.</w:t>
            </w:r>
          </w:p>
        </w:tc>
      </w:tr>
      <w:tr>
        <w:trPr>
          <w:cantSplit/>
        </w:trPr>
        <w:tc>
          <w:tcPr>
            <w:tcW w:type="dxa" w:w="4986"/>
            <w:vAlign w:val="top"/>
          </w:tcPr>
          <w:p>
            <w:pPr>
              <w:spacing w:after="0"/>
            </w:pPr>
            <w:r>
              <w:rPr>
                <w:sz w:val="17"/>
              </w:rPr>
              <w:t>Mail</w:t>
            </w:r>
          </w:p>
        </w:tc>
        <w:tc>
          <w:tcPr>
            <w:tcW w:type="dxa" w:w="4986"/>
            <w:vAlign w:val="top"/>
          </w:tcPr>
          <w:p>
            <w:pPr>
              <w:spacing w:after="0"/>
            </w:pPr>
            <w:r>
              <w:rPr>
                <w:sz w:val="17"/>
              </w:rPr>
              <w:t>E-Mail-Adresse, IMAP/SMTP-Hosts, Ports, TLS-Einstellung, Benutzername, Passwort.</w:t>
            </w:r>
          </w:p>
        </w:tc>
      </w:tr>
      <w:tr>
        <w:trPr>
          <w:cantSplit/>
        </w:trPr>
        <w:tc>
          <w:tcPr>
            <w:tcW w:type="dxa" w:w="4986"/>
            <w:vAlign w:val="top"/>
          </w:tcPr>
          <w:p>
            <w:pPr>
              <w:spacing w:after="0"/>
            </w:pPr>
            <w:r>
              <w:rPr>
                <w:sz w:val="17"/>
              </w:rPr>
              <w:t>Hosting/Webspace</w:t>
            </w:r>
          </w:p>
        </w:tc>
        <w:tc>
          <w:tcPr>
            <w:tcW w:type="dxa" w:w="4986"/>
            <w:vAlign w:val="top"/>
          </w:tcPr>
          <w:p>
            <w:pPr>
              <w:spacing w:after="0"/>
            </w:pPr>
            <w:r>
              <w:rPr>
                <w:sz w:val="17"/>
              </w:rPr>
              <w:t>Provider, Paket, Login, Zielsystem, Vertrags-/Kundenbezug, technische Notizen.</w:t>
            </w:r>
          </w:p>
        </w:tc>
      </w:tr>
      <w:tr>
        <w:trPr>
          <w:cantSplit/>
        </w:trPr>
        <w:tc>
          <w:tcPr>
            <w:tcW w:type="dxa" w:w="4986"/>
            <w:vAlign w:val="top"/>
          </w:tcPr>
          <w:p>
            <w:pPr>
              <w:spacing w:after="0"/>
            </w:pPr>
            <w:r>
              <w:rPr>
                <w:sz w:val="17"/>
              </w:rPr>
              <w:t>FTP/SFTP</w:t>
            </w:r>
          </w:p>
        </w:tc>
        <w:tc>
          <w:tcPr>
            <w:tcW w:type="dxa" w:w="4986"/>
            <w:vAlign w:val="top"/>
          </w:tcPr>
          <w:p>
            <w:pPr>
              <w:spacing w:after="0"/>
            </w:pPr>
            <w:r>
              <w:rPr>
                <w:sz w:val="17"/>
              </w:rPr>
              <w:t>Host, Port, Protokoll, Benutzer, Passwort oder Schlüsselhinweis, Zielpfad.</w:t>
            </w:r>
          </w:p>
        </w:tc>
      </w:tr>
      <w:tr>
        <w:trPr>
          <w:cantSplit/>
        </w:trPr>
        <w:tc>
          <w:tcPr>
            <w:tcW w:type="dxa" w:w="4986"/>
            <w:vAlign w:val="top"/>
          </w:tcPr>
          <w:p>
            <w:pPr>
              <w:spacing w:after="0"/>
            </w:pPr>
            <w:r>
              <w:rPr>
                <w:sz w:val="17"/>
              </w:rPr>
              <w:t>Server/Infrastruktur</w:t>
            </w:r>
          </w:p>
        </w:tc>
        <w:tc>
          <w:tcPr>
            <w:tcW w:type="dxa" w:w="4986"/>
            <w:vAlign w:val="top"/>
          </w:tcPr>
          <w:p>
            <w:pPr>
              <w:spacing w:after="0"/>
            </w:pPr>
            <w:r>
              <w:rPr>
                <w:sz w:val="17"/>
              </w:rPr>
              <w:t>Hostname/IP, Protokoll, Port, Rolle, Umgebung, Benutzer, Passwort oder Schlüsselbezug.</w:t>
            </w:r>
          </w:p>
        </w:tc>
      </w:tr>
      <w:tr>
        <w:trPr>
          <w:cantSplit/>
        </w:trPr>
        <w:tc>
          <w:tcPr>
            <w:tcW w:type="dxa" w:w="4986"/>
            <w:vAlign w:val="top"/>
          </w:tcPr>
          <w:p>
            <w:pPr>
              <w:spacing w:after="0"/>
            </w:pPr>
            <w:r>
              <w:rPr>
                <w:sz w:val="17"/>
              </w:rPr>
              <w:t>API/Token</w:t>
            </w:r>
          </w:p>
        </w:tc>
        <w:tc>
          <w:tcPr>
            <w:tcW w:type="dxa" w:w="4986"/>
            <w:vAlign w:val="top"/>
          </w:tcPr>
          <w:p>
            <w:pPr>
              <w:spacing w:after="0"/>
            </w:pPr>
            <w:r>
              <w:rPr>
                <w:sz w:val="17"/>
              </w:rPr>
              <w:t>Endpoint, Client-ID, Secret, Token, Scope, Ablaufdatum, verantwortliches System.</w:t>
            </w:r>
          </w:p>
        </w:tc>
      </w:tr>
      <w:tr>
        <w:trPr>
          <w:cantSplit/>
        </w:trPr>
        <w:tc>
          <w:tcPr>
            <w:tcW w:type="dxa" w:w="4986"/>
            <w:vAlign w:val="top"/>
          </w:tcPr>
          <w:p>
            <w:pPr>
              <w:spacing w:after="0"/>
            </w:pPr>
            <w:r>
              <w:rPr>
                <w:sz w:val="17"/>
              </w:rPr>
              <w:t>Lizenz</w:t>
            </w:r>
          </w:p>
        </w:tc>
        <w:tc>
          <w:tcPr>
            <w:tcW w:type="dxa" w:w="4986"/>
            <w:vAlign w:val="top"/>
          </w:tcPr>
          <w:p>
            <w:pPr>
              <w:spacing w:after="0"/>
            </w:pPr>
            <w:r>
              <w:rPr>
                <w:sz w:val="17"/>
              </w:rPr>
              <w:t>Produkt, Lizenzschlüssel, Hersteller, Ablaufdatum, Vertragsbezug, Nutzer-/Gerätezuordnung.</w:t>
            </w:r>
          </w:p>
        </w:tc>
      </w:tr>
      <w:tr>
        <w:trPr>
          <w:cantSplit/>
        </w:trPr>
        <w:tc>
          <w:tcPr>
            <w:tcW w:type="dxa" w:w="4986"/>
            <w:vAlign w:val="top"/>
          </w:tcPr>
          <w:p>
            <w:pPr>
              <w:spacing w:after="0"/>
            </w:pPr>
            <w:r>
              <w:rPr>
                <w:sz w:val="17"/>
              </w:rPr>
              <w:t>HTTPS/TLS-Zertifikat</w:t>
            </w:r>
          </w:p>
        </w:tc>
        <w:tc>
          <w:tcPr>
            <w:tcW w:type="dxa" w:w="4986"/>
            <w:vAlign w:val="top"/>
          </w:tcPr>
          <w:p>
            <w:pPr>
              <w:spacing w:after="0"/>
            </w:pPr>
            <w:r>
              <w:rPr>
                <w:sz w:val="17"/>
              </w:rPr>
              <w:t>Domain/CN, SANs, Aussteller, Seriennummer, Fingerprint, Laufzeit, privater Schlüsselbezug, PFX/PEM/CRT-Hinweis, Deployment-Ort, Erneuerung.</w:t>
            </w:r>
          </w:p>
        </w:tc>
      </w:tr>
      <w:tr>
        <w:trPr>
          <w:cantSplit/>
        </w:trPr>
        <w:tc>
          <w:tcPr>
            <w:tcW w:type="dxa" w:w="4986"/>
            <w:vAlign w:val="top"/>
          </w:tcPr>
          <w:p>
            <w:pPr>
              <w:spacing w:after="0"/>
            </w:pPr>
            <w:r>
              <w:rPr>
                <w:sz w:val="17"/>
              </w:rPr>
              <w:t>Secure Note / Custom</w:t>
            </w:r>
          </w:p>
        </w:tc>
        <w:tc>
          <w:tcPr>
            <w:tcW w:type="dxa" w:w="4986"/>
            <w:vAlign w:val="top"/>
          </w:tcPr>
          <w:p>
            <w:pPr>
              <w:spacing w:after="0"/>
            </w:pPr>
            <w:r>
              <w:rPr>
                <w:sz w:val="17"/>
              </w:rPr>
              <w:t>Freie sicherheitsrelevante Informationen, die nicht sinnvoll in eines der Standardmuster passen.</w:t>
            </w:r>
          </w:p>
        </w:tc>
      </w:tr>
    </w:tbl>
    <w:p/>
    <w:p>
      <w:pPr>
        <w:pStyle w:val="Heading2"/>
      </w:pPr>
      <w:r>
        <w:t>6.2 HTTPS/TLS-Zertifikatsverwaltung</w:t>
      </w:r>
    </w:p>
    <w:p>
      <w:r>
        <w:t>Die Zertifikatsverwaltung wird als eigener fachlicher Themenbereich aufgenommen. Ziel ist nicht sofort eine vollständige PKI- oder ACME-Verwaltung, sondern zunächst die saubere Erfassung und Wiederauffindbarkeit von Zertifikatsinformationen im Kontext von Servern, Domains, Webspace und Anwendungen. Ein Zertifikatseintrag darf deshalb nicht nur aus einer Notiz bestehen, sondern benötigt strukturierte Felder.</w:t>
      </w:r>
    </w:p>
    <w:tbl>
      <w:tblPr>
        <w:tblStyle w:val="TableGrid"/>
        <w:tblW w:type="auto" w:w="0"/>
        <w:jc w:val="center"/>
        <w:tblLook w:firstColumn="1" w:firstRow="1" w:lastColumn="0" w:lastRow="0" w:noHBand="0" w:noVBand="1" w:val="04A0"/>
        <w:tblBorders>
          <w:top w:val="single" w:sz="6" w:space="0" w:color="A9BEC5"/>
          <w:left w:val="single" w:sz="6" w:space="0" w:color="A9BEC5"/>
          <w:bottom w:val="single" w:sz="6" w:space="0" w:color="A9BEC5"/>
          <w:right w:val="single" w:sz="6" w:space="0" w:color="A9BEC5"/>
          <w:insideH w:val="single" w:sz="6" w:space="0" w:color="A9BEC5"/>
          <w:insideV w:val="single" w:sz="6" w:space="0" w:color="A9BEC5"/>
        </w:tblBorders>
      </w:tblPr>
      <w:tblGrid>
        <w:gridCol w:w="4986"/>
        <w:gridCol w:w="4986"/>
      </w:tblGrid>
      <w:tr>
        <w:trPr>
          <w:tblHeader w:val="true"/>
          <w:cantSplit/>
        </w:trPr>
        <w:tc>
          <w:tcPr>
            <w:tcW w:type="dxa" w:w="4986"/>
            <w:shd w:fill="153A57"/>
            <w:vAlign w:val="top"/>
          </w:tcPr>
          <w:p>
            <w:pPr>
              <w:spacing w:after="0"/>
            </w:pPr>
            <w:r>
              <w:rPr>
                <w:b/>
                <w:color w:val="FFFFFF"/>
                <w:sz w:val="17"/>
              </w:rPr>
              <w:t>Feldgruppe</w:t>
            </w:r>
          </w:p>
        </w:tc>
        <w:tc>
          <w:tcPr>
            <w:tcW w:type="dxa" w:w="4986"/>
            <w:shd w:fill="153A57"/>
            <w:vAlign w:val="top"/>
          </w:tcPr>
          <w:p>
            <w:pPr>
              <w:spacing w:after="0"/>
            </w:pPr>
            <w:r>
              <w:rPr>
                <w:b/>
                <w:color w:val="FFFFFF"/>
                <w:sz w:val="17"/>
              </w:rPr>
              <w:t>Muss/Soll-Inhalte</w:t>
            </w:r>
          </w:p>
        </w:tc>
      </w:tr>
      <w:tr>
        <w:trPr>
          <w:cantSplit/>
        </w:trPr>
        <w:tc>
          <w:tcPr>
            <w:tcW w:type="dxa" w:w="4986"/>
            <w:vAlign w:val="top"/>
          </w:tcPr>
          <w:p>
            <w:pPr>
              <w:spacing w:after="0"/>
            </w:pPr>
            <w:r>
              <w:rPr>
                <w:sz w:val="17"/>
              </w:rPr>
              <w:t>Identität</w:t>
            </w:r>
          </w:p>
        </w:tc>
        <w:tc>
          <w:tcPr>
            <w:tcW w:type="dxa" w:w="4986"/>
            <w:vAlign w:val="top"/>
          </w:tcPr>
          <w:p>
            <w:pPr>
              <w:spacing w:after="0"/>
            </w:pPr>
            <w:r>
              <w:rPr>
                <w:sz w:val="17"/>
              </w:rPr>
              <w:t>Anzeigename, Zertifikatstyp, Domain, Common Name, Subject Alternative Names, Wildcard-Kennzeichnung.</w:t>
            </w:r>
          </w:p>
        </w:tc>
      </w:tr>
      <w:tr>
        <w:trPr>
          <w:cantSplit/>
        </w:trPr>
        <w:tc>
          <w:tcPr>
            <w:tcW w:type="dxa" w:w="4986"/>
            <w:vAlign w:val="top"/>
          </w:tcPr>
          <w:p>
            <w:pPr>
              <w:spacing w:after="0"/>
            </w:pPr>
            <w:r>
              <w:rPr>
                <w:sz w:val="17"/>
              </w:rPr>
              <w:t>Aussteller und Laufzeit</w:t>
            </w:r>
          </w:p>
        </w:tc>
        <w:tc>
          <w:tcPr>
            <w:tcW w:type="dxa" w:w="4986"/>
            <w:vAlign w:val="top"/>
          </w:tcPr>
          <w:p>
            <w:pPr>
              <w:spacing w:after="0"/>
            </w:pPr>
            <w:r>
              <w:rPr>
                <w:sz w:val="17"/>
              </w:rPr>
              <w:t>Issuer/CA, Seriennummer, Fingerprint/Thumbprint, gültig von, gültig bis, Erneuerungsfrist.</w:t>
            </w:r>
          </w:p>
        </w:tc>
      </w:tr>
      <w:tr>
        <w:trPr>
          <w:cantSplit/>
        </w:trPr>
        <w:tc>
          <w:tcPr>
            <w:tcW w:type="dxa" w:w="4986"/>
            <w:vAlign w:val="top"/>
          </w:tcPr>
          <w:p>
            <w:pPr>
              <w:spacing w:after="0"/>
            </w:pPr>
            <w:r>
              <w:rPr>
                <w:sz w:val="17"/>
              </w:rPr>
              <w:t>Technische Ablage</w:t>
            </w:r>
          </w:p>
        </w:tc>
        <w:tc>
          <w:tcPr>
            <w:tcW w:type="dxa" w:w="4986"/>
            <w:vAlign w:val="top"/>
          </w:tcPr>
          <w:p>
            <w:pPr>
              <w:spacing w:after="0"/>
            </w:pPr>
            <w:r>
              <w:rPr>
                <w:sz w:val="17"/>
              </w:rPr>
              <w:t>Format-Hinweis wie PEM/CRT/CER/PFX/P12, Dateipfad oder Speicherort, Deployment-Ziel, Server/Hosting-Bezug.</w:t>
            </w:r>
          </w:p>
        </w:tc>
      </w:tr>
      <w:tr>
        <w:trPr>
          <w:cantSplit/>
        </w:trPr>
        <w:tc>
          <w:tcPr>
            <w:tcW w:type="dxa" w:w="4986"/>
            <w:vAlign w:val="top"/>
          </w:tcPr>
          <w:p>
            <w:pPr>
              <w:spacing w:after="0"/>
            </w:pPr>
            <w:r>
              <w:rPr>
                <w:sz w:val="17"/>
              </w:rPr>
              <w:t>Geheime Bestandteile</w:t>
            </w:r>
          </w:p>
        </w:tc>
        <w:tc>
          <w:tcPr>
            <w:tcW w:type="dxa" w:w="4986"/>
            <w:vAlign w:val="top"/>
          </w:tcPr>
          <w:p>
            <w:pPr>
              <w:spacing w:after="0"/>
            </w:pPr>
            <w:r>
              <w:rPr>
                <w:sz w:val="17"/>
              </w:rPr>
              <w:t>Privater Schlüssel, PFX/P12-Passwort, Key-Passphrase oder Zugriffsdaten nur als geheime Felder oder später als verschlüsselte Anhänge.</w:t>
            </w:r>
          </w:p>
        </w:tc>
      </w:tr>
      <w:tr>
        <w:trPr>
          <w:cantSplit/>
        </w:trPr>
        <w:tc>
          <w:tcPr>
            <w:tcW w:type="dxa" w:w="4986"/>
            <w:vAlign w:val="top"/>
          </w:tcPr>
          <w:p>
            <w:pPr>
              <w:spacing w:after="0"/>
            </w:pPr>
            <w:r>
              <w:rPr>
                <w:sz w:val="17"/>
              </w:rPr>
              <w:t>Beziehungen</w:t>
            </w:r>
          </w:p>
        </w:tc>
        <w:tc>
          <w:tcPr>
            <w:tcW w:type="dxa" w:w="4986"/>
            <w:vAlign w:val="top"/>
          </w:tcPr>
          <w:p>
            <w:pPr>
              <w:spacing w:after="0"/>
            </w:pPr>
            <w:r>
              <w:rPr>
                <w:sz w:val="17"/>
              </w:rPr>
              <w:t>Verknüpfung zu Server-, Hosting-, Domain-, Mail- oder API-Einträgen, damit ersichtlich bleibt, wo das Zertifikat verwendet wird.</w:t>
            </w:r>
          </w:p>
        </w:tc>
      </w:tr>
      <w:tr>
        <w:trPr>
          <w:cantSplit/>
        </w:trPr>
        <w:tc>
          <w:tcPr>
            <w:tcW w:type="dxa" w:w="4986"/>
            <w:vAlign w:val="top"/>
          </w:tcPr>
          <w:p>
            <w:pPr>
              <w:spacing w:after="0"/>
            </w:pPr>
            <w:r>
              <w:rPr>
                <w:sz w:val="17"/>
              </w:rPr>
              <w:t>Betrieb</w:t>
            </w:r>
          </w:p>
        </w:tc>
        <w:tc>
          <w:tcPr>
            <w:tcW w:type="dxa" w:w="4986"/>
            <w:vAlign w:val="top"/>
          </w:tcPr>
          <w:p>
            <w:pPr>
              <w:spacing w:after="0"/>
            </w:pPr>
            <w:r>
              <w:rPr>
                <w:sz w:val="17"/>
              </w:rPr>
              <w:t>Verantwortlicher, Erneuerungsverfahren, letzter Austausch, nächster Prüftermin, Hinweise zu Test-/Produktionsumgebungen.</w:t>
            </w:r>
          </w:p>
        </w:tc>
      </w:tr>
    </w:tbl>
    <w:p/>
    <w:tbl>
      <w:tblPr>
        <w:tblW w:type="auto" w:w="0"/>
        <w:jc w:val="center"/>
        <w:tblLook w:firstColumn="1" w:firstRow="1" w:lastColumn="0" w:lastRow="0" w:noHBand="0" w:noVBand="1" w:val="04A0"/>
        <w:tblBorders>
          <w:top w:val="single" w:sz="8" w:space="0" w:color="6B9AA6"/>
          <w:left w:val="single" w:sz="8" w:space="0" w:color="6B9AA6"/>
          <w:bottom w:val="single" w:sz="8" w:space="0" w:color="6B9AA6"/>
          <w:right w:val="single" w:sz="8" w:space="0" w:color="6B9AA6"/>
          <w:insideH w:val="single" w:sz="8" w:space="0" w:color="6B9AA6"/>
          <w:insideV w:val="single" w:sz="8" w:space="0" w:color="6B9AA6"/>
        </w:tblBorders>
      </w:tblPr>
      <w:tblGrid>
        <w:gridCol w:w="9972"/>
      </w:tblGrid>
      <w:tr>
        <w:tc>
          <w:tcPr>
            <w:tcW w:type="dxa" w:w="9972"/>
            <w:shd w:fill="EAF2F4"/>
          </w:tcPr>
          <w:p>
            <w:pPr>
              <w:spacing w:after="80"/>
            </w:pPr>
            <w:r>
              <w:rPr>
                <w:b/>
                <w:color w:val="0F3A5A"/>
                <w:sz w:val="21"/>
              </w:rPr>
              <w:t>Abgrenzung Zertifikate</w:t>
            </w:r>
          </w:p>
          <w:p>
            <w:pPr>
              <w:spacing w:after="0"/>
            </w:pPr>
            <w:r>
              <w:rPr>
                <w:sz w:val="19"/>
              </w:rPr>
              <w:t>V1 soll Zertifikate strukturiert beschreiben und geheime Bestandteile sicher behandeln können. Automatische Zertifikatserneuerung, ACME-Client-Funktionen, vollständige PKI-Verwaltung, Certificate Transparency Monitoring und automatische Server-Deployments sind spätere Themen und keine V1-Kernanforderung.</w:t>
            </w:r>
          </w:p>
        </w:tc>
      </w:tr>
    </w:tbl>
    <w:p/>
    <w:p>
      <w:pPr>
        <w:pStyle w:val="Heading1"/>
      </w:pPr>
      <w:r>
        <w:t>7. Fachliches Datenmodell</w:t>
      </w:r>
    </w:p>
    <w:p>
      <w:r>
        <w:t>Das interne Datenmodell ist führend. Es muss genug Struktur bieten, damit technische Secrets nicht in Freitext verschwinden, darf den Nutzer aber nicht in starre Spezialdialoge zwingen. Der Kern besteht aus Vault, Entry, Group, Tag, CustomField und später optionalen Relationship-/Attachment-Konzepten.</w:t>
      </w:r>
    </w:p>
    <w:tbl>
      <w:tblPr>
        <w:tblStyle w:val="TableGrid"/>
        <w:tblW w:type="auto" w:w="0"/>
        <w:jc w:val="center"/>
        <w:tblLook w:firstColumn="1" w:firstRow="1" w:lastColumn="0" w:lastRow="0" w:noHBand="0" w:noVBand="1" w:val="04A0"/>
        <w:tblBorders>
          <w:top w:val="single" w:sz="6" w:space="0" w:color="A9BEC5"/>
          <w:left w:val="single" w:sz="6" w:space="0" w:color="A9BEC5"/>
          <w:bottom w:val="single" w:sz="6" w:space="0" w:color="A9BEC5"/>
          <w:right w:val="single" w:sz="6" w:space="0" w:color="A9BEC5"/>
          <w:insideH w:val="single" w:sz="6" w:space="0" w:color="A9BEC5"/>
          <w:insideV w:val="single" w:sz="6" w:space="0" w:color="A9BEC5"/>
        </w:tblBorders>
      </w:tblPr>
      <w:tblGrid>
        <w:gridCol w:w="3324"/>
        <w:gridCol w:w="3324"/>
        <w:gridCol w:w="3324"/>
      </w:tblGrid>
      <w:tr>
        <w:trPr>
          <w:tblHeader w:val="true"/>
          <w:cantSplit/>
        </w:trPr>
        <w:tc>
          <w:tcPr>
            <w:tcW w:type="dxa" w:w="3324"/>
            <w:shd w:fill="153A57"/>
            <w:vAlign w:val="top"/>
          </w:tcPr>
          <w:p>
            <w:pPr>
              <w:spacing w:after="0"/>
            </w:pPr>
            <w:r>
              <w:rPr>
                <w:b/>
                <w:color w:val="FFFFFF"/>
                <w:sz w:val="17"/>
              </w:rPr>
              <w:t>Fachobjekt</w:t>
            </w:r>
          </w:p>
        </w:tc>
        <w:tc>
          <w:tcPr>
            <w:tcW w:type="dxa" w:w="3324"/>
            <w:shd w:fill="153A57"/>
            <w:vAlign w:val="top"/>
          </w:tcPr>
          <w:p>
            <w:pPr>
              <w:spacing w:after="0"/>
            </w:pPr>
            <w:r>
              <w:rPr>
                <w:b/>
                <w:color w:val="FFFFFF"/>
                <w:sz w:val="17"/>
              </w:rPr>
              <w:t>Beschreibung</w:t>
            </w:r>
          </w:p>
        </w:tc>
        <w:tc>
          <w:tcPr>
            <w:tcW w:type="dxa" w:w="3324"/>
            <w:shd w:fill="153A57"/>
            <w:vAlign w:val="top"/>
          </w:tcPr>
          <w:p>
            <w:pPr>
              <w:spacing w:after="0"/>
            </w:pPr>
            <w:r>
              <w:rPr>
                <w:b/>
                <w:color w:val="FFFFFF"/>
                <w:sz w:val="17"/>
              </w:rPr>
              <w:t>V1-Relevanz</w:t>
            </w:r>
          </w:p>
        </w:tc>
      </w:tr>
      <w:tr>
        <w:trPr>
          <w:cantSplit/>
        </w:trPr>
        <w:tc>
          <w:tcPr>
            <w:tcW w:type="dxa" w:w="3324"/>
            <w:vAlign w:val="top"/>
          </w:tcPr>
          <w:p>
            <w:pPr>
              <w:spacing w:after="0"/>
            </w:pPr>
            <w:r>
              <w:rPr>
                <w:sz w:val="17"/>
              </w:rPr>
              <w:t>Vault</w:t>
            </w:r>
          </w:p>
        </w:tc>
        <w:tc>
          <w:tcPr>
            <w:tcW w:type="dxa" w:w="3324"/>
            <w:vAlign w:val="top"/>
          </w:tcPr>
          <w:p>
            <w:pPr>
              <w:spacing w:after="0"/>
            </w:pPr>
            <w:r>
              <w:rPr>
                <w:sz w:val="17"/>
              </w:rPr>
              <w:t>Abgeschlossene Verwaltungseinheit mit Datei, Master-Passwort, Gruppen, Einträgen, Tags, Metadaten und Format-/Sicherheitsparametern.</w:t>
            </w:r>
          </w:p>
        </w:tc>
        <w:tc>
          <w:tcPr>
            <w:tcW w:type="dxa" w:w="3324"/>
            <w:vAlign w:val="top"/>
          </w:tcPr>
          <w:p>
            <w:pPr>
              <w:spacing w:after="0"/>
            </w:pPr>
            <w:r>
              <w:rPr>
                <w:sz w:val="17"/>
              </w:rPr>
              <w:t>Muss</w:t>
            </w:r>
          </w:p>
        </w:tc>
      </w:tr>
      <w:tr>
        <w:trPr>
          <w:cantSplit/>
        </w:trPr>
        <w:tc>
          <w:tcPr>
            <w:tcW w:type="dxa" w:w="3324"/>
            <w:vAlign w:val="top"/>
          </w:tcPr>
          <w:p>
            <w:pPr>
              <w:spacing w:after="0"/>
            </w:pPr>
            <w:r>
              <w:rPr>
                <w:sz w:val="17"/>
              </w:rPr>
              <w:t>Entry</w:t>
            </w:r>
          </w:p>
        </w:tc>
        <w:tc>
          <w:tcPr>
            <w:tcW w:type="dxa" w:w="3324"/>
            <w:vAlign w:val="top"/>
          </w:tcPr>
          <w:p>
            <w:pPr>
              <w:spacing w:after="0"/>
            </w:pPr>
            <w:r>
              <w:rPr>
                <w:sz w:val="17"/>
              </w:rPr>
              <w:t>Primärer Zugang oder primäres Secret mit Typ, Titel, Secret, Benutzerkennung, Notizen, Gruppe, Tags, Zeitstempeln und Zusatzfeldern.</w:t>
            </w:r>
          </w:p>
        </w:tc>
        <w:tc>
          <w:tcPr>
            <w:tcW w:type="dxa" w:w="3324"/>
            <w:vAlign w:val="top"/>
          </w:tcPr>
          <w:p>
            <w:pPr>
              <w:spacing w:after="0"/>
            </w:pPr>
            <w:r>
              <w:rPr>
                <w:sz w:val="17"/>
              </w:rPr>
              <w:t>Muss</w:t>
            </w:r>
          </w:p>
        </w:tc>
      </w:tr>
      <w:tr>
        <w:trPr>
          <w:cantSplit/>
        </w:trPr>
        <w:tc>
          <w:tcPr>
            <w:tcW w:type="dxa" w:w="3324"/>
            <w:vAlign w:val="top"/>
          </w:tcPr>
          <w:p>
            <w:pPr>
              <w:spacing w:after="0"/>
            </w:pPr>
            <w:r>
              <w:rPr>
                <w:sz w:val="17"/>
              </w:rPr>
              <w:t>Group</w:t>
            </w:r>
          </w:p>
        </w:tc>
        <w:tc>
          <w:tcPr>
            <w:tcW w:type="dxa" w:w="3324"/>
            <w:vAlign w:val="top"/>
          </w:tcPr>
          <w:p>
            <w:pPr>
              <w:spacing w:after="0"/>
            </w:pPr>
            <w:r>
              <w:rPr>
                <w:sz w:val="17"/>
              </w:rPr>
              <w:t>Hierarchische Ablage und Navigationsstruktur mit Root-/Tresorlogik und Untergruppen.</w:t>
            </w:r>
          </w:p>
        </w:tc>
        <w:tc>
          <w:tcPr>
            <w:tcW w:type="dxa" w:w="3324"/>
            <w:vAlign w:val="top"/>
          </w:tcPr>
          <w:p>
            <w:pPr>
              <w:spacing w:after="0"/>
            </w:pPr>
            <w:r>
              <w:rPr>
                <w:sz w:val="17"/>
              </w:rPr>
              <w:t>Muss</w:t>
            </w:r>
          </w:p>
        </w:tc>
      </w:tr>
      <w:tr>
        <w:trPr>
          <w:cantSplit/>
        </w:trPr>
        <w:tc>
          <w:tcPr>
            <w:tcW w:type="dxa" w:w="3324"/>
            <w:vAlign w:val="top"/>
          </w:tcPr>
          <w:p>
            <w:pPr>
              <w:spacing w:after="0"/>
            </w:pPr>
            <w:r>
              <w:rPr>
                <w:sz w:val="17"/>
              </w:rPr>
              <w:t>Tag</w:t>
            </w:r>
          </w:p>
        </w:tc>
        <w:tc>
          <w:tcPr>
            <w:tcW w:type="dxa" w:w="3324"/>
            <w:vAlign w:val="top"/>
          </w:tcPr>
          <w:p>
            <w:pPr>
              <w:spacing w:after="0"/>
            </w:pPr>
            <w:r>
              <w:rPr>
                <w:sz w:val="17"/>
              </w:rPr>
              <w:t>Freie Querzuordnung für Provider, Projekt, Umgebung, Kunde, Technologie oder Status.</w:t>
            </w:r>
          </w:p>
        </w:tc>
        <w:tc>
          <w:tcPr>
            <w:tcW w:type="dxa" w:w="3324"/>
            <w:vAlign w:val="top"/>
          </w:tcPr>
          <w:p>
            <w:pPr>
              <w:spacing w:after="0"/>
            </w:pPr>
            <w:r>
              <w:rPr>
                <w:sz w:val="17"/>
              </w:rPr>
              <w:t>Muss</w:t>
            </w:r>
          </w:p>
        </w:tc>
      </w:tr>
      <w:tr>
        <w:trPr>
          <w:cantSplit/>
        </w:trPr>
        <w:tc>
          <w:tcPr>
            <w:tcW w:type="dxa" w:w="3324"/>
            <w:vAlign w:val="top"/>
          </w:tcPr>
          <w:p>
            <w:pPr>
              <w:spacing w:after="0"/>
            </w:pPr>
            <w:r>
              <w:rPr>
                <w:sz w:val="17"/>
              </w:rPr>
              <w:t>CustomField</w:t>
            </w:r>
          </w:p>
        </w:tc>
        <w:tc>
          <w:tcPr>
            <w:tcW w:type="dxa" w:w="3324"/>
            <w:vAlign w:val="top"/>
          </w:tcPr>
          <w:p>
            <w:pPr>
              <w:spacing w:after="0"/>
            </w:pPr>
            <w:r>
              <w:rPr>
                <w:sz w:val="17"/>
              </w:rPr>
              <w:t>Strukturiertes Zusatzfeld mit Name, Wert, Feldart, Geheimkennzeichnung und Sortierreihenfolge.</w:t>
            </w:r>
          </w:p>
        </w:tc>
        <w:tc>
          <w:tcPr>
            <w:tcW w:type="dxa" w:w="3324"/>
            <w:vAlign w:val="top"/>
          </w:tcPr>
          <w:p>
            <w:pPr>
              <w:spacing w:after="0"/>
            </w:pPr>
            <w:r>
              <w:rPr>
                <w:sz w:val="17"/>
              </w:rPr>
              <w:t>Muss</w:t>
            </w:r>
          </w:p>
        </w:tc>
      </w:tr>
      <w:tr>
        <w:trPr>
          <w:cantSplit/>
        </w:trPr>
        <w:tc>
          <w:tcPr>
            <w:tcW w:type="dxa" w:w="3324"/>
            <w:vAlign w:val="top"/>
          </w:tcPr>
          <w:p>
            <w:pPr>
              <w:spacing w:after="0"/>
            </w:pPr>
            <w:r>
              <w:rPr>
                <w:sz w:val="17"/>
              </w:rPr>
              <w:t>Relationship</w:t>
            </w:r>
          </w:p>
        </w:tc>
        <w:tc>
          <w:tcPr>
            <w:tcW w:type="dxa" w:w="3324"/>
            <w:vAlign w:val="top"/>
          </w:tcPr>
          <w:p>
            <w:pPr>
              <w:spacing w:after="0"/>
            </w:pPr>
            <w:r>
              <w:rPr>
                <w:sz w:val="17"/>
              </w:rPr>
              <w:t>Spätere Relation zwischen Einträgen, z. B. Zertifikat gehört zu Server und Domain.</w:t>
            </w:r>
          </w:p>
        </w:tc>
        <w:tc>
          <w:tcPr>
            <w:tcW w:type="dxa" w:w="3324"/>
            <w:vAlign w:val="top"/>
          </w:tcPr>
          <w:p>
            <w:pPr>
              <w:spacing w:after="0"/>
            </w:pPr>
            <w:r>
              <w:rPr>
                <w:sz w:val="17"/>
              </w:rPr>
              <w:t>Soll später</w:t>
            </w:r>
          </w:p>
        </w:tc>
      </w:tr>
      <w:tr>
        <w:trPr>
          <w:cantSplit/>
        </w:trPr>
        <w:tc>
          <w:tcPr>
            <w:tcW w:type="dxa" w:w="3324"/>
            <w:vAlign w:val="top"/>
          </w:tcPr>
          <w:p>
            <w:pPr>
              <w:spacing w:after="0"/>
            </w:pPr>
            <w:r>
              <w:rPr>
                <w:sz w:val="17"/>
              </w:rPr>
              <w:t>Attachment</w:t>
            </w:r>
          </w:p>
        </w:tc>
        <w:tc>
          <w:tcPr>
            <w:tcW w:type="dxa" w:w="3324"/>
            <w:vAlign w:val="top"/>
          </w:tcPr>
          <w:p>
            <w:pPr>
              <w:spacing w:after="0"/>
            </w:pPr>
            <w:r>
              <w:rPr>
                <w:sz w:val="17"/>
              </w:rPr>
              <w:t>Spätere verschlüsselte Dateiablage für Zertifikatsdateien, Schlüsseldateien oder Nachweise.</w:t>
            </w:r>
          </w:p>
        </w:tc>
        <w:tc>
          <w:tcPr>
            <w:tcW w:type="dxa" w:w="3324"/>
            <w:vAlign w:val="top"/>
          </w:tcPr>
          <w:p>
            <w:pPr>
              <w:spacing w:after="0"/>
            </w:pPr>
            <w:r>
              <w:rPr>
                <w:sz w:val="17"/>
              </w:rPr>
              <w:t>Soll später</w:t>
            </w:r>
          </w:p>
        </w:tc>
      </w:tr>
    </w:tbl>
    <w:p/>
    <w:p>
      <w:r>
        <w:t>Zusatzfelder müssen mindestens Text, Secret, URL, Hostname, Port, E-Mail, Date, Number, Boolean und freie Typen unterstützen. Geheime Zusatzfelder werden wie normale Secrets behandelt: standardmäßig maskiert, nur bewusst kopierbar und niemals im Klartext in Logs oder Fehlermeldungen auszugeben.</w:t>
      </w:r>
    </w:p>
    <w:p>
      <w:pPr>
        <w:pStyle w:val="Heading1"/>
      </w:pPr>
      <w:r>
        <w:t>8. Tresorverwaltung und Dateikonzept</w:t>
      </w:r>
    </w:p>
    <w:p>
      <w:r>
        <w:t>Mehrere unabhängige Tresore sind ein Kernmerkmal des Produkts. Private, SASD-interne, providerbezogene, kundenbezogene und archivierte Bestände sollen getrennt gespeichert und getrennt entsperrt werden können. Pro Programmfenster ist für frühe Versionen genau ein aktiver, schreibbarer Tresor vorzusehen; parallele Schreibzugriffe auf dieselbe Datei sind konservativ zu behandeln.</w:t>
      </w:r>
    </w:p>
    <w:tbl>
      <w:tblPr>
        <w:tblStyle w:val="TableGrid"/>
        <w:tblW w:type="auto" w:w="0"/>
        <w:jc w:val="center"/>
        <w:tblLook w:firstColumn="1" w:firstRow="1" w:lastColumn="0" w:lastRow="0" w:noHBand="0" w:noVBand="1" w:val="04A0"/>
        <w:tblBorders>
          <w:top w:val="single" w:sz="6" w:space="0" w:color="A9BEC5"/>
          <w:left w:val="single" w:sz="6" w:space="0" w:color="A9BEC5"/>
          <w:bottom w:val="single" w:sz="6" w:space="0" w:color="A9BEC5"/>
          <w:right w:val="single" w:sz="6" w:space="0" w:color="A9BEC5"/>
          <w:insideH w:val="single" w:sz="6" w:space="0" w:color="A9BEC5"/>
          <w:insideV w:val="single" w:sz="6" w:space="0" w:color="A9BEC5"/>
        </w:tblBorders>
      </w:tblPr>
      <w:tblGrid>
        <w:gridCol w:w="4986"/>
        <w:gridCol w:w="4986"/>
      </w:tblGrid>
      <w:tr>
        <w:trPr>
          <w:tblHeader w:val="true"/>
          <w:cantSplit/>
        </w:trPr>
        <w:tc>
          <w:tcPr>
            <w:tcW w:type="dxa" w:w="4986"/>
            <w:shd w:fill="153A57"/>
            <w:vAlign w:val="top"/>
          </w:tcPr>
          <w:p>
            <w:pPr>
              <w:spacing w:after="0"/>
            </w:pPr>
            <w:r>
              <w:rPr>
                <w:b/>
                <w:color w:val="FFFFFF"/>
                <w:sz w:val="17"/>
              </w:rPr>
              <w:t>Anforderung</w:t>
            </w:r>
          </w:p>
        </w:tc>
        <w:tc>
          <w:tcPr>
            <w:tcW w:type="dxa" w:w="4986"/>
            <w:shd w:fill="153A57"/>
            <w:vAlign w:val="top"/>
          </w:tcPr>
          <w:p>
            <w:pPr>
              <w:spacing w:after="0"/>
            </w:pPr>
            <w:r>
              <w:rPr>
                <w:b/>
                <w:color w:val="FFFFFF"/>
                <w:sz w:val="17"/>
              </w:rPr>
              <w:t>Fachliche Beschreibung</w:t>
            </w:r>
          </w:p>
        </w:tc>
      </w:tr>
      <w:tr>
        <w:trPr>
          <w:cantSplit/>
        </w:trPr>
        <w:tc>
          <w:tcPr>
            <w:tcW w:type="dxa" w:w="4986"/>
            <w:vAlign w:val="top"/>
          </w:tcPr>
          <w:p>
            <w:pPr>
              <w:spacing w:after="0"/>
            </w:pPr>
            <w:r>
              <w:rPr>
                <w:sz w:val="17"/>
              </w:rPr>
              <w:t>Tresor anlegen</w:t>
            </w:r>
          </w:p>
        </w:tc>
        <w:tc>
          <w:tcPr>
            <w:tcW w:type="dxa" w:w="4986"/>
            <w:vAlign w:val="top"/>
          </w:tcPr>
          <w:p>
            <w:pPr>
              <w:spacing w:after="0"/>
            </w:pPr>
            <w:r>
              <w:rPr>
                <w:sz w:val="17"/>
              </w:rPr>
              <w:t>Neuer Tresor mit Anzeigename, Master-Passwort und leerer beziehungsweise minimaler Startstruktur.</w:t>
            </w:r>
          </w:p>
        </w:tc>
      </w:tr>
      <w:tr>
        <w:trPr>
          <w:cantSplit/>
        </w:trPr>
        <w:tc>
          <w:tcPr>
            <w:tcW w:type="dxa" w:w="4986"/>
            <w:vAlign w:val="top"/>
          </w:tcPr>
          <w:p>
            <w:pPr>
              <w:spacing w:after="0"/>
            </w:pPr>
            <w:r>
              <w:rPr>
                <w:sz w:val="17"/>
              </w:rPr>
              <w:t>Tresor öffnen</w:t>
            </w:r>
          </w:p>
        </w:tc>
        <w:tc>
          <w:tcPr>
            <w:tcW w:type="dxa" w:w="4986"/>
            <w:vAlign w:val="top"/>
          </w:tcPr>
          <w:p>
            <w:pPr>
              <w:spacing w:after="0"/>
            </w:pPr>
            <w:r>
              <w:rPr>
                <w:sz w:val="17"/>
              </w:rPr>
              <w:t>Bestehende Datei auswählen, Master-Passwort abfragen, bei Fehlern klare Meldung ohne Secret-Leak.</w:t>
            </w:r>
          </w:p>
        </w:tc>
      </w:tr>
      <w:tr>
        <w:trPr>
          <w:cantSplit/>
        </w:trPr>
        <w:tc>
          <w:tcPr>
            <w:tcW w:type="dxa" w:w="4986"/>
            <w:vAlign w:val="top"/>
          </w:tcPr>
          <w:p>
            <w:pPr>
              <w:spacing w:after="0"/>
            </w:pPr>
            <w:r>
              <w:rPr>
                <w:sz w:val="17"/>
              </w:rPr>
              <w:t>Speichern/Speichern unter</w:t>
            </w:r>
          </w:p>
        </w:tc>
        <w:tc>
          <w:tcPr>
            <w:tcW w:type="dxa" w:w="4986"/>
            <w:vAlign w:val="top"/>
          </w:tcPr>
          <w:p>
            <w:pPr>
              <w:spacing w:after="0"/>
            </w:pPr>
            <w:r>
              <w:rPr>
                <w:sz w:val="17"/>
              </w:rPr>
              <w:t>Nachvollziehbare, robuste Speicherlogik mit Schutz vor halbfertigen Dateien.</w:t>
            </w:r>
          </w:p>
        </w:tc>
      </w:tr>
      <w:tr>
        <w:trPr>
          <w:cantSplit/>
        </w:trPr>
        <w:tc>
          <w:tcPr>
            <w:tcW w:type="dxa" w:w="4986"/>
            <w:vAlign w:val="top"/>
          </w:tcPr>
          <w:p>
            <w:pPr>
              <w:spacing w:after="0"/>
            </w:pPr>
            <w:r>
              <w:rPr>
                <w:sz w:val="17"/>
              </w:rPr>
              <w:t>Schließen/Wechseln</w:t>
            </w:r>
          </w:p>
        </w:tc>
        <w:tc>
          <w:tcPr>
            <w:tcW w:type="dxa" w:w="4986"/>
            <w:vAlign w:val="top"/>
          </w:tcPr>
          <w:p>
            <w:pPr>
              <w:spacing w:after="0"/>
            </w:pPr>
            <w:r>
              <w:rPr>
                <w:sz w:val="17"/>
              </w:rPr>
              <w:t>Vor Verlust ungespeicherter Änderungen schützen und Inhalte aus der Oberfläche entfernen.</w:t>
            </w:r>
          </w:p>
        </w:tc>
      </w:tr>
      <w:tr>
        <w:trPr>
          <w:cantSplit/>
        </w:trPr>
        <w:tc>
          <w:tcPr>
            <w:tcW w:type="dxa" w:w="4986"/>
            <w:vAlign w:val="top"/>
          </w:tcPr>
          <w:p>
            <w:pPr>
              <w:spacing w:after="0"/>
            </w:pPr>
            <w:r>
              <w:rPr>
                <w:sz w:val="17"/>
              </w:rPr>
              <w:t>Backups</w:t>
            </w:r>
          </w:p>
        </w:tc>
        <w:tc>
          <w:tcPr>
            <w:tcW w:type="dxa" w:w="4986"/>
            <w:vAlign w:val="top"/>
          </w:tcPr>
          <w:p>
            <w:pPr>
              <w:spacing w:after="0"/>
            </w:pPr>
            <w:r>
              <w:rPr>
                <w:sz w:val="17"/>
              </w:rPr>
              <w:t>Backup-Dateien bleiben verschlüsselt. Unverschlüsselte Sicherungen sind unzulässig.</w:t>
            </w:r>
          </w:p>
        </w:tc>
      </w:tr>
      <w:tr>
        <w:trPr>
          <w:cantSplit/>
        </w:trPr>
        <w:tc>
          <w:tcPr>
            <w:tcW w:type="dxa" w:w="4986"/>
            <w:vAlign w:val="top"/>
          </w:tcPr>
          <w:p>
            <w:pPr>
              <w:spacing w:after="0"/>
            </w:pPr>
            <w:r>
              <w:rPr>
                <w:sz w:val="17"/>
              </w:rPr>
              <w:t>MRU-Liste</w:t>
            </w:r>
          </w:p>
        </w:tc>
        <w:tc>
          <w:tcPr>
            <w:tcW w:type="dxa" w:w="4986"/>
            <w:vAlign w:val="top"/>
          </w:tcPr>
          <w:p>
            <w:pPr>
              <w:spacing w:after="0"/>
            </w:pPr>
            <w:r>
              <w:rPr>
                <w:sz w:val="17"/>
              </w:rPr>
              <w:t>Zuletzt verwendete Tresore dürfen lokal gespeichert werden, aber ohne Master-Passwörter und ohne geheime Inhalte.</w:t>
            </w:r>
          </w:p>
        </w:tc>
      </w:tr>
    </w:tbl>
    <w:p/>
    <w:p>
      <w:pPr>
        <w:pStyle w:val="Heading1"/>
      </w:pPr>
      <w:r>
        <w:t>9. Organisation, Navigation, Suche und Bedienfluss</w:t>
      </w:r>
    </w:p>
    <w:p>
      <w:r>
        <w:t>Ordnung entsteht im Produkt durch eine Kombination aus Gruppen, Tags, Typen, Zusatzfeldern und Suche. Ein reines Gruppenmodell wäre zu starr, ein reines Tag-Modell zu chaotisch. Die Anwendung muss beide Ordnungsformen bewusst kombinieren und sichtbar unterscheidbar machen.</w:t>
      </w:r>
    </w:p>
    <w:p>
      <w:pPr>
        <w:pStyle w:val="ListBullet"/>
      </w:pPr>
      <w:r>
        <w:t>Der Tresor besitzt einen sichtbaren Root-/Tresorknoten, damit Hauptgruppen direkt auf oberster Ebene angelegt werden können.</w:t>
      </w:r>
    </w:p>
    <w:p>
      <w:pPr>
        <w:pStyle w:val="ListBullet"/>
      </w:pPr>
      <w:r>
        <w:t>Einträge gehören genau einer Hauptgruppe an und können zusätzlich beliebig viele Tags besitzen.</w:t>
      </w:r>
    </w:p>
    <w:p>
      <w:pPr>
        <w:pStyle w:val="ListBullet"/>
      </w:pPr>
      <w:r>
        <w:t>Suche und Filter berücksichtigen Titel, Benutzerkennung, Typ, Gruppe, Tags, Notizen und nicht geheime Zusatzfelder.</w:t>
      </w:r>
    </w:p>
    <w:p>
      <w:pPr>
        <w:pStyle w:val="ListBullet"/>
      </w:pPr>
      <w:r>
        <w:t>Die Standardsuche ist case-insensitive; eine optionale Fallunterscheidung ist ein späteres Komfortthema.</w:t>
      </w:r>
    </w:p>
    <w:p>
      <w:pPr>
        <w:pStyle w:val="ListBullet"/>
      </w:pPr>
      <w:r>
        <w:t>Einträge und Gruppen können per Kontextmenü und Drag-and-Drop organisiert werden, wobei riskante Aktionen bestätigt werden müssen.</w:t>
      </w:r>
    </w:p>
    <w:p>
      <w:pPr>
        <w:pStyle w:val="ListBullet"/>
      </w:pPr>
      <w:r>
        <w:t>Tags sollen in Detailansichten anklickbar sein und in Filter- oder Suchaktionen überführt werden können.</w:t>
      </w:r>
    </w:p>
    <w:p>
      <w:pPr>
        <w:pStyle w:val="Heading1"/>
      </w:pPr>
      <w:r>
        <w:t>10. Sicherheitsleitlinien und Schutzgrenzen</w:t>
      </w:r>
    </w:p>
    <w:p>
      <w:r>
        <w:t>Die Anwendung ist sicherheitsrelevant. Sie muss insbesondere gegen Verlust oder Diebstahl der Tresordatei, versehentliche Offenlegung am Arbeitsplatz, dauerhaft gefüllte Zwischenablage, Datenverlust bei Speichervorgängen, unsichere Exporte und Secret-Leaks in Logs schützen. Gleichzeitig muss sie ehrlich dokumentieren, dass sie ein kompromittiertes Betriebssystem nicht vollständig ausgleichen kann.</w:t>
      </w:r>
    </w:p>
    <w:tbl>
      <w:tblPr>
        <w:tblStyle w:val="TableGrid"/>
        <w:tblW w:type="auto" w:w="0"/>
        <w:jc w:val="center"/>
        <w:tblLook w:firstColumn="1" w:firstRow="1" w:lastColumn="0" w:lastRow="0" w:noHBand="0" w:noVBand="1" w:val="04A0"/>
        <w:tblBorders>
          <w:top w:val="single" w:sz="6" w:space="0" w:color="A9BEC5"/>
          <w:left w:val="single" w:sz="6" w:space="0" w:color="A9BEC5"/>
          <w:bottom w:val="single" w:sz="6" w:space="0" w:color="A9BEC5"/>
          <w:right w:val="single" w:sz="6" w:space="0" w:color="A9BEC5"/>
          <w:insideH w:val="single" w:sz="6" w:space="0" w:color="A9BEC5"/>
          <w:insideV w:val="single" w:sz="6" w:space="0" w:color="A9BEC5"/>
        </w:tblBorders>
      </w:tblPr>
      <w:tblGrid>
        <w:gridCol w:w="4986"/>
        <w:gridCol w:w="4986"/>
      </w:tblGrid>
      <w:tr>
        <w:trPr>
          <w:tblHeader w:val="true"/>
          <w:cantSplit/>
        </w:trPr>
        <w:tc>
          <w:tcPr>
            <w:tcW w:type="dxa" w:w="4986"/>
            <w:shd w:fill="153A57"/>
            <w:vAlign w:val="top"/>
          </w:tcPr>
          <w:p>
            <w:pPr>
              <w:spacing w:after="0"/>
            </w:pPr>
            <w:r>
              <w:rPr>
                <w:b/>
                <w:color w:val="FFFFFF"/>
                <w:sz w:val="17"/>
              </w:rPr>
              <w:t>Thema</w:t>
            </w:r>
          </w:p>
        </w:tc>
        <w:tc>
          <w:tcPr>
            <w:tcW w:type="dxa" w:w="4986"/>
            <w:shd w:fill="153A57"/>
            <w:vAlign w:val="top"/>
          </w:tcPr>
          <w:p>
            <w:pPr>
              <w:spacing w:after="0"/>
            </w:pPr>
            <w:r>
              <w:rPr>
                <w:b/>
                <w:color w:val="FFFFFF"/>
                <w:sz w:val="17"/>
              </w:rPr>
              <w:t>Fachliche Anforderung</w:t>
            </w:r>
          </w:p>
        </w:tc>
      </w:tr>
      <w:tr>
        <w:trPr>
          <w:cantSplit/>
        </w:trPr>
        <w:tc>
          <w:tcPr>
            <w:tcW w:type="dxa" w:w="4986"/>
            <w:vAlign w:val="top"/>
          </w:tcPr>
          <w:p>
            <w:pPr>
              <w:spacing w:after="0"/>
            </w:pPr>
            <w:r>
              <w:rPr>
                <w:sz w:val="17"/>
              </w:rPr>
              <w:t>Master-Passwort</w:t>
            </w:r>
          </w:p>
        </w:tc>
        <w:tc>
          <w:tcPr>
            <w:tcW w:type="dxa" w:w="4986"/>
            <w:vAlign w:val="top"/>
          </w:tcPr>
          <w:p>
            <w:pPr>
              <w:spacing w:after="0"/>
            </w:pPr>
            <w:r>
              <w:rPr>
                <w:sz w:val="17"/>
              </w:rPr>
              <w:t>Pro Tresor eigenständig, niemals im Klartext speichern, niemals loggen, keine Wiederherstellung über versteckte Hintertür.</w:t>
            </w:r>
          </w:p>
        </w:tc>
      </w:tr>
      <w:tr>
        <w:trPr>
          <w:cantSplit/>
        </w:trPr>
        <w:tc>
          <w:tcPr>
            <w:tcW w:type="dxa" w:w="4986"/>
            <w:vAlign w:val="top"/>
          </w:tcPr>
          <w:p>
            <w:pPr>
              <w:spacing w:after="0"/>
            </w:pPr>
            <w:r>
              <w:rPr>
                <w:sz w:val="17"/>
              </w:rPr>
              <w:t>Secrets im UI</w:t>
            </w:r>
          </w:p>
        </w:tc>
        <w:tc>
          <w:tcPr>
            <w:tcW w:type="dxa" w:w="4986"/>
            <w:vAlign w:val="top"/>
          </w:tcPr>
          <w:p>
            <w:pPr>
              <w:spacing w:after="0"/>
            </w:pPr>
            <w:r>
              <w:rPr>
                <w:sz w:val="17"/>
              </w:rPr>
              <w:t>Standardmäßig maskiert, Reveal nur bewusst und temporär, Copy-Aktionen eindeutig als solche kennzeichnen.</w:t>
            </w:r>
          </w:p>
        </w:tc>
      </w:tr>
      <w:tr>
        <w:trPr>
          <w:cantSplit/>
        </w:trPr>
        <w:tc>
          <w:tcPr>
            <w:tcW w:type="dxa" w:w="4986"/>
            <w:vAlign w:val="top"/>
          </w:tcPr>
          <w:p>
            <w:pPr>
              <w:spacing w:after="0"/>
            </w:pPr>
            <w:r>
              <w:rPr>
                <w:sz w:val="17"/>
              </w:rPr>
              <w:t>Zwischenablage</w:t>
            </w:r>
          </w:p>
        </w:tc>
        <w:tc>
          <w:tcPr>
            <w:tcW w:type="dxa" w:w="4986"/>
            <w:vAlign w:val="top"/>
          </w:tcPr>
          <w:p>
            <w:pPr>
              <w:spacing w:after="0"/>
            </w:pPr>
            <w:r>
              <w:rPr>
                <w:sz w:val="17"/>
              </w:rPr>
              <w:t>Sensible Werte nach definierter Zeit automatisch entfernen oder überschreiben, soweit dies technisch zuverlässig möglich ist.</w:t>
            </w:r>
          </w:p>
        </w:tc>
      </w:tr>
      <w:tr>
        <w:trPr>
          <w:cantSplit/>
        </w:trPr>
        <w:tc>
          <w:tcPr>
            <w:tcW w:type="dxa" w:w="4986"/>
            <w:vAlign w:val="top"/>
          </w:tcPr>
          <w:p>
            <w:pPr>
              <w:spacing w:after="0"/>
            </w:pPr>
            <w:r>
              <w:rPr>
                <w:sz w:val="17"/>
              </w:rPr>
              <w:t>Auto-Lock</w:t>
            </w:r>
          </w:p>
        </w:tc>
        <w:tc>
          <w:tcPr>
            <w:tcW w:type="dxa" w:w="4986"/>
            <w:vAlign w:val="top"/>
          </w:tcPr>
          <w:p>
            <w:pPr>
              <w:spacing w:after="0"/>
            </w:pPr>
            <w:r>
              <w:rPr>
                <w:sz w:val="17"/>
              </w:rPr>
              <w:t>Tresor nach Inaktivität oder expliziter Sperre schützen; nach Entsperrung Master-Passwort des aktiven Tresors verlangen.</w:t>
            </w:r>
          </w:p>
        </w:tc>
      </w:tr>
      <w:tr>
        <w:trPr>
          <w:cantSplit/>
        </w:trPr>
        <w:tc>
          <w:tcPr>
            <w:tcW w:type="dxa" w:w="4986"/>
            <w:vAlign w:val="top"/>
          </w:tcPr>
          <w:p>
            <w:pPr>
              <w:spacing w:after="0"/>
            </w:pPr>
            <w:r>
              <w:rPr>
                <w:sz w:val="17"/>
              </w:rPr>
              <w:t>Logging</w:t>
            </w:r>
          </w:p>
        </w:tc>
        <w:tc>
          <w:tcPr>
            <w:tcW w:type="dxa" w:w="4986"/>
            <w:vAlign w:val="top"/>
          </w:tcPr>
          <w:p>
            <w:pPr>
              <w:spacing w:after="0"/>
            </w:pPr>
            <w:r>
              <w:rPr>
                <w:sz w:val="17"/>
              </w:rPr>
              <w:t>Keine Passwörter, Tokens, privaten Schlüssel, PFX-Passwörter oder geheimen Zusatzfelder im Klartext in Logs, Debug-Ausgaben oder Fehlermeldungen.</w:t>
            </w:r>
          </w:p>
        </w:tc>
      </w:tr>
      <w:tr>
        <w:trPr>
          <w:cantSplit/>
        </w:trPr>
        <w:tc>
          <w:tcPr>
            <w:tcW w:type="dxa" w:w="4986"/>
            <w:vAlign w:val="top"/>
          </w:tcPr>
          <w:p>
            <w:pPr>
              <w:spacing w:after="0"/>
            </w:pPr>
            <w:r>
              <w:rPr>
                <w:sz w:val="17"/>
              </w:rPr>
              <w:t>Recovery</w:t>
            </w:r>
          </w:p>
        </w:tc>
        <w:tc>
          <w:tcPr>
            <w:tcW w:type="dxa" w:w="4986"/>
            <w:vAlign w:val="top"/>
          </w:tcPr>
          <w:p>
            <w:pPr>
              <w:spacing w:after="0"/>
            </w:pPr>
            <w:r>
              <w:rPr>
                <w:sz w:val="17"/>
              </w:rPr>
              <w:t>Keine Backdoor. Eine spätere Recovery-Strategie darf nur als ausdrücklich eingerichteter und dokumentierter Mechanismus existieren.</w:t>
            </w:r>
          </w:p>
        </w:tc>
      </w:tr>
      <w:tr>
        <w:trPr>
          <w:cantSplit/>
        </w:trPr>
        <w:tc>
          <w:tcPr>
            <w:tcW w:type="dxa" w:w="4986"/>
            <w:vAlign w:val="top"/>
          </w:tcPr>
          <w:p>
            <w:pPr>
              <w:spacing w:after="0"/>
            </w:pPr>
            <w:r>
              <w:rPr>
                <w:sz w:val="17"/>
              </w:rPr>
              <w:t>Export</w:t>
            </w:r>
          </w:p>
        </w:tc>
        <w:tc>
          <w:tcPr>
            <w:tcW w:type="dxa" w:w="4986"/>
            <w:vAlign w:val="top"/>
          </w:tcPr>
          <w:p>
            <w:pPr>
              <w:spacing w:after="0"/>
            </w:pPr>
            <w:r>
              <w:rPr>
                <w:sz w:val="17"/>
              </w:rPr>
              <w:t>Unverschlüsselte Exporte nur nach ausdrücklicher Warnung und bewusster Nutzerentscheidung.</w:t>
            </w:r>
          </w:p>
        </w:tc>
      </w:tr>
    </w:tbl>
    <w:p/>
    <w:p>
      <w:pPr>
        <w:pStyle w:val="Heading1"/>
      </w:pPr>
      <w:r>
        <w:t>11. Recovery ohne Backdoor</w:t>
      </w:r>
    </w:p>
    <w:p>
      <w:r>
        <w:t>Der Wunsch nach einer späteren Recovery-Strategie wird ausdrücklich aufgenommen. Das Produkt darf jedoch keine versteckte Hersteller-, Entwickler- oder Support-Hintertür enthalten. Wer ein Master-Passwort verliert, darf nicht durch einen geheimen Mechanismus heimlich wieder an die Daten gelangen können.</w:t>
      </w:r>
    </w:p>
    <w:p>
      <w:r>
        <w:t>Für spätere Versionen sind nur offizielle, vorab bewusst eingerichtete Recovery-Varianten zulässig. Denkbar sind ein Recovery-Kit, ein gesonderter Recovery-Tresor, geteilte Recovery-Geheimnisse, Notfallumschläge oder klar dokumentierte organisatorische Verfahren. Diese Konzepte müssen gesondert bewertet werden, weil sie Komfort und Sicherheit gegeneinander abwägen.</w:t>
      </w:r>
    </w:p>
    <w:p>
      <w:pPr>
        <w:pStyle w:val="Heading1"/>
      </w:pPr>
      <w:r>
        <w:t>12. Interoperabilität, Migration, Import und Export</w:t>
      </w:r>
    </w:p>
    <w:p>
      <w:r>
        <w:t>Password-Safe-Interop bleibt ein wichtiges Ziel, wird aber als additive Schicht verstanden. Die Anwendung soll vorhandene Bestände übernehmen können, darf aber nicht versuchen, alle Grenzen und Eigenheiten von Password Safe nachzubauen. Maßgeblich ist das interne SASD-Datenmodell.</w:t>
      </w:r>
    </w:p>
    <w:tbl>
      <w:tblPr>
        <w:tblStyle w:val="TableGrid"/>
        <w:tblW w:type="auto" w:w="0"/>
        <w:jc w:val="center"/>
        <w:tblLook w:firstColumn="1" w:firstRow="1" w:lastColumn="0" w:lastRow="0" w:noHBand="0" w:noVBand="1" w:val="04A0"/>
        <w:tblBorders>
          <w:top w:val="single" w:sz="6" w:space="0" w:color="A9BEC5"/>
          <w:left w:val="single" w:sz="6" w:space="0" w:color="A9BEC5"/>
          <w:bottom w:val="single" w:sz="6" w:space="0" w:color="A9BEC5"/>
          <w:right w:val="single" w:sz="6" w:space="0" w:color="A9BEC5"/>
          <w:insideH w:val="single" w:sz="6" w:space="0" w:color="A9BEC5"/>
          <w:insideV w:val="single" w:sz="6" w:space="0" w:color="A9BEC5"/>
        </w:tblBorders>
      </w:tblPr>
      <w:tblGrid>
        <w:gridCol w:w="4986"/>
        <w:gridCol w:w="4986"/>
      </w:tblGrid>
      <w:tr>
        <w:trPr>
          <w:tblHeader w:val="true"/>
          <w:cantSplit/>
        </w:trPr>
        <w:tc>
          <w:tcPr>
            <w:tcW w:type="dxa" w:w="4986"/>
            <w:shd w:fill="153A57"/>
            <w:vAlign w:val="top"/>
          </w:tcPr>
          <w:p>
            <w:pPr>
              <w:spacing w:after="0"/>
            </w:pPr>
            <w:r>
              <w:rPr>
                <w:b/>
                <w:color w:val="FFFFFF"/>
                <w:sz w:val="17"/>
              </w:rPr>
              <w:t>Bereich</w:t>
            </w:r>
          </w:p>
        </w:tc>
        <w:tc>
          <w:tcPr>
            <w:tcW w:type="dxa" w:w="4986"/>
            <w:shd w:fill="153A57"/>
            <w:vAlign w:val="top"/>
          </w:tcPr>
          <w:p>
            <w:pPr>
              <w:spacing w:after="0"/>
            </w:pPr>
            <w:r>
              <w:rPr>
                <w:b/>
                <w:color w:val="FFFFFF"/>
                <w:sz w:val="17"/>
              </w:rPr>
              <w:t>Anforderung / Entscheidung</w:t>
            </w:r>
          </w:p>
        </w:tc>
      </w:tr>
      <w:tr>
        <w:trPr>
          <w:cantSplit/>
        </w:trPr>
        <w:tc>
          <w:tcPr>
            <w:tcW w:type="dxa" w:w="4986"/>
            <w:vAlign w:val="top"/>
          </w:tcPr>
          <w:p>
            <w:pPr>
              <w:spacing w:after="0"/>
            </w:pPr>
            <w:r>
              <w:rPr>
                <w:sz w:val="17"/>
              </w:rPr>
              <w:t>Password-Safe-Import</w:t>
            </w:r>
          </w:p>
        </w:tc>
        <w:tc>
          <w:tcPr>
            <w:tcW w:type="dxa" w:w="4986"/>
            <w:vAlign w:val="top"/>
          </w:tcPr>
          <w:p>
            <w:pPr>
              <w:spacing w:after="0"/>
            </w:pPr>
            <w:r>
              <w:rPr>
                <w:sz w:val="17"/>
              </w:rPr>
              <w:t>Kontrollierter Import aus .psafe3 mit Mapping, Warnungen und Importbericht.</w:t>
            </w:r>
          </w:p>
        </w:tc>
      </w:tr>
      <w:tr>
        <w:trPr>
          <w:cantSplit/>
        </w:trPr>
        <w:tc>
          <w:tcPr>
            <w:tcW w:type="dxa" w:w="4986"/>
            <w:vAlign w:val="top"/>
          </w:tcPr>
          <w:p>
            <w:pPr>
              <w:spacing w:after="0"/>
            </w:pPr>
            <w:r>
              <w:rPr>
                <w:sz w:val="17"/>
              </w:rPr>
              <w:t>Password-Safe-Export</w:t>
            </w:r>
          </w:p>
        </w:tc>
        <w:tc>
          <w:tcPr>
            <w:tcW w:type="dxa" w:w="4986"/>
            <w:vAlign w:val="top"/>
          </w:tcPr>
          <w:p>
            <w:pPr>
              <w:spacing w:after="0"/>
            </w:pPr>
            <w:r>
              <w:rPr>
                <w:sz w:val="17"/>
              </w:rPr>
              <w:t>Später nur für sauber abbildbare Inhalte; Verlusthinweise und Kompatibilitätsbericht sind Pflicht.</w:t>
            </w:r>
          </w:p>
        </w:tc>
      </w:tr>
      <w:tr>
        <w:trPr>
          <w:cantSplit/>
        </w:trPr>
        <w:tc>
          <w:tcPr>
            <w:tcW w:type="dxa" w:w="4986"/>
            <w:vAlign w:val="top"/>
          </w:tcPr>
          <w:p>
            <w:pPr>
              <w:spacing w:after="0"/>
            </w:pPr>
            <w:r>
              <w:rPr>
                <w:sz w:val="17"/>
              </w:rPr>
              <w:t>CSV-Export</w:t>
            </w:r>
          </w:p>
        </w:tc>
        <w:tc>
          <w:tcPr>
            <w:tcW w:type="dxa" w:w="4986"/>
            <w:vAlign w:val="top"/>
          </w:tcPr>
          <w:p>
            <w:pPr>
              <w:spacing w:after="0"/>
            </w:pPr>
            <w:r>
              <w:rPr>
                <w:sz w:val="17"/>
              </w:rPr>
              <w:t>Nur nach klarer Warnung, weil unverschlüsselte Exporte ein sehr hohes Risiko darstellen.</w:t>
            </w:r>
          </w:p>
        </w:tc>
      </w:tr>
      <w:tr>
        <w:trPr>
          <w:cantSplit/>
        </w:trPr>
        <w:tc>
          <w:tcPr>
            <w:tcW w:type="dxa" w:w="4986"/>
            <w:vAlign w:val="top"/>
          </w:tcPr>
          <w:p>
            <w:pPr>
              <w:spacing w:after="0"/>
            </w:pPr>
            <w:r>
              <w:rPr>
                <w:sz w:val="17"/>
              </w:rPr>
              <w:t>Browser-Import</w:t>
            </w:r>
          </w:p>
        </w:tc>
        <w:tc>
          <w:tcPr>
            <w:tcW w:type="dxa" w:w="4986"/>
            <w:vAlign w:val="top"/>
          </w:tcPr>
          <w:p>
            <w:pPr>
              <w:spacing w:after="0"/>
            </w:pPr>
            <w:r>
              <w:rPr>
                <w:sz w:val="17"/>
              </w:rPr>
              <w:t>Fachlich interessant, aber wegen Datenschutz, Browserabhängigkeit und Security erst später bewerten.</w:t>
            </w:r>
          </w:p>
        </w:tc>
      </w:tr>
      <w:tr>
        <w:trPr>
          <w:cantSplit/>
        </w:trPr>
        <w:tc>
          <w:tcPr>
            <w:tcW w:type="dxa" w:w="4986"/>
            <w:vAlign w:val="top"/>
          </w:tcPr>
          <w:p>
            <w:pPr>
              <w:spacing w:after="0"/>
            </w:pPr>
            <w:r>
              <w:rPr>
                <w:sz w:val="17"/>
              </w:rPr>
              <w:t>Cross-Vault-Kopie</w:t>
            </w:r>
          </w:p>
        </w:tc>
        <w:tc>
          <w:tcPr>
            <w:tcW w:type="dxa" w:w="4986"/>
            <w:vAlign w:val="top"/>
          </w:tcPr>
          <w:p>
            <w:pPr>
              <w:spacing w:after="0"/>
            </w:pPr>
            <w:r>
              <w:rPr>
                <w:sz w:val="17"/>
              </w:rPr>
              <w:t>Später sinnvoll, um Einträge aus einem anderen geöffneten Tresor zu übernehmen; nicht mit Team-Sharing verwechseln.</w:t>
            </w:r>
          </w:p>
        </w:tc>
      </w:tr>
      <w:tr>
        <w:trPr>
          <w:cantSplit/>
        </w:trPr>
        <w:tc>
          <w:tcPr>
            <w:tcW w:type="dxa" w:w="4986"/>
            <w:vAlign w:val="top"/>
          </w:tcPr>
          <w:p>
            <w:pPr>
              <w:spacing w:after="0"/>
            </w:pPr>
            <w:r>
              <w:rPr>
                <w:sz w:val="17"/>
              </w:rPr>
              <w:t>Zertifikatsdateien</w:t>
            </w:r>
          </w:p>
        </w:tc>
        <w:tc>
          <w:tcPr>
            <w:tcW w:type="dxa" w:w="4986"/>
            <w:vAlign w:val="top"/>
          </w:tcPr>
          <w:p>
            <w:pPr>
              <w:spacing w:after="0"/>
            </w:pPr>
            <w:r>
              <w:rPr>
                <w:sz w:val="17"/>
              </w:rPr>
              <w:t>Späterer Import von PEM/PFX/CRT/KEY als verschlüsselte Anhänge oder sichere Feldgruppen; V1 fokussiert auf Struktur und Referenzen.</w:t>
            </w:r>
          </w:p>
        </w:tc>
      </w:tr>
    </w:tbl>
    <w:p/>
    <w:p>
      <w:pPr>
        <w:pStyle w:val="Heading1"/>
      </w:pPr>
      <w:r>
        <w:t>13. Release- und Versionslogik</w:t>
      </w:r>
    </w:p>
    <w:p>
      <w:r>
        <w:t>Die bisherigen Dokumente verwenden V1, V1.x und V2 nicht immer identisch. Diese überarbeitete Fassung ordnet die Anforderungen so, dass die erste echte Produktversion alltagstauglich und sicher genug wirkt, ohne zu früh Cloud-, Team- oder Enterprise-Komplexität einzubauen.</w:t>
      </w:r>
    </w:p>
    <w:tbl>
      <w:tblPr>
        <w:tblStyle w:val="TableGrid"/>
        <w:tblW w:type="auto" w:w="0"/>
        <w:jc w:val="center"/>
        <w:tblLook w:firstColumn="1" w:firstRow="1" w:lastColumn="0" w:lastRow="0" w:noHBand="0" w:noVBand="1" w:val="04A0"/>
        <w:tblBorders>
          <w:top w:val="single" w:sz="6" w:space="0" w:color="A9BEC5"/>
          <w:left w:val="single" w:sz="6" w:space="0" w:color="A9BEC5"/>
          <w:bottom w:val="single" w:sz="6" w:space="0" w:color="A9BEC5"/>
          <w:right w:val="single" w:sz="6" w:space="0" w:color="A9BEC5"/>
          <w:insideH w:val="single" w:sz="6" w:space="0" w:color="A9BEC5"/>
          <w:insideV w:val="single" w:sz="6" w:space="0" w:color="A9BEC5"/>
        </w:tblBorders>
      </w:tblPr>
      <w:tblGrid>
        <w:gridCol w:w="3324"/>
        <w:gridCol w:w="3324"/>
        <w:gridCol w:w="3324"/>
      </w:tblGrid>
      <w:tr>
        <w:trPr>
          <w:tblHeader w:val="true"/>
          <w:cantSplit/>
        </w:trPr>
        <w:tc>
          <w:tcPr>
            <w:tcW w:type="dxa" w:w="3324"/>
            <w:shd w:fill="153A57"/>
            <w:vAlign w:val="top"/>
          </w:tcPr>
          <w:p>
            <w:pPr>
              <w:spacing w:after="0"/>
            </w:pPr>
            <w:r>
              <w:rPr>
                <w:b/>
                <w:color w:val="FFFFFF"/>
                <w:sz w:val="17"/>
              </w:rPr>
              <w:t>Version</w:t>
            </w:r>
          </w:p>
        </w:tc>
        <w:tc>
          <w:tcPr>
            <w:tcW w:type="dxa" w:w="3324"/>
            <w:shd w:fill="153A57"/>
            <w:vAlign w:val="top"/>
          </w:tcPr>
          <w:p>
            <w:pPr>
              <w:spacing w:after="0"/>
            </w:pPr>
            <w:r>
              <w:rPr>
                <w:b/>
                <w:color w:val="FFFFFF"/>
                <w:sz w:val="17"/>
              </w:rPr>
              <w:t>Zielcharakter</w:t>
            </w:r>
          </w:p>
        </w:tc>
        <w:tc>
          <w:tcPr>
            <w:tcW w:type="dxa" w:w="3324"/>
            <w:shd w:fill="153A57"/>
            <w:vAlign w:val="top"/>
          </w:tcPr>
          <w:p>
            <w:pPr>
              <w:spacing w:after="0"/>
            </w:pPr>
            <w:r>
              <w:rPr>
                <w:b/>
                <w:color w:val="FFFFFF"/>
                <w:sz w:val="17"/>
              </w:rPr>
              <w:t>Typischer Umfang</w:t>
            </w:r>
          </w:p>
        </w:tc>
      </w:tr>
      <w:tr>
        <w:trPr>
          <w:cantSplit/>
        </w:trPr>
        <w:tc>
          <w:tcPr>
            <w:tcW w:type="dxa" w:w="3324"/>
            <w:vAlign w:val="top"/>
          </w:tcPr>
          <w:p>
            <w:pPr>
              <w:spacing w:after="0"/>
            </w:pPr>
            <w:r>
              <w:rPr>
                <w:sz w:val="17"/>
              </w:rPr>
              <w:t>V0.x / Prototyp</w:t>
            </w:r>
          </w:p>
        </w:tc>
        <w:tc>
          <w:tcPr>
            <w:tcW w:type="dxa" w:w="3324"/>
            <w:vAlign w:val="top"/>
          </w:tcPr>
          <w:p>
            <w:pPr>
              <w:spacing w:after="0"/>
            </w:pPr>
            <w:r>
              <w:rPr>
                <w:sz w:val="17"/>
              </w:rPr>
              <w:t>Aktiver Entwicklungsstand</w:t>
            </w:r>
          </w:p>
        </w:tc>
        <w:tc>
          <w:tcPr>
            <w:tcW w:type="dxa" w:w="3324"/>
            <w:vAlign w:val="top"/>
          </w:tcPr>
          <w:p>
            <w:pPr>
              <w:spacing w:after="0"/>
            </w:pPr>
            <w:r>
              <w:rPr>
                <w:sz w:val="17"/>
              </w:rPr>
              <w:t>Grundarchitektur, WinForms-Shell, .svault, Gruppen, Tags, Suche, CRUD, Drag-and-Drop, Tests; noch kein produktives Sicherheitsprodukt.</w:t>
            </w:r>
          </w:p>
        </w:tc>
      </w:tr>
      <w:tr>
        <w:trPr>
          <w:cantSplit/>
        </w:trPr>
        <w:tc>
          <w:tcPr>
            <w:tcW w:type="dxa" w:w="3324"/>
            <w:vAlign w:val="top"/>
          </w:tcPr>
          <w:p>
            <w:pPr>
              <w:spacing w:after="0"/>
            </w:pPr>
            <w:r>
              <w:rPr>
                <w:sz w:val="17"/>
              </w:rPr>
              <w:t>V1.0</w:t>
            </w:r>
          </w:p>
        </w:tc>
        <w:tc>
          <w:tcPr>
            <w:tcW w:type="dxa" w:w="3324"/>
            <w:vAlign w:val="top"/>
          </w:tcPr>
          <w:p>
            <w:pPr>
              <w:spacing w:after="0"/>
            </w:pPr>
            <w:r>
              <w:rPr>
                <w:sz w:val="17"/>
              </w:rPr>
              <w:t>Runde lokale Erstversion</w:t>
            </w:r>
          </w:p>
        </w:tc>
        <w:tc>
          <w:tcPr>
            <w:tcW w:type="dxa" w:w="3324"/>
            <w:vAlign w:val="top"/>
          </w:tcPr>
          <w:p>
            <w:pPr>
              <w:spacing w:after="0"/>
            </w:pPr>
            <w:r>
              <w:rPr>
                <w:sz w:val="17"/>
              </w:rPr>
              <w:t>Mehrere Tresore, strukturierte Secret-Typen, starke Grundbedienung, sichere Anzeige, Clipboard-Autoclear, Auto-Lock, Passwortgenerator, Backups, kontrollierter .psafe3-Import, Zertifikatseintrag ohne volle PKI-Automation.</w:t>
            </w:r>
          </w:p>
        </w:tc>
      </w:tr>
      <w:tr>
        <w:trPr>
          <w:cantSplit/>
        </w:trPr>
        <w:tc>
          <w:tcPr>
            <w:tcW w:type="dxa" w:w="3324"/>
            <w:vAlign w:val="top"/>
          </w:tcPr>
          <w:p>
            <w:pPr>
              <w:spacing w:after="0"/>
            </w:pPr>
            <w:r>
              <w:rPr>
                <w:sz w:val="17"/>
              </w:rPr>
              <w:t>V1.x</w:t>
            </w:r>
          </w:p>
        </w:tc>
        <w:tc>
          <w:tcPr>
            <w:tcW w:type="dxa" w:w="3324"/>
            <w:vAlign w:val="top"/>
          </w:tcPr>
          <w:p>
            <w:pPr>
              <w:spacing w:after="0"/>
            </w:pPr>
            <w:r>
              <w:rPr>
                <w:sz w:val="17"/>
              </w:rPr>
              <w:t>Härtung und Produktpolitur</w:t>
            </w:r>
          </w:p>
        </w:tc>
        <w:tc>
          <w:tcPr>
            <w:tcW w:type="dxa" w:w="3324"/>
            <w:vAlign w:val="top"/>
          </w:tcPr>
          <w:p>
            <w:pPr>
              <w:spacing w:after="0"/>
            </w:pPr>
            <w:r>
              <w:rPr>
                <w:sz w:val="17"/>
              </w:rPr>
              <w:t>Master-Passwort-Änderung, erweiterte Backup-/Restore-Sicherheit, Templates, Generatorprofile, Tag-Verwaltung, Produkticon, Zertifikatsablauf-Warnungen, verbesserte Import-/Exportberichte.</w:t>
            </w:r>
          </w:p>
        </w:tc>
      </w:tr>
      <w:tr>
        <w:trPr>
          <w:cantSplit/>
        </w:trPr>
        <w:tc>
          <w:tcPr>
            <w:tcW w:type="dxa" w:w="3324"/>
            <w:vAlign w:val="top"/>
          </w:tcPr>
          <w:p>
            <w:pPr>
              <w:spacing w:after="0"/>
            </w:pPr>
            <w:r>
              <w:rPr>
                <w:sz w:val="17"/>
              </w:rPr>
              <w:t>V2</w:t>
            </w:r>
          </w:p>
        </w:tc>
        <w:tc>
          <w:tcPr>
            <w:tcW w:type="dxa" w:w="3324"/>
            <w:vAlign w:val="top"/>
          </w:tcPr>
          <w:p>
            <w:pPr>
              <w:spacing w:after="0"/>
            </w:pPr>
            <w:r>
              <w:rPr>
                <w:sz w:val="17"/>
              </w:rPr>
              <w:t>Deutlicher Funktionsausbau</w:t>
            </w:r>
          </w:p>
        </w:tc>
        <w:tc>
          <w:tcPr>
            <w:tcW w:type="dxa" w:w="3324"/>
            <w:vAlign w:val="top"/>
          </w:tcPr>
          <w:p>
            <w:pPr>
              <w:spacing w:after="0"/>
            </w:pPr>
            <w:r>
              <w:rPr>
                <w:sz w:val="17"/>
              </w:rPr>
              <w:t>Mehrsprachigkeit, Theme-Umschaltung, Cross-Vault-Funktionen, Passwort-Historie, TOTP, verschlüsselte Anhänge, Zertifikatsdateien, optionale Online-Prüfungen nach Opt-in.</w:t>
            </w:r>
          </w:p>
        </w:tc>
      </w:tr>
      <w:tr>
        <w:trPr>
          <w:cantSplit/>
        </w:trPr>
        <w:tc>
          <w:tcPr>
            <w:tcW w:type="dxa" w:w="3324"/>
            <w:vAlign w:val="top"/>
          </w:tcPr>
          <w:p>
            <w:pPr>
              <w:spacing w:after="0"/>
            </w:pPr>
            <w:r>
              <w:rPr>
                <w:sz w:val="17"/>
              </w:rPr>
              <w:t>V3/später</w:t>
            </w:r>
          </w:p>
        </w:tc>
        <w:tc>
          <w:tcPr>
            <w:tcW w:type="dxa" w:w="3324"/>
            <w:vAlign w:val="top"/>
          </w:tcPr>
          <w:p>
            <w:pPr>
              <w:spacing w:after="0"/>
            </w:pPr>
            <w:r>
              <w:rPr>
                <w:sz w:val="17"/>
              </w:rPr>
              <w:t>Optionale oder heikle Erweiterungen</w:t>
            </w:r>
          </w:p>
        </w:tc>
        <w:tc>
          <w:tcPr>
            <w:tcW w:type="dxa" w:w="3324"/>
            <w:vAlign w:val="top"/>
          </w:tcPr>
          <w:p>
            <w:pPr>
              <w:spacing w:after="0"/>
            </w:pPr>
            <w:r>
              <w:rPr>
                <w:sz w:val="17"/>
              </w:rPr>
              <w:t>Browser-Import, Passkey-/Authenticator-nahe Themen, ACME-/PKI-Automation, Team-/Cloud-/Mobile-Strategien, tiefere Enterprise-Funktionen.</w:t>
            </w:r>
          </w:p>
        </w:tc>
      </w:tr>
    </w:tbl>
    <w:p/>
    <w:p>
      <w:pPr>
        <w:pStyle w:val="Heading1"/>
      </w:pPr>
      <w:r>
        <w:t>14. Funktionaler Anforderungskatalog</w:t>
      </w:r>
    </w:p>
    <w:tbl>
      <w:tblPr>
        <w:tblStyle w:val="TableGrid"/>
        <w:tblW w:type="auto" w:w="0"/>
        <w:jc w:val="center"/>
        <w:tblLook w:firstColumn="1" w:firstRow="1" w:lastColumn="0" w:lastRow="0" w:noHBand="0" w:noVBand="1" w:val="04A0"/>
        <w:tblBorders>
          <w:top w:val="single" w:sz="6" w:space="0" w:color="A9BEC5"/>
          <w:left w:val="single" w:sz="6" w:space="0" w:color="A9BEC5"/>
          <w:bottom w:val="single" w:sz="6" w:space="0" w:color="A9BEC5"/>
          <w:right w:val="single" w:sz="6" w:space="0" w:color="A9BEC5"/>
          <w:insideH w:val="single" w:sz="6" w:space="0" w:color="A9BEC5"/>
          <w:insideV w:val="single" w:sz="6" w:space="0" w:color="A9BEC5"/>
        </w:tblBorders>
      </w:tblPr>
      <w:tblGrid>
        <w:gridCol w:w="1994"/>
        <w:gridCol w:w="1994"/>
        <w:gridCol w:w="1994"/>
        <w:gridCol w:w="1994"/>
        <w:gridCol w:w="1994"/>
      </w:tblGrid>
      <w:tr>
        <w:trPr>
          <w:tblHeader w:val="true"/>
          <w:cantSplit/>
        </w:trPr>
        <w:tc>
          <w:tcPr>
            <w:tcW w:type="dxa" w:w="1134"/>
            <w:shd w:fill="153A57"/>
            <w:vAlign w:val="top"/>
          </w:tcPr>
          <w:p>
            <w:pPr>
              <w:spacing w:after="0" w:before="0"/>
            </w:pPr>
            <w:r>
              <w:rPr>
                <w:b/>
                <w:color w:val="FFFFFF"/>
                <w:sz w:val="16"/>
              </w:rPr>
              <w:t>ID</w:t>
            </w:r>
          </w:p>
        </w:tc>
        <w:tc>
          <w:tcPr>
            <w:tcW w:type="dxa" w:w="2835"/>
            <w:shd w:fill="153A57"/>
            <w:vAlign w:val="top"/>
          </w:tcPr>
          <w:p>
            <w:pPr>
              <w:spacing w:after="0" w:before="0"/>
            </w:pPr>
            <w:r>
              <w:rPr>
                <w:b/>
                <w:color w:val="FFFFFF"/>
                <w:sz w:val="16"/>
              </w:rPr>
              <w:t>Anforderung</w:t>
            </w:r>
          </w:p>
        </w:tc>
        <w:tc>
          <w:tcPr>
            <w:tcW w:type="dxa" w:w="1134"/>
            <w:shd w:fill="153A57"/>
            <w:vAlign w:val="top"/>
          </w:tcPr>
          <w:p>
            <w:pPr>
              <w:spacing w:after="0" w:before="0"/>
            </w:pPr>
            <w:r>
              <w:rPr>
                <w:b/>
                <w:color w:val="FFFFFF"/>
                <w:sz w:val="16"/>
              </w:rPr>
              <w:t>Version</w:t>
            </w:r>
          </w:p>
        </w:tc>
        <w:tc>
          <w:tcPr>
            <w:tcW w:type="dxa" w:w="1191"/>
            <w:shd w:fill="153A57"/>
            <w:vAlign w:val="top"/>
          </w:tcPr>
          <w:p>
            <w:pPr>
              <w:spacing w:after="0" w:before="0"/>
            </w:pPr>
            <w:r>
              <w:rPr>
                <w:b/>
                <w:color w:val="FFFFFF"/>
                <w:sz w:val="16"/>
              </w:rPr>
              <w:t>Priorität</w:t>
            </w:r>
          </w:p>
        </w:tc>
        <w:tc>
          <w:tcPr>
            <w:tcW w:type="dxa" w:w="3402"/>
            <w:shd w:fill="153A57"/>
            <w:vAlign w:val="top"/>
          </w:tcPr>
          <w:p>
            <w:pPr>
              <w:spacing w:after="0" w:before="0"/>
            </w:pPr>
            <w:r>
              <w:rPr>
                <w:b/>
                <w:color w:val="FFFFFF"/>
                <w:sz w:val="16"/>
              </w:rPr>
              <w:t>Erläuterung / Abgrenzung</w:t>
            </w:r>
          </w:p>
        </w:tc>
      </w:tr>
      <w:tr>
        <w:trPr>
          <w:cantSplit/>
        </w:trPr>
        <w:tc>
          <w:tcPr>
            <w:tcW w:type="dxa" w:w="1134"/>
            <w:shd w:fill="EAF2F4"/>
            <w:vAlign w:val="top"/>
          </w:tcPr>
          <w:p>
            <w:pPr>
              <w:spacing w:after="0" w:before="0"/>
            </w:pPr>
            <w:r>
              <w:rPr>
                <w:sz w:val="16"/>
              </w:rPr>
              <w:t>LH-F-001</w:t>
            </w:r>
          </w:p>
        </w:tc>
        <w:tc>
          <w:tcPr>
            <w:tcW w:type="dxa" w:w="2835"/>
            <w:vAlign w:val="top"/>
          </w:tcPr>
          <w:p>
            <w:pPr>
              <w:spacing w:after="0" w:before="0"/>
            </w:pPr>
            <w:r>
              <w:rPr>
                <w:sz w:val="16"/>
              </w:rPr>
              <w:t>Lokale Windows-Desktop-Anwendung, offline-first und ohne Cloud-Zwang.</w:t>
            </w:r>
          </w:p>
        </w:tc>
        <w:tc>
          <w:tcPr>
            <w:tcW w:type="dxa" w:w="1134"/>
            <w:shd w:fill="F4F8F9"/>
            <w:vAlign w:val="top"/>
          </w:tcPr>
          <w:p>
            <w:pPr>
              <w:spacing w:after="0" w:before="0"/>
            </w:pPr>
            <w:r>
              <w:rPr>
                <w:sz w:val="16"/>
              </w:rPr>
              <w:t>V1</w:t>
            </w:r>
          </w:p>
        </w:tc>
        <w:tc>
          <w:tcPr>
            <w:tcW w:type="dxa" w:w="1191"/>
            <w:shd w:fill="F4F8F9"/>
            <w:vAlign w:val="top"/>
          </w:tcPr>
          <w:p>
            <w:pPr>
              <w:spacing w:after="0" w:before="0"/>
            </w:pPr>
            <w:r>
              <w:rPr>
                <w:sz w:val="16"/>
              </w:rPr>
              <w:t>Muss</w:t>
            </w:r>
          </w:p>
        </w:tc>
        <w:tc>
          <w:tcPr>
            <w:tcW w:type="dxa" w:w="3402"/>
            <w:vAlign w:val="top"/>
          </w:tcPr>
          <w:p>
            <w:pPr>
              <w:spacing w:after="0" w:before="0"/>
            </w:pPr>
            <w:r>
              <w:rPr>
                <w:sz w:val="16"/>
              </w:rPr>
              <w:t>Die Kernfunktion darf nicht von externen Diensten oder Konten abhängen.</w:t>
            </w:r>
          </w:p>
        </w:tc>
      </w:tr>
      <w:tr>
        <w:trPr>
          <w:cantSplit/>
        </w:trPr>
        <w:tc>
          <w:tcPr>
            <w:tcW w:type="dxa" w:w="1134"/>
            <w:shd w:fill="EAF2F4"/>
            <w:vAlign w:val="top"/>
          </w:tcPr>
          <w:p>
            <w:pPr>
              <w:spacing w:after="0" w:before="0"/>
            </w:pPr>
            <w:r>
              <w:rPr>
                <w:sz w:val="16"/>
              </w:rPr>
              <w:t>LH-F-002</w:t>
            </w:r>
          </w:p>
        </w:tc>
        <w:tc>
          <w:tcPr>
            <w:tcW w:type="dxa" w:w="2835"/>
            <w:vAlign w:val="top"/>
          </w:tcPr>
          <w:p>
            <w:pPr>
              <w:spacing w:after="0" w:before="0"/>
            </w:pPr>
            <w:r>
              <w:rPr>
                <w:sz w:val="16"/>
              </w:rPr>
              <w:t>Mehrere unabhängige Tresore anlegen, öffnen, speichern, schließen und wieder öffnen.</w:t>
            </w:r>
          </w:p>
        </w:tc>
        <w:tc>
          <w:tcPr>
            <w:tcW w:type="dxa" w:w="1134"/>
            <w:shd w:fill="F4F8F9"/>
            <w:vAlign w:val="top"/>
          </w:tcPr>
          <w:p>
            <w:pPr>
              <w:spacing w:after="0" w:before="0"/>
            </w:pPr>
            <w:r>
              <w:rPr>
                <w:sz w:val="16"/>
              </w:rPr>
              <w:t>V1</w:t>
            </w:r>
          </w:p>
        </w:tc>
        <w:tc>
          <w:tcPr>
            <w:tcW w:type="dxa" w:w="1191"/>
            <w:shd w:fill="F4F8F9"/>
            <w:vAlign w:val="top"/>
          </w:tcPr>
          <w:p>
            <w:pPr>
              <w:spacing w:after="0" w:before="0"/>
            </w:pPr>
            <w:r>
              <w:rPr>
                <w:sz w:val="16"/>
              </w:rPr>
              <w:t>Muss</w:t>
            </w:r>
          </w:p>
        </w:tc>
        <w:tc>
          <w:tcPr>
            <w:tcW w:type="dxa" w:w="3402"/>
            <w:vAlign w:val="top"/>
          </w:tcPr>
          <w:p>
            <w:pPr>
              <w:spacing w:after="0" w:before="0"/>
            </w:pPr>
            <w:r>
              <w:rPr>
                <w:sz w:val="16"/>
              </w:rPr>
              <w:t>Private, SASD-interne, kundenbezogene und Archivdaten müssen trennbar bleiben.</w:t>
            </w:r>
          </w:p>
        </w:tc>
      </w:tr>
      <w:tr>
        <w:trPr>
          <w:cantSplit/>
        </w:trPr>
        <w:tc>
          <w:tcPr>
            <w:tcW w:type="dxa" w:w="1134"/>
            <w:shd w:fill="EAF2F4"/>
            <w:vAlign w:val="top"/>
          </w:tcPr>
          <w:p>
            <w:pPr>
              <w:spacing w:after="0" w:before="0"/>
            </w:pPr>
            <w:r>
              <w:rPr>
                <w:sz w:val="16"/>
              </w:rPr>
              <w:t>LH-F-003</w:t>
            </w:r>
          </w:p>
        </w:tc>
        <w:tc>
          <w:tcPr>
            <w:tcW w:type="dxa" w:w="2835"/>
            <w:vAlign w:val="top"/>
          </w:tcPr>
          <w:p>
            <w:pPr>
              <w:spacing w:after="0" w:before="0"/>
            </w:pPr>
            <w:r>
              <w:rPr>
                <w:sz w:val="16"/>
              </w:rPr>
              <w:t>Ein Tresor ist eigene Schutzdomäne mit eigenem Master-Passwort und eigener Datei.</w:t>
            </w:r>
          </w:p>
        </w:tc>
        <w:tc>
          <w:tcPr>
            <w:tcW w:type="dxa" w:w="1134"/>
            <w:shd w:fill="F4F8F9"/>
            <w:vAlign w:val="top"/>
          </w:tcPr>
          <w:p>
            <w:pPr>
              <w:spacing w:after="0" w:before="0"/>
            </w:pPr>
            <w:r>
              <w:rPr>
                <w:sz w:val="16"/>
              </w:rPr>
              <w:t>V1</w:t>
            </w:r>
          </w:p>
        </w:tc>
        <w:tc>
          <w:tcPr>
            <w:tcW w:type="dxa" w:w="1191"/>
            <w:shd w:fill="F4F8F9"/>
            <w:vAlign w:val="top"/>
          </w:tcPr>
          <w:p>
            <w:pPr>
              <w:spacing w:after="0" w:before="0"/>
            </w:pPr>
            <w:r>
              <w:rPr>
                <w:sz w:val="16"/>
              </w:rPr>
              <w:t>Muss</w:t>
            </w:r>
          </w:p>
        </w:tc>
        <w:tc>
          <w:tcPr>
            <w:tcW w:type="dxa" w:w="3402"/>
            <w:vAlign w:val="top"/>
          </w:tcPr>
          <w:p>
            <w:pPr>
              <w:spacing w:after="0" w:before="0"/>
            </w:pPr>
            <w:r>
              <w:rPr>
                <w:sz w:val="16"/>
              </w:rPr>
              <w:t>Inhalte unterschiedlicher Tresore dürfen nicht vermischt oder gemeinsam entsperrt werden.</w:t>
            </w:r>
          </w:p>
        </w:tc>
      </w:tr>
      <w:tr>
        <w:trPr>
          <w:cantSplit/>
        </w:trPr>
        <w:tc>
          <w:tcPr>
            <w:tcW w:type="dxa" w:w="1134"/>
            <w:shd w:fill="EAF2F4"/>
            <w:vAlign w:val="top"/>
          </w:tcPr>
          <w:p>
            <w:pPr>
              <w:spacing w:after="0" w:before="0"/>
            </w:pPr>
            <w:r>
              <w:rPr>
                <w:sz w:val="16"/>
              </w:rPr>
              <w:t>LH-F-004</w:t>
            </w:r>
          </w:p>
        </w:tc>
        <w:tc>
          <w:tcPr>
            <w:tcW w:type="dxa" w:w="2835"/>
            <w:vAlign w:val="top"/>
          </w:tcPr>
          <w:p>
            <w:pPr>
              <w:spacing w:after="0" w:before="0"/>
            </w:pPr>
            <w:r>
              <w:rPr>
                <w:sz w:val="16"/>
              </w:rPr>
              <w:t>MRU-Liste zuletzt verwendeter Tresore ohne Speicherung von Secrets oder Master-Passwörtern.</w:t>
            </w:r>
          </w:p>
        </w:tc>
        <w:tc>
          <w:tcPr>
            <w:tcW w:type="dxa" w:w="1134"/>
            <w:shd w:fill="F4F8F9"/>
            <w:vAlign w:val="top"/>
          </w:tcPr>
          <w:p>
            <w:pPr>
              <w:spacing w:after="0" w:before="0"/>
            </w:pPr>
            <w:r>
              <w:rPr>
                <w:sz w:val="16"/>
              </w:rPr>
              <w:t>V1</w:t>
            </w:r>
          </w:p>
        </w:tc>
        <w:tc>
          <w:tcPr>
            <w:tcW w:type="dxa" w:w="1191"/>
            <w:shd w:fill="F4F8F9"/>
            <w:vAlign w:val="top"/>
          </w:tcPr>
          <w:p>
            <w:pPr>
              <w:spacing w:after="0" w:before="0"/>
            </w:pPr>
            <w:r>
              <w:rPr>
                <w:sz w:val="16"/>
              </w:rPr>
              <w:t>Soll</w:t>
            </w:r>
          </w:p>
        </w:tc>
        <w:tc>
          <w:tcPr>
            <w:tcW w:type="dxa" w:w="3402"/>
            <w:vAlign w:val="top"/>
          </w:tcPr>
          <w:p>
            <w:pPr>
              <w:spacing w:after="0" w:before="0"/>
            </w:pPr>
            <w:r>
              <w:rPr>
                <w:sz w:val="16"/>
              </w:rPr>
              <w:t>Komfortfunktion ohne Verletzung der lokalen Sicherheitsgrenze.</w:t>
            </w:r>
          </w:p>
        </w:tc>
      </w:tr>
      <w:tr>
        <w:trPr>
          <w:cantSplit/>
        </w:trPr>
        <w:tc>
          <w:tcPr>
            <w:tcW w:type="dxa" w:w="1134"/>
            <w:shd w:fill="EAF2F4"/>
            <w:vAlign w:val="top"/>
          </w:tcPr>
          <w:p>
            <w:pPr>
              <w:spacing w:after="0" w:before="0"/>
            </w:pPr>
            <w:r>
              <w:rPr>
                <w:sz w:val="16"/>
              </w:rPr>
              <w:t>LH-F-005</w:t>
            </w:r>
          </w:p>
        </w:tc>
        <w:tc>
          <w:tcPr>
            <w:tcW w:type="dxa" w:w="2835"/>
            <w:vAlign w:val="top"/>
          </w:tcPr>
          <w:p>
            <w:pPr>
              <w:spacing w:after="0" w:before="0"/>
            </w:pPr>
            <w:r>
              <w:rPr>
                <w:sz w:val="16"/>
              </w:rPr>
              <w:t>Robustes Speichern mit Schutz vor Halbspeicherung und Datenverlust.</w:t>
            </w:r>
          </w:p>
        </w:tc>
        <w:tc>
          <w:tcPr>
            <w:tcW w:type="dxa" w:w="1134"/>
            <w:shd w:fill="F4F8F9"/>
            <w:vAlign w:val="top"/>
          </w:tcPr>
          <w:p>
            <w:pPr>
              <w:spacing w:after="0" w:before="0"/>
            </w:pPr>
            <w:r>
              <w:rPr>
                <w:sz w:val="16"/>
              </w:rPr>
              <w:t>V1</w:t>
            </w:r>
          </w:p>
        </w:tc>
        <w:tc>
          <w:tcPr>
            <w:tcW w:type="dxa" w:w="1191"/>
            <w:shd w:fill="F4F8F9"/>
            <w:vAlign w:val="top"/>
          </w:tcPr>
          <w:p>
            <w:pPr>
              <w:spacing w:after="0" w:before="0"/>
            </w:pPr>
            <w:r>
              <w:rPr>
                <w:sz w:val="16"/>
              </w:rPr>
              <w:t>Muss</w:t>
            </w:r>
          </w:p>
        </w:tc>
        <w:tc>
          <w:tcPr>
            <w:tcW w:type="dxa" w:w="3402"/>
            <w:vAlign w:val="top"/>
          </w:tcPr>
          <w:p>
            <w:pPr>
              <w:spacing w:after="0" w:before="0"/>
            </w:pPr>
            <w:r>
              <w:rPr>
                <w:sz w:val="16"/>
              </w:rPr>
              <w:t>Speichervorgänge müssen konservativ und nachvollziehbar gestaltet sein.</w:t>
            </w:r>
          </w:p>
        </w:tc>
      </w:tr>
      <w:tr>
        <w:trPr>
          <w:cantSplit/>
        </w:trPr>
        <w:tc>
          <w:tcPr>
            <w:tcW w:type="dxa" w:w="1134"/>
            <w:shd w:fill="EAF2F4"/>
            <w:vAlign w:val="top"/>
          </w:tcPr>
          <w:p>
            <w:pPr>
              <w:spacing w:after="0" w:before="0"/>
            </w:pPr>
            <w:r>
              <w:rPr>
                <w:sz w:val="16"/>
              </w:rPr>
              <w:t>LH-F-006</w:t>
            </w:r>
          </w:p>
        </w:tc>
        <w:tc>
          <w:tcPr>
            <w:tcW w:type="dxa" w:w="2835"/>
            <w:vAlign w:val="top"/>
          </w:tcPr>
          <w:p>
            <w:pPr>
              <w:spacing w:after="0" w:before="0"/>
            </w:pPr>
            <w:r>
              <w:rPr>
                <w:sz w:val="16"/>
              </w:rPr>
              <w:t>Verschlüsselte Backups und erkennbare Restore-Strategie.</w:t>
            </w:r>
          </w:p>
        </w:tc>
        <w:tc>
          <w:tcPr>
            <w:tcW w:type="dxa" w:w="1134"/>
            <w:shd w:fill="F4F8F9"/>
            <w:vAlign w:val="top"/>
          </w:tcPr>
          <w:p>
            <w:pPr>
              <w:spacing w:after="0" w:before="0"/>
            </w:pPr>
            <w:r>
              <w:rPr>
                <w:sz w:val="16"/>
              </w:rPr>
              <w:t>V1/V1.x</w:t>
            </w:r>
          </w:p>
        </w:tc>
        <w:tc>
          <w:tcPr>
            <w:tcW w:type="dxa" w:w="1191"/>
            <w:shd w:fill="F4F8F9"/>
            <w:vAlign w:val="top"/>
          </w:tcPr>
          <w:p>
            <w:pPr>
              <w:spacing w:after="0" w:before="0"/>
            </w:pPr>
            <w:r>
              <w:rPr>
                <w:sz w:val="16"/>
              </w:rPr>
              <w:t>Muss</w:t>
            </w:r>
          </w:p>
        </w:tc>
        <w:tc>
          <w:tcPr>
            <w:tcW w:type="dxa" w:w="3402"/>
            <w:vAlign w:val="top"/>
          </w:tcPr>
          <w:p>
            <w:pPr>
              <w:spacing w:after="0" w:before="0"/>
            </w:pPr>
            <w:r>
              <w:rPr>
                <w:sz w:val="16"/>
              </w:rPr>
              <w:t>Backups dürfen keine unverschlüsselten Nutzdaten erzeugen.</w:t>
            </w:r>
          </w:p>
        </w:tc>
      </w:tr>
      <w:tr>
        <w:trPr>
          <w:cantSplit/>
        </w:trPr>
        <w:tc>
          <w:tcPr>
            <w:tcW w:type="dxa" w:w="1134"/>
            <w:shd w:fill="EAF2F4"/>
            <w:vAlign w:val="top"/>
          </w:tcPr>
          <w:p>
            <w:pPr>
              <w:spacing w:after="0" w:before="0"/>
            </w:pPr>
            <w:r>
              <w:rPr>
                <w:sz w:val="16"/>
              </w:rPr>
              <w:t>LH-F-007</w:t>
            </w:r>
          </w:p>
        </w:tc>
        <w:tc>
          <w:tcPr>
            <w:tcW w:type="dxa" w:w="2835"/>
            <w:vAlign w:val="top"/>
          </w:tcPr>
          <w:p>
            <w:pPr>
              <w:spacing w:after="0" w:before="0"/>
            </w:pPr>
            <w:r>
              <w:rPr>
                <w:sz w:val="16"/>
              </w:rPr>
              <w:t>Einträge anlegen, bearbeiten, archivieren, löschen und verschieben.</w:t>
            </w:r>
          </w:p>
        </w:tc>
        <w:tc>
          <w:tcPr>
            <w:tcW w:type="dxa" w:w="1134"/>
            <w:shd w:fill="F4F8F9"/>
            <w:vAlign w:val="top"/>
          </w:tcPr>
          <w:p>
            <w:pPr>
              <w:spacing w:after="0" w:before="0"/>
            </w:pPr>
            <w:r>
              <w:rPr>
                <w:sz w:val="16"/>
              </w:rPr>
              <w:t>V1</w:t>
            </w:r>
          </w:p>
        </w:tc>
        <w:tc>
          <w:tcPr>
            <w:tcW w:type="dxa" w:w="1191"/>
            <w:shd w:fill="F4F8F9"/>
            <w:vAlign w:val="top"/>
          </w:tcPr>
          <w:p>
            <w:pPr>
              <w:spacing w:after="0" w:before="0"/>
            </w:pPr>
            <w:r>
              <w:rPr>
                <w:sz w:val="16"/>
              </w:rPr>
              <w:t>Muss</w:t>
            </w:r>
          </w:p>
        </w:tc>
        <w:tc>
          <w:tcPr>
            <w:tcW w:type="dxa" w:w="3402"/>
            <w:vAlign w:val="top"/>
          </w:tcPr>
          <w:p>
            <w:pPr>
              <w:spacing w:after="0" w:before="0"/>
            </w:pPr>
            <w:r>
              <w:rPr>
                <w:sz w:val="16"/>
              </w:rPr>
              <w:t>Grundfunktion jeder Secret-Verwaltung.</w:t>
            </w:r>
          </w:p>
        </w:tc>
      </w:tr>
      <w:tr>
        <w:trPr>
          <w:cantSplit/>
        </w:trPr>
        <w:tc>
          <w:tcPr>
            <w:tcW w:type="dxa" w:w="1134"/>
            <w:shd w:fill="EAF2F4"/>
            <w:vAlign w:val="top"/>
          </w:tcPr>
          <w:p>
            <w:pPr>
              <w:spacing w:after="0" w:before="0"/>
            </w:pPr>
            <w:r>
              <w:rPr>
                <w:sz w:val="16"/>
              </w:rPr>
              <w:t>LH-F-008</w:t>
            </w:r>
          </w:p>
        </w:tc>
        <w:tc>
          <w:tcPr>
            <w:tcW w:type="dxa" w:w="2835"/>
            <w:vAlign w:val="top"/>
          </w:tcPr>
          <w:p>
            <w:pPr>
              <w:spacing w:after="0" w:before="0"/>
            </w:pPr>
            <w:r>
              <w:rPr>
                <w:sz w:val="16"/>
              </w:rPr>
              <w:t>Eintragstypen Login, Database, Mail, Hosting, FTP/SFTP, Server, API, License, SecureNote, Custom.</w:t>
            </w:r>
          </w:p>
        </w:tc>
        <w:tc>
          <w:tcPr>
            <w:tcW w:type="dxa" w:w="1134"/>
            <w:shd w:fill="F4F8F9"/>
            <w:vAlign w:val="top"/>
          </w:tcPr>
          <w:p>
            <w:pPr>
              <w:spacing w:after="0" w:before="0"/>
            </w:pPr>
            <w:r>
              <w:rPr>
                <w:sz w:val="16"/>
              </w:rPr>
              <w:t>V1</w:t>
            </w:r>
          </w:p>
        </w:tc>
        <w:tc>
          <w:tcPr>
            <w:tcW w:type="dxa" w:w="1191"/>
            <w:shd w:fill="F4F8F9"/>
            <w:vAlign w:val="top"/>
          </w:tcPr>
          <w:p>
            <w:pPr>
              <w:spacing w:after="0" w:before="0"/>
            </w:pPr>
            <w:r>
              <w:rPr>
                <w:sz w:val="16"/>
              </w:rPr>
              <w:t>Muss</w:t>
            </w:r>
          </w:p>
        </w:tc>
        <w:tc>
          <w:tcPr>
            <w:tcW w:type="dxa" w:w="3402"/>
            <w:vAlign w:val="top"/>
          </w:tcPr>
          <w:p>
            <w:pPr>
              <w:spacing w:after="0" w:before="0"/>
            </w:pPr>
            <w:r>
              <w:rPr>
                <w:sz w:val="16"/>
              </w:rPr>
              <w:t>Technische Zugangsdaten brauchen fachliche Typisierung.</w:t>
            </w:r>
          </w:p>
        </w:tc>
      </w:tr>
      <w:tr>
        <w:trPr>
          <w:cantSplit/>
        </w:trPr>
        <w:tc>
          <w:tcPr>
            <w:tcW w:type="dxa" w:w="1134"/>
            <w:shd w:fill="EAF2F4"/>
            <w:vAlign w:val="top"/>
          </w:tcPr>
          <w:p>
            <w:pPr>
              <w:spacing w:after="0" w:before="0"/>
            </w:pPr>
            <w:r>
              <w:rPr>
                <w:sz w:val="16"/>
              </w:rPr>
              <w:t>LH-F-009</w:t>
            </w:r>
          </w:p>
        </w:tc>
        <w:tc>
          <w:tcPr>
            <w:tcW w:type="dxa" w:w="2835"/>
            <w:vAlign w:val="top"/>
          </w:tcPr>
          <w:p>
            <w:pPr>
              <w:spacing w:after="0" w:before="0"/>
            </w:pPr>
            <w:r>
              <w:rPr>
                <w:sz w:val="16"/>
              </w:rPr>
              <w:t>Eigenen Eintragstyp HTTPS/TLS-Zertifikat mit strukturierten Zertifikatsfeldern bereitstellen.</w:t>
            </w:r>
          </w:p>
        </w:tc>
        <w:tc>
          <w:tcPr>
            <w:tcW w:type="dxa" w:w="1134"/>
            <w:shd w:fill="F4F8F9"/>
            <w:vAlign w:val="top"/>
          </w:tcPr>
          <w:p>
            <w:pPr>
              <w:spacing w:after="0" w:before="0"/>
            </w:pPr>
            <w:r>
              <w:rPr>
                <w:sz w:val="16"/>
              </w:rPr>
              <w:t>V1</w:t>
            </w:r>
          </w:p>
        </w:tc>
        <w:tc>
          <w:tcPr>
            <w:tcW w:type="dxa" w:w="1191"/>
            <w:shd w:fill="F4F8F9"/>
            <w:vAlign w:val="top"/>
          </w:tcPr>
          <w:p>
            <w:pPr>
              <w:spacing w:after="0" w:before="0"/>
            </w:pPr>
            <w:r>
              <w:rPr>
                <w:sz w:val="16"/>
              </w:rPr>
              <w:t>Muss</w:t>
            </w:r>
          </w:p>
        </w:tc>
        <w:tc>
          <w:tcPr>
            <w:tcW w:type="dxa" w:w="3402"/>
            <w:vAlign w:val="top"/>
          </w:tcPr>
          <w:p>
            <w:pPr>
              <w:spacing w:after="0" w:before="0"/>
            </w:pPr>
            <w:r>
              <w:rPr>
                <w:sz w:val="16"/>
              </w:rPr>
              <w:t>Zertifikate dürfen nicht nur als Freitextnotiz oder beiläufiger Zertifikatsbezug erscheinen.</w:t>
            </w:r>
          </w:p>
        </w:tc>
      </w:tr>
      <w:tr>
        <w:trPr>
          <w:cantSplit/>
        </w:trPr>
        <w:tc>
          <w:tcPr>
            <w:tcW w:type="dxa" w:w="1134"/>
            <w:shd w:fill="EAF2F4"/>
            <w:vAlign w:val="top"/>
          </w:tcPr>
          <w:p>
            <w:pPr>
              <w:spacing w:after="0" w:before="0"/>
            </w:pPr>
            <w:r>
              <w:rPr>
                <w:sz w:val="16"/>
              </w:rPr>
              <w:t>LH-F-010</w:t>
            </w:r>
          </w:p>
        </w:tc>
        <w:tc>
          <w:tcPr>
            <w:tcW w:type="dxa" w:w="2835"/>
            <w:vAlign w:val="top"/>
          </w:tcPr>
          <w:p>
            <w:pPr>
              <w:spacing w:after="0" w:before="0"/>
            </w:pPr>
            <w:r>
              <w:rPr>
                <w:sz w:val="16"/>
              </w:rPr>
              <w:t>Privaten Schlüssel, PFX/P12-Passwort oder Key-Passphrase als geheime Felder behandeln.</w:t>
            </w:r>
          </w:p>
        </w:tc>
        <w:tc>
          <w:tcPr>
            <w:tcW w:type="dxa" w:w="1134"/>
            <w:shd w:fill="F4F8F9"/>
            <w:vAlign w:val="top"/>
          </w:tcPr>
          <w:p>
            <w:pPr>
              <w:spacing w:after="0" w:before="0"/>
            </w:pPr>
            <w:r>
              <w:rPr>
                <w:sz w:val="16"/>
              </w:rPr>
              <w:t>V1</w:t>
            </w:r>
          </w:p>
        </w:tc>
        <w:tc>
          <w:tcPr>
            <w:tcW w:type="dxa" w:w="1191"/>
            <w:shd w:fill="F4F8F9"/>
            <w:vAlign w:val="top"/>
          </w:tcPr>
          <w:p>
            <w:pPr>
              <w:spacing w:after="0" w:before="0"/>
            </w:pPr>
            <w:r>
              <w:rPr>
                <w:sz w:val="16"/>
              </w:rPr>
              <w:t>Muss</w:t>
            </w:r>
          </w:p>
        </w:tc>
        <w:tc>
          <w:tcPr>
            <w:tcW w:type="dxa" w:w="3402"/>
            <w:vAlign w:val="top"/>
          </w:tcPr>
          <w:p>
            <w:pPr>
              <w:spacing w:after="0" w:before="0"/>
            </w:pPr>
            <w:r>
              <w:rPr>
                <w:sz w:val="16"/>
              </w:rPr>
              <w:t>Zertifikatsmaterial kann genauso kritisch wie ein Passwort sein.</w:t>
            </w:r>
          </w:p>
        </w:tc>
      </w:tr>
      <w:tr>
        <w:trPr>
          <w:cantSplit/>
        </w:trPr>
        <w:tc>
          <w:tcPr>
            <w:tcW w:type="dxa" w:w="1134"/>
            <w:shd w:fill="EAF2F4"/>
            <w:vAlign w:val="top"/>
          </w:tcPr>
          <w:p>
            <w:pPr>
              <w:spacing w:after="0" w:before="0"/>
            </w:pPr>
            <w:r>
              <w:rPr>
                <w:sz w:val="16"/>
              </w:rPr>
              <w:t>LH-F-011</w:t>
            </w:r>
          </w:p>
        </w:tc>
        <w:tc>
          <w:tcPr>
            <w:tcW w:type="dxa" w:w="2835"/>
            <w:vAlign w:val="top"/>
          </w:tcPr>
          <w:p>
            <w:pPr>
              <w:spacing w:after="0" w:before="0"/>
            </w:pPr>
            <w:r>
              <w:rPr>
                <w:sz w:val="16"/>
              </w:rPr>
              <w:t>Zertifikatsdateien als verschlüsselte Anhänge oder sichere Importobjekte verwalten.</w:t>
            </w:r>
          </w:p>
        </w:tc>
        <w:tc>
          <w:tcPr>
            <w:tcW w:type="dxa" w:w="1134"/>
            <w:shd w:fill="F4F8F9"/>
            <w:vAlign w:val="top"/>
          </w:tcPr>
          <w:p>
            <w:pPr>
              <w:spacing w:after="0" w:before="0"/>
            </w:pPr>
            <w:r>
              <w:rPr>
                <w:sz w:val="16"/>
              </w:rPr>
              <w:t>V2</w:t>
            </w:r>
          </w:p>
        </w:tc>
        <w:tc>
          <w:tcPr>
            <w:tcW w:type="dxa" w:w="1191"/>
            <w:shd w:fill="F4F8F9"/>
            <w:vAlign w:val="top"/>
          </w:tcPr>
          <w:p>
            <w:pPr>
              <w:spacing w:after="0" w:before="0"/>
            </w:pPr>
            <w:r>
              <w:rPr>
                <w:sz w:val="16"/>
              </w:rPr>
              <w:t>Soll</w:t>
            </w:r>
          </w:p>
        </w:tc>
        <w:tc>
          <w:tcPr>
            <w:tcW w:type="dxa" w:w="3402"/>
            <w:vAlign w:val="top"/>
          </w:tcPr>
          <w:p>
            <w:pPr>
              <w:spacing w:after="0" w:before="0"/>
            </w:pPr>
            <w:r>
              <w:rPr>
                <w:sz w:val="16"/>
              </w:rPr>
              <w:t>Binäranhänge erhöhen Komplexität und werden nicht in die frühe Grundversion gedrückt.</w:t>
            </w:r>
          </w:p>
        </w:tc>
      </w:tr>
      <w:tr>
        <w:trPr>
          <w:cantSplit/>
        </w:trPr>
        <w:tc>
          <w:tcPr>
            <w:tcW w:type="dxa" w:w="1134"/>
            <w:shd w:fill="EAF2F4"/>
            <w:vAlign w:val="top"/>
          </w:tcPr>
          <w:p>
            <w:pPr>
              <w:spacing w:after="0" w:before="0"/>
            </w:pPr>
            <w:r>
              <w:rPr>
                <w:sz w:val="16"/>
              </w:rPr>
              <w:t>LH-F-012</w:t>
            </w:r>
          </w:p>
        </w:tc>
        <w:tc>
          <w:tcPr>
            <w:tcW w:type="dxa" w:w="2835"/>
            <w:vAlign w:val="top"/>
          </w:tcPr>
          <w:p>
            <w:pPr>
              <w:spacing w:after="0" w:before="0"/>
            </w:pPr>
            <w:r>
              <w:rPr>
                <w:sz w:val="16"/>
              </w:rPr>
              <w:t>Ablaufdatum und Erneuerungsfrist von Zertifikaten anzeigen und später warnen.</w:t>
            </w:r>
          </w:p>
        </w:tc>
        <w:tc>
          <w:tcPr>
            <w:tcW w:type="dxa" w:w="1134"/>
            <w:shd w:fill="F4F8F9"/>
            <w:vAlign w:val="top"/>
          </w:tcPr>
          <w:p>
            <w:pPr>
              <w:spacing w:after="0" w:before="0"/>
            </w:pPr>
            <w:r>
              <w:rPr>
                <w:sz w:val="16"/>
              </w:rPr>
              <w:t>V1.x/V2</w:t>
            </w:r>
          </w:p>
        </w:tc>
        <w:tc>
          <w:tcPr>
            <w:tcW w:type="dxa" w:w="1191"/>
            <w:shd w:fill="F4F8F9"/>
            <w:vAlign w:val="top"/>
          </w:tcPr>
          <w:p>
            <w:pPr>
              <w:spacing w:after="0" w:before="0"/>
            </w:pPr>
            <w:r>
              <w:rPr>
                <w:sz w:val="16"/>
              </w:rPr>
              <w:t>Soll</w:t>
            </w:r>
          </w:p>
        </w:tc>
        <w:tc>
          <w:tcPr>
            <w:tcW w:type="dxa" w:w="3402"/>
            <w:vAlign w:val="top"/>
          </w:tcPr>
          <w:p>
            <w:pPr>
              <w:spacing w:after="0" w:before="0"/>
            </w:pPr>
            <w:r>
              <w:rPr>
                <w:sz w:val="16"/>
              </w:rPr>
              <w:t>Nützlich für Betrieb, aber Warn-/Reminder-Logik kann nach dem Grundmodell folgen.</w:t>
            </w:r>
          </w:p>
        </w:tc>
      </w:tr>
      <w:tr>
        <w:trPr>
          <w:cantSplit/>
        </w:trPr>
        <w:tc>
          <w:tcPr>
            <w:tcW w:type="dxa" w:w="1134"/>
            <w:shd w:fill="EAF2F4"/>
            <w:vAlign w:val="top"/>
          </w:tcPr>
          <w:p>
            <w:pPr>
              <w:spacing w:after="0" w:before="0"/>
            </w:pPr>
            <w:r>
              <w:rPr>
                <w:sz w:val="16"/>
              </w:rPr>
              <w:t>LH-F-013</w:t>
            </w:r>
          </w:p>
        </w:tc>
        <w:tc>
          <w:tcPr>
            <w:tcW w:type="dxa" w:w="2835"/>
            <w:vAlign w:val="top"/>
          </w:tcPr>
          <w:p>
            <w:pPr>
              <w:spacing w:after="0" w:before="0"/>
            </w:pPr>
            <w:r>
              <w:rPr>
                <w:sz w:val="16"/>
              </w:rPr>
              <w:t>ACME- oder automatische Zertifikatserneuerung nicht als V1-Ziel behandeln.</w:t>
            </w:r>
          </w:p>
        </w:tc>
        <w:tc>
          <w:tcPr>
            <w:tcW w:type="dxa" w:w="1134"/>
            <w:shd w:fill="F4F8F9"/>
            <w:vAlign w:val="top"/>
          </w:tcPr>
          <w:p>
            <w:pPr>
              <w:spacing w:after="0" w:before="0"/>
            </w:pPr>
            <w:r>
              <w:rPr>
                <w:sz w:val="16"/>
              </w:rPr>
              <w:t>V3</w:t>
            </w:r>
          </w:p>
        </w:tc>
        <w:tc>
          <w:tcPr>
            <w:tcW w:type="dxa" w:w="1191"/>
            <w:shd w:fill="F4F8F9"/>
            <w:vAlign w:val="top"/>
          </w:tcPr>
          <w:p>
            <w:pPr>
              <w:spacing w:after="0" w:before="0"/>
            </w:pPr>
            <w:r>
              <w:rPr>
                <w:sz w:val="16"/>
              </w:rPr>
              <w:t>Kann</w:t>
            </w:r>
          </w:p>
        </w:tc>
        <w:tc>
          <w:tcPr>
            <w:tcW w:type="dxa" w:w="3402"/>
            <w:vAlign w:val="top"/>
          </w:tcPr>
          <w:p>
            <w:pPr>
              <w:spacing w:after="0" w:before="0"/>
            </w:pPr>
            <w:r>
              <w:rPr>
                <w:sz w:val="16"/>
              </w:rPr>
              <w:t>Wäre ein eigenes Betriebs- und Integrationsprojekt.</w:t>
            </w:r>
          </w:p>
        </w:tc>
      </w:tr>
      <w:tr>
        <w:trPr>
          <w:cantSplit/>
        </w:trPr>
        <w:tc>
          <w:tcPr>
            <w:tcW w:type="dxa" w:w="1134"/>
            <w:shd w:fill="EAF2F4"/>
            <w:vAlign w:val="top"/>
          </w:tcPr>
          <w:p>
            <w:pPr>
              <w:spacing w:after="0" w:before="0"/>
            </w:pPr>
            <w:r>
              <w:rPr>
                <w:sz w:val="16"/>
              </w:rPr>
              <w:t>LH-F-014</w:t>
            </w:r>
          </w:p>
        </w:tc>
        <w:tc>
          <w:tcPr>
            <w:tcW w:type="dxa" w:w="2835"/>
            <w:vAlign w:val="top"/>
          </w:tcPr>
          <w:p>
            <w:pPr>
              <w:spacing w:after="0" w:before="0"/>
            </w:pPr>
            <w:r>
              <w:rPr>
                <w:sz w:val="16"/>
              </w:rPr>
              <w:t>Strukturierte Zusatzfelder mit Feldtyp, Geheimkennzeichnung und Sortierung.</w:t>
            </w:r>
          </w:p>
        </w:tc>
        <w:tc>
          <w:tcPr>
            <w:tcW w:type="dxa" w:w="1134"/>
            <w:shd w:fill="F4F8F9"/>
            <w:vAlign w:val="top"/>
          </w:tcPr>
          <w:p>
            <w:pPr>
              <w:spacing w:after="0" w:before="0"/>
            </w:pPr>
            <w:r>
              <w:rPr>
                <w:sz w:val="16"/>
              </w:rPr>
              <w:t>V1</w:t>
            </w:r>
          </w:p>
        </w:tc>
        <w:tc>
          <w:tcPr>
            <w:tcW w:type="dxa" w:w="1191"/>
            <w:shd w:fill="F4F8F9"/>
            <w:vAlign w:val="top"/>
          </w:tcPr>
          <w:p>
            <w:pPr>
              <w:spacing w:after="0" w:before="0"/>
            </w:pPr>
            <w:r>
              <w:rPr>
                <w:sz w:val="16"/>
              </w:rPr>
              <w:t>Muss</w:t>
            </w:r>
          </w:p>
        </w:tc>
        <w:tc>
          <w:tcPr>
            <w:tcW w:type="dxa" w:w="3402"/>
            <w:vAlign w:val="top"/>
          </w:tcPr>
          <w:p>
            <w:pPr>
              <w:spacing w:after="0" w:before="0"/>
            </w:pPr>
            <w:r>
              <w:rPr>
                <w:sz w:val="16"/>
              </w:rPr>
              <w:t>Host, Port, Endpoints, Zertifikatsdaten und technische Metadaten dürfen nicht im Freitext verschwinden.</w:t>
            </w:r>
          </w:p>
        </w:tc>
      </w:tr>
      <w:tr>
        <w:trPr>
          <w:cantSplit/>
        </w:trPr>
        <w:tc>
          <w:tcPr>
            <w:tcW w:type="dxa" w:w="1134"/>
            <w:shd w:fill="EAF2F4"/>
            <w:vAlign w:val="top"/>
          </w:tcPr>
          <w:p>
            <w:pPr>
              <w:spacing w:after="0" w:before="0"/>
            </w:pPr>
            <w:r>
              <w:rPr>
                <w:sz w:val="16"/>
              </w:rPr>
              <w:t>LH-F-015</w:t>
            </w:r>
          </w:p>
        </w:tc>
        <w:tc>
          <w:tcPr>
            <w:tcW w:type="dxa" w:w="2835"/>
            <w:vAlign w:val="top"/>
          </w:tcPr>
          <w:p>
            <w:pPr>
              <w:spacing w:after="0" w:before="0"/>
            </w:pPr>
            <w:r>
              <w:rPr>
                <w:sz w:val="16"/>
              </w:rPr>
              <w:t>Gruppen, Untergruppen und sichtbarer Root-/Tresorknoten.</w:t>
            </w:r>
          </w:p>
        </w:tc>
        <w:tc>
          <w:tcPr>
            <w:tcW w:type="dxa" w:w="1134"/>
            <w:shd w:fill="F4F8F9"/>
            <w:vAlign w:val="top"/>
          </w:tcPr>
          <w:p>
            <w:pPr>
              <w:spacing w:after="0" w:before="0"/>
            </w:pPr>
            <w:r>
              <w:rPr>
                <w:sz w:val="16"/>
              </w:rPr>
              <w:t>V1</w:t>
            </w:r>
          </w:p>
        </w:tc>
        <w:tc>
          <w:tcPr>
            <w:tcW w:type="dxa" w:w="1191"/>
            <w:shd w:fill="F4F8F9"/>
            <w:vAlign w:val="top"/>
          </w:tcPr>
          <w:p>
            <w:pPr>
              <w:spacing w:after="0" w:before="0"/>
            </w:pPr>
            <w:r>
              <w:rPr>
                <w:sz w:val="16"/>
              </w:rPr>
              <w:t>Muss</w:t>
            </w:r>
          </w:p>
        </w:tc>
        <w:tc>
          <w:tcPr>
            <w:tcW w:type="dxa" w:w="3402"/>
            <w:vAlign w:val="top"/>
          </w:tcPr>
          <w:p>
            <w:pPr>
              <w:spacing w:after="0" w:before="0"/>
            </w:pPr>
            <w:r>
              <w:rPr>
                <w:sz w:val="16"/>
              </w:rPr>
              <w:t>Hauptgruppen müssen klar angelegt werden können.</w:t>
            </w:r>
          </w:p>
        </w:tc>
      </w:tr>
      <w:tr>
        <w:trPr>
          <w:cantSplit/>
        </w:trPr>
        <w:tc>
          <w:tcPr>
            <w:tcW w:type="dxa" w:w="1134"/>
            <w:shd w:fill="EAF2F4"/>
            <w:vAlign w:val="top"/>
          </w:tcPr>
          <w:p>
            <w:pPr>
              <w:spacing w:after="0" w:before="0"/>
            </w:pPr>
            <w:r>
              <w:rPr>
                <w:sz w:val="16"/>
              </w:rPr>
              <w:t>LH-F-016</w:t>
            </w:r>
          </w:p>
        </w:tc>
        <w:tc>
          <w:tcPr>
            <w:tcW w:type="dxa" w:w="2835"/>
            <w:vAlign w:val="top"/>
          </w:tcPr>
          <w:p>
            <w:pPr>
              <w:spacing w:after="0" w:before="0"/>
            </w:pPr>
            <w:r>
              <w:rPr>
                <w:sz w:val="16"/>
              </w:rPr>
              <w:t>Tags als freie Querzuordnung mit Normalisierung und Suche.</w:t>
            </w:r>
          </w:p>
        </w:tc>
        <w:tc>
          <w:tcPr>
            <w:tcW w:type="dxa" w:w="1134"/>
            <w:shd w:fill="F4F8F9"/>
            <w:vAlign w:val="top"/>
          </w:tcPr>
          <w:p>
            <w:pPr>
              <w:spacing w:after="0" w:before="0"/>
            </w:pPr>
            <w:r>
              <w:rPr>
                <w:sz w:val="16"/>
              </w:rPr>
              <w:t>V1</w:t>
            </w:r>
          </w:p>
        </w:tc>
        <w:tc>
          <w:tcPr>
            <w:tcW w:type="dxa" w:w="1191"/>
            <w:shd w:fill="F4F8F9"/>
            <w:vAlign w:val="top"/>
          </w:tcPr>
          <w:p>
            <w:pPr>
              <w:spacing w:after="0" w:before="0"/>
            </w:pPr>
            <w:r>
              <w:rPr>
                <w:sz w:val="16"/>
              </w:rPr>
              <w:t>Muss</w:t>
            </w:r>
          </w:p>
        </w:tc>
        <w:tc>
          <w:tcPr>
            <w:tcW w:type="dxa" w:w="3402"/>
            <w:vAlign w:val="top"/>
          </w:tcPr>
          <w:p>
            <w:pPr>
              <w:spacing w:after="0" w:before="0"/>
            </w:pPr>
            <w:r>
              <w:rPr>
                <w:sz w:val="16"/>
              </w:rPr>
              <w:t>Provider, Projekt, Kunde, Umgebung und Technologie sollen quer auffindbar bleiben.</w:t>
            </w:r>
          </w:p>
        </w:tc>
      </w:tr>
      <w:tr>
        <w:trPr>
          <w:cantSplit/>
        </w:trPr>
        <w:tc>
          <w:tcPr>
            <w:tcW w:type="dxa" w:w="1134"/>
            <w:shd w:fill="EAF2F4"/>
            <w:vAlign w:val="top"/>
          </w:tcPr>
          <w:p>
            <w:pPr>
              <w:spacing w:after="0" w:before="0"/>
            </w:pPr>
            <w:r>
              <w:rPr>
                <w:sz w:val="16"/>
              </w:rPr>
              <w:t>LH-F-017</w:t>
            </w:r>
          </w:p>
        </w:tc>
        <w:tc>
          <w:tcPr>
            <w:tcW w:type="dxa" w:w="2835"/>
            <w:vAlign w:val="top"/>
          </w:tcPr>
          <w:p>
            <w:pPr>
              <w:spacing w:after="0" w:before="0"/>
            </w:pPr>
            <w:r>
              <w:rPr>
                <w:sz w:val="16"/>
              </w:rPr>
              <w:t>Suche über Titel, Benutzerkennung, Typ, Gruppen, Tags, Notizen und nicht geheime Zusatzfelder.</w:t>
            </w:r>
          </w:p>
        </w:tc>
        <w:tc>
          <w:tcPr>
            <w:tcW w:type="dxa" w:w="1134"/>
            <w:shd w:fill="F4F8F9"/>
            <w:vAlign w:val="top"/>
          </w:tcPr>
          <w:p>
            <w:pPr>
              <w:spacing w:after="0" w:before="0"/>
            </w:pPr>
            <w:r>
              <w:rPr>
                <w:sz w:val="16"/>
              </w:rPr>
              <w:t>V1</w:t>
            </w:r>
          </w:p>
        </w:tc>
        <w:tc>
          <w:tcPr>
            <w:tcW w:type="dxa" w:w="1191"/>
            <w:shd w:fill="F4F8F9"/>
            <w:vAlign w:val="top"/>
          </w:tcPr>
          <w:p>
            <w:pPr>
              <w:spacing w:after="0" w:before="0"/>
            </w:pPr>
            <w:r>
              <w:rPr>
                <w:sz w:val="16"/>
              </w:rPr>
              <w:t>Muss</w:t>
            </w:r>
          </w:p>
        </w:tc>
        <w:tc>
          <w:tcPr>
            <w:tcW w:type="dxa" w:w="3402"/>
            <w:vAlign w:val="top"/>
          </w:tcPr>
          <w:p>
            <w:pPr>
              <w:spacing w:after="0" w:before="0"/>
            </w:pPr>
            <w:r>
              <w:rPr>
                <w:sz w:val="16"/>
              </w:rPr>
              <w:t>Wiederauffindbarkeit ist Kernnutzen.</w:t>
            </w:r>
          </w:p>
        </w:tc>
      </w:tr>
      <w:tr>
        <w:trPr>
          <w:cantSplit/>
        </w:trPr>
        <w:tc>
          <w:tcPr>
            <w:tcW w:type="dxa" w:w="1134"/>
            <w:shd w:fill="EAF2F4"/>
            <w:vAlign w:val="top"/>
          </w:tcPr>
          <w:p>
            <w:pPr>
              <w:spacing w:after="0" w:before="0"/>
            </w:pPr>
            <w:r>
              <w:rPr>
                <w:sz w:val="16"/>
              </w:rPr>
              <w:t>LH-F-018</w:t>
            </w:r>
          </w:p>
        </w:tc>
        <w:tc>
          <w:tcPr>
            <w:tcW w:type="dxa" w:w="2835"/>
            <w:vAlign w:val="top"/>
          </w:tcPr>
          <w:p>
            <w:pPr>
              <w:spacing w:after="0" w:before="0"/>
            </w:pPr>
            <w:r>
              <w:rPr>
                <w:sz w:val="16"/>
              </w:rPr>
              <w:t>Filter nach Typ und Tags, später erweiterte Tag-Verwaltung.</w:t>
            </w:r>
          </w:p>
        </w:tc>
        <w:tc>
          <w:tcPr>
            <w:tcW w:type="dxa" w:w="1134"/>
            <w:shd w:fill="F4F8F9"/>
            <w:vAlign w:val="top"/>
          </w:tcPr>
          <w:p>
            <w:pPr>
              <w:spacing w:after="0" w:before="0"/>
            </w:pPr>
            <w:r>
              <w:rPr>
                <w:sz w:val="16"/>
              </w:rPr>
              <w:t>V1/V1.x</w:t>
            </w:r>
          </w:p>
        </w:tc>
        <w:tc>
          <w:tcPr>
            <w:tcW w:type="dxa" w:w="1191"/>
            <w:shd w:fill="F4F8F9"/>
            <w:vAlign w:val="top"/>
          </w:tcPr>
          <w:p>
            <w:pPr>
              <w:spacing w:after="0" w:before="0"/>
            </w:pPr>
            <w:r>
              <w:rPr>
                <w:sz w:val="16"/>
              </w:rPr>
              <w:t>Soll</w:t>
            </w:r>
          </w:p>
        </w:tc>
        <w:tc>
          <w:tcPr>
            <w:tcW w:type="dxa" w:w="3402"/>
            <w:vAlign w:val="top"/>
          </w:tcPr>
          <w:p>
            <w:pPr>
              <w:spacing w:after="0" w:before="0"/>
            </w:pPr>
            <w:r>
              <w:rPr>
                <w:sz w:val="16"/>
              </w:rPr>
              <w:t>Alltagstauglichkeit bei vielen Einträgen.</w:t>
            </w:r>
          </w:p>
        </w:tc>
      </w:tr>
      <w:tr>
        <w:trPr>
          <w:cantSplit/>
        </w:trPr>
        <w:tc>
          <w:tcPr>
            <w:tcW w:type="dxa" w:w="1134"/>
            <w:shd w:fill="EAF2F4"/>
            <w:vAlign w:val="top"/>
          </w:tcPr>
          <w:p>
            <w:pPr>
              <w:spacing w:after="0" w:before="0"/>
            </w:pPr>
            <w:r>
              <w:rPr>
                <w:sz w:val="16"/>
              </w:rPr>
              <w:t>LH-F-019</w:t>
            </w:r>
          </w:p>
        </w:tc>
        <w:tc>
          <w:tcPr>
            <w:tcW w:type="dxa" w:w="2835"/>
            <w:vAlign w:val="top"/>
          </w:tcPr>
          <w:p>
            <w:pPr>
              <w:spacing w:after="0" w:before="0"/>
            </w:pPr>
            <w:r>
              <w:rPr>
                <w:sz w:val="16"/>
              </w:rPr>
              <w:t>Kontextmenüs und Drag-and-Drop für Einträge und Gruppen mit Schutzabfragen.</w:t>
            </w:r>
          </w:p>
        </w:tc>
        <w:tc>
          <w:tcPr>
            <w:tcW w:type="dxa" w:w="1134"/>
            <w:shd w:fill="F4F8F9"/>
            <w:vAlign w:val="top"/>
          </w:tcPr>
          <w:p>
            <w:pPr>
              <w:spacing w:after="0" w:before="0"/>
            </w:pPr>
            <w:r>
              <w:rPr>
                <w:sz w:val="16"/>
              </w:rPr>
              <w:t>V1</w:t>
            </w:r>
          </w:p>
        </w:tc>
        <w:tc>
          <w:tcPr>
            <w:tcW w:type="dxa" w:w="1191"/>
            <w:shd w:fill="F4F8F9"/>
            <w:vAlign w:val="top"/>
          </w:tcPr>
          <w:p>
            <w:pPr>
              <w:spacing w:after="0" w:before="0"/>
            </w:pPr>
            <w:r>
              <w:rPr>
                <w:sz w:val="16"/>
              </w:rPr>
              <w:t>Muss</w:t>
            </w:r>
          </w:p>
        </w:tc>
        <w:tc>
          <w:tcPr>
            <w:tcW w:type="dxa" w:w="3402"/>
            <w:vAlign w:val="top"/>
          </w:tcPr>
          <w:p>
            <w:pPr>
              <w:spacing w:after="0" w:before="0"/>
            </w:pPr>
            <w:r>
              <w:rPr>
                <w:sz w:val="16"/>
              </w:rPr>
              <w:t>Natürliche Organisation ohne überladene Button-Oberfläche.</w:t>
            </w:r>
          </w:p>
        </w:tc>
      </w:tr>
      <w:tr>
        <w:trPr>
          <w:cantSplit/>
        </w:trPr>
        <w:tc>
          <w:tcPr>
            <w:tcW w:type="dxa" w:w="1134"/>
            <w:shd w:fill="EAF2F4"/>
            <w:vAlign w:val="top"/>
          </w:tcPr>
          <w:p>
            <w:pPr>
              <w:spacing w:after="0" w:before="0"/>
            </w:pPr>
            <w:r>
              <w:rPr>
                <w:sz w:val="16"/>
              </w:rPr>
              <w:t>LH-F-020</w:t>
            </w:r>
          </w:p>
        </w:tc>
        <w:tc>
          <w:tcPr>
            <w:tcW w:type="dxa" w:w="2835"/>
            <w:vAlign w:val="top"/>
          </w:tcPr>
          <w:p>
            <w:pPr>
              <w:spacing w:after="0" w:before="0"/>
            </w:pPr>
            <w:r>
              <w:rPr>
                <w:sz w:val="16"/>
              </w:rPr>
              <w:t>Erstellungs- und Änderungszeitpunkte pro Eintrag.</w:t>
            </w:r>
          </w:p>
        </w:tc>
        <w:tc>
          <w:tcPr>
            <w:tcW w:type="dxa" w:w="1134"/>
            <w:shd w:fill="F4F8F9"/>
            <w:vAlign w:val="top"/>
          </w:tcPr>
          <w:p>
            <w:pPr>
              <w:spacing w:after="0" w:before="0"/>
            </w:pPr>
            <w:r>
              <w:rPr>
                <w:sz w:val="16"/>
              </w:rPr>
              <w:t>V1</w:t>
            </w:r>
          </w:p>
        </w:tc>
        <w:tc>
          <w:tcPr>
            <w:tcW w:type="dxa" w:w="1191"/>
            <w:shd w:fill="F4F8F9"/>
            <w:vAlign w:val="top"/>
          </w:tcPr>
          <w:p>
            <w:pPr>
              <w:spacing w:after="0" w:before="0"/>
            </w:pPr>
            <w:r>
              <w:rPr>
                <w:sz w:val="16"/>
              </w:rPr>
              <w:t>Muss</w:t>
            </w:r>
          </w:p>
        </w:tc>
        <w:tc>
          <w:tcPr>
            <w:tcW w:type="dxa" w:w="3402"/>
            <w:vAlign w:val="top"/>
          </w:tcPr>
          <w:p>
            <w:pPr>
              <w:spacing w:after="0" w:before="0"/>
            </w:pPr>
            <w:r>
              <w:rPr>
                <w:sz w:val="16"/>
              </w:rPr>
              <w:t>Nachvollziehbarkeit und spätere Historienfunktionen.</w:t>
            </w:r>
          </w:p>
        </w:tc>
      </w:tr>
      <w:tr>
        <w:trPr>
          <w:cantSplit/>
        </w:trPr>
        <w:tc>
          <w:tcPr>
            <w:tcW w:type="dxa" w:w="1134"/>
            <w:shd w:fill="EAF2F4"/>
            <w:vAlign w:val="top"/>
          </w:tcPr>
          <w:p>
            <w:pPr>
              <w:spacing w:after="0" w:before="0"/>
            </w:pPr>
            <w:r>
              <w:rPr>
                <w:sz w:val="16"/>
              </w:rPr>
              <w:t>LH-F-021</w:t>
            </w:r>
          </w:p>
        </w:tc>
        <w:tc>
          <w:tcPr>
            <w:tcW w:type="dxa" w:w="2835"/>
            <w:vAlign w:val="top"/>
          </w:tcPr>
          <w:p>
            <w:pPr>
              <w:spacing w:after="0" w:before="0"/>
            </w:pPr>
            <w:r>
              <w:rPr>
                <w:sz w:val="16"/>
              </w:rPr>
              <w:t>Sensible Werte standardmäßig maskieren und nur bewusst anzeigen.</w:t>
            </w:r>
          </w:p>
        </w:tc>
        <w:tc>
          <w:tcPr>
            <w:tcW w:type="dxa" w:w="1134"/>
            <w:shd w:fill="F4F8F9"/>
            <w:vAlign w:val="top"/>
          </w:tcPr>
          <w:p>
            <w:pPr>
              <w:spacing w:after="0" w:before="0"/>
            </w:pPr>
            <w:r>
              <w:rPr>
                <w:sz w:val="16"/>
              </w:rPr>
              <w:t>V1</w:t>
            </w:r>
          </w:p>
        </w:tc>
        <w:tc>
          <w:tcPr>
            <w:tcW w:type="dxa" w:w="1191"/>
            <w:shd w:fill="F4F8F9"/>
            <w:vAlign w:val="top"/>
          </w:tcPr>
          <w:p>
            <w:pPr>
              <w:spacing w:after="0" w:before="0"/>
            </w:pPr>
            <w:r>
              <w:rPr>
                <w:sz w:val="16"/>
              </w:rPr>
              <w:t>Muss</w:t>
            </w:r>
          </w:p>
        </w:tc>
        <w:tc>
          <w:tcPr>
            <w:tcW w:type="dxa" w:w="3402"/>
            <w:vAlign w:val="top"/>
          </w:tcPr>
          <w:p>
            <w:pPr>
              <w:spacing w:after="0" w:before="0"/>
            </w:pPr>
            <w:r>
              <w:rPr>
                <w:sz w:val="16"/>
              </w:rPr>
              <w:t>Schutz gegen zufällige Offenlegung.</w:t>
            </w:r>
          </w:p>
        </w:tc>
      </w:tr>
      <w:tr>
        <w:trPr>
          <w:cantSplit/>
        </w:trPr>
        <w:tc>
          <w:tcPr>
            <w:tcW w:type="dxa" w:w="1134"/>
            <w:shd w:fill="EAF2F4"/>
            <w:vAlign w:val="top"/>
          </w:tcPr>
          <w:p>
            <w:pPr>
              <w:spacing w:after="0" w:before="0"/>
            </w:pPr>
            <w:r>
              <w:rPr>
                <w:sz w:val="16"/>
              </w:rPr>
              <w:t>LH-F-022</w:t>
            </w:r>
          </w:p>
        </w:tc>
        <w:tc>
          <w:tcPr>
            <w:tcW w:type="dxa" w:w="2835"/>
            <w:vAlign w:val="top"/>
          </w:tcPr>
          <w:p>
            <w:pPr>
              <w:spacing w:after="0" w:before="0"/>
            </w:pPr>
            <w:r>
              <w:rPr>
                <w:sz w:val="16"/>
              </w:rPr>
              <w:t>Copy-Aktionen für sensible Werte mit Feedback und Clipboard-Autoclear.</w:t>
            </w:r>
          </w:p>
        </w:tc>
        <w:tc>
          <w:tcPr>
            <w:tcW w:type="dxa" w:w="1134"/>
            <w:shd w:fill="F4F8F9"/>
            <w:vAlign w:val="top"/>
          </w:tcPr>
          <w:p>
            <w:pPr>
              <w:spacing w:after="0" w:before="0"/>
            </w:pPr>
            <w:r>
              <w:rPr>
                <w:sz w:val="16"/>
              </w:rPr>
              <w:t>V1</w:t>
            </w:r>
          </w:p>
        </w:tc>
        <w:tc>
          <w:tcPr>
            <w:tcW w:type="dxa" w:w="1191"/>
            <w:shd w:fill="F4F8F9"/>
            <w:vAlign w:val="top"/>
          </w:tcPr>
          <w:p>
            <w:pPr>
              <w:spacing w:after="0" w:before="0"/>
            </w:pPr>
            <w:r>
              <w:rPr>
                <w:sz w:val="16"/>
              </w:rPr>
              <w:t>Muss</w:t>
            </w:r>
          </w:p>
        </w:tc>
        <w:tc>
          <w:tcPr>
            <w:tcW w:type="dxa" w:w="3402"/>
            <w:vAlign w:val="top"/>
          </w:tcPr>
          <w:p>
            <w:pPr>
              <w:spacing w:after="0" w:before="0"/>
            </w:pPr>
            <w:r>
              <w:rPr>
                <w:sz w:val="16"/>
              </w:rPr>
              <w:t>Zwischenablage ist ein praktisches Risiko.</w:t>
            </w:r>
          </w:p>
        </w:tc>
      </w:tr>
      <w:tr>
        <w:trPr>
          <w:cantSplit/>
        </w:trPr>
        <w:tc>
          <w:tcPr>
            <w:tcW w:type="dxa" w:w="1134"/>
            <w:shd w:fill="EAF2F4"/>
            <w:vAlign w:val="top"/>
          </w:tcPr>
          <w:p>
            <w:pPr>
              <w:spacing w:after="0" w:before="0"/>
            </w:pPr>
            <w:r>
              <w:rPr>
                <w:sz w:val="16"/>
              </w:rPr>
              <w:t>LH-F-023</w:t>
            </w:r>
          </w:p>
        </w:tc>
        <w:tc>
          <w:tcPr>
            <w:tcW w:type="dxa" w:w="2835"/>
            <w:vAlign w:val="top"/>
          </w:tcPr>
          <w:p>
            <w:pPr>
              <w:spacing w:after="0" w:before="0"/>
            </w:pPr>
            <w:r>
              <w:rPr>
                <w:sz w:val="16"/>
              </w:rPr>
              <w:t>Auto-Lock / manuelles Sperren des aktiven Tresors.</w:t>
            </w:r>
          </w:p>
        </w:tc>
        <w:tc>
          <w:tcPr>
            <w:tcW w:type="dxa" w:w="1134"/>
            <w:shd w:fill="F4F8F9"/>
            <w:vAlign w:val="top"/>
          </w:tcPr>
          <w:p>
            <w:pPr>
              <w:spacing w:after="0" w:before="0"/>
            </w:pPr>
            <w:r>
              <w:rPr>
                <w:sz w:val="16"/>
              </w:rPr>
              <w:t>V1</w:t>
            </w:r>
          </w:p>
        </w:tc>
        <w:tc>
          <w:tcPr>
            <w:tcW w:type="dxa" w:w="1191"/>
            <w:shd w:fill="F4F8F9"/>
            <w:vAlign w:val="top"/>
          </w:tcPr>
          <w:p>
            <w:pPr>
              <w:spacing w:after="0" w:before="0"/>
            </w:pPr>
            <w:r>
              <w:rPr>
                <w:sz w:val="16"/>
              </w:rPr>
              <w:t>Muss</w:t>
            </w:r>
          </w:p>
        </w:tc>
        <w:tc>
          <w:tcPr>
            <w:tcW w:type="dxa" w:w="3402"/>
            <w:vAlign w:val="top"/>
          </w:tcPr>
          <w:p>
            <w:pPr>
              <w:spacing w:after="0" w:before="0"/>
            </w:pPr>
            <w:r>
              <w:rPr>
                <w:sz w:val="16"/>
              </w:rPr>
              <w:t>Arbeitsunterbrechungen dürfen keine offenen Secrets zurücklassen.</w:t>
            </w:r>
          </w:p>
        </w:tc>
      </w:tr>
      <w:tr>
        <w:trPr>
          <w:cantSplit/>
        </w:trPr>
        <w:tc>
          <w:tcPr>
            <w:tcW w:type="dxa" w:w="1134"/>
            <w:shd w:fill="EAF2F4"/>
            <w:vAlign w:val="top"/>
          </w:tcPr>
          <w:p>
            <w:pPr>
              <w:spacing w:after="0" w:before="0"/>
            </w:pPr>
            <w:r>
              <w:rPr>
                <w:sz w:val="16"/>
              </w:rPr>
              <w:t>LH-F-024</w:t>
            </w:r>
          </w:p>
        </w:tc>
        <w:tc>
          <w:tcPr>
            <w:tcW w:type="dxa" w:w="2835"/>
            <w:vAlign w:val="top"/>
          </w:tcPr>
          <w:p>
            <w:pPr>
              <w:spacing w:after="0" w:before="0"/>
            </w:pPr>
            <w:r>
              <w:rPr>
                <w:sz w:val="16"/>
              </w:rPr>
              <w:t>Passwortgenerator mit sinnvollen Optionen und später Generatorprofilen.</w:t>
            </w:r>
          </w:p>
        </w:tc>
        <w:tc>
          <w:tcPr>
            <w:tcW w:type="dxa" w:w="1134"/>
            <w:shd w:fill="F4F8F9"/>
            <w:vAlign w:val="top"/>
          </w:tcPr>
          <w:p>
            <w:pPr>
              <w:spacing w:after="0" w:before="0"/>
            </w:pPr>
            <w:r>
              <w:rPr>
                <w:sz w:val="16"/>
              </w:rPr>
              <w:t>V1/V1.x</w:t>
            </w:r>
          </w:p>
        </w:tc>
        <w:tc>
          <w:tcPr>
            <w:tcW w:type="dxa" w:w="1191"/>
            <w:shd w:fill="F4F8F9"/>
            <w:vAlign w:val="top"/>
          </w:tcPr>
          <w:p>
            <w:pPr>
              <w:spacing w:after="0" w:before="0"/>
            </w:pPr>
            <w:r>
              <w:rPr>
                <w:sz w:val="16"/>
              </w:rPr>
              <w:t>Muss</w:t>
            </w:r>
          </w:p>
        </w:tc>
        <w:tc>
          <w:tcPr>
            <w:tcW w:type="dxa" w:w="3402"/>
            <w:vAlign w:val="top"/>
          </w:tcPr>
          <w:p>
            <w:pPr>
              <w:spacing w:after="0" w:before="0"/>
            </w:pPr>
            <w:r>
              <w:rPr>
                <w:sz w:val="16"/>
              </w:rPr>
              <w:t>Default-Passwörter werden nicht unterstützt; starke Generierung ist die bessere Alternative.</w:t>
            </w:r>
          </w:p>
        </w:tc>
      </w:tr>
      <w:tr>
        <w:trPr>
          <w:cantSplit/>
        </w:trPr>
        <w:tc>
          <w:tcPr>
            <w:tcW w:type="dxa" w:w="1134"/>
            <w:shd w:fill="EAF2F4"/>
            <w:vAlign w:val="top"/>
          </w:tcPr>
          <w:p>
            <w:pPr>
              <w:spacing w:after="0" w:before="0"/>
            </w:pPr>
            <w:r>
              <w:rPr>
                <w:sz w:val="16"/>
              </w:rPr>
              <w:t>LH-F-025</w:t>
            </w:r>
          </w:p>
        </w:tc>
        <w:tc>
          <w:tcPr>
            <w:tcW w:type="dxa" w:w="2835"/>
            <w:vAlign w:val="top"/>
          </w:tcPr>
          <w:p>
            <w:pPr>
              <w:spacing w:after="0" w:before="0"/>
            </w:pPr>
            <w:r>
              <w:rPr>
                <w:sz w:val="16"/>
              </w:rPr>
              <w:t>Master-Passwort-Änderung mit Reverschlüsselung.</w:t>
            </w:r>
          </w:p>
        </w:tc>
        <w:tc>
          <w:tcPr>
            <w:tcW w:type="dxa" w:w="1134"/>
            <w:shd w:fill="F4F8F9"/>
            <w:vAlign w:val="top"/>
          </w:tcPr>
          <w:p>
            <w:pPr>
              <w:spacing w:after="0" w:before="0"/>
            </w:pPr>
            <w:r>
              <w:rPr>
                <w:sz w:val="16"/>
              </w:rPr>
              <w:t>V1.x</w:t>
            </w:r>
          </w:p>
        </w:tc>
        <w:tc>
          <w:tcPr>
            <w:tcW w:type="dxa" w:w="1191"/>
            <w:shd w:fill="F4F8F9"/>
            <w:vAlign w:val="top"/>
          </w:tcPr>
          <w:p>
            <w:pPr>
              <w:spacing w:after="0" w:before="0"/>
            </w:pPr>
            <w:r>
              <w:rPr>
                <w:sz w:val="16"/>
              </w:rPr>
              <w:t>Muss</w:t>
            </w:r>
          </w:p>
        </w:tc>
        <w:tc>
          <w:tcPr>
            <w:tcW w:type="dxa" w:w="3402"/>
            <w:vAlign w:val="top"/>
          </w:tcPr>
          <w:p>
            <w:pPr>
              <w:spacing w:after="0" w:before="0"/>
            </w:pPr>
            <w:r>
              <w:rPr>
                <w:sz w:val="16"/>
              </w:rPr>
              <w:t>Regulärer Passwortwechsel muss möglich werden.</w:t>
            </w:r>
          </w:p>
        </w:tc>
      </w:tr>
      <w:tr>
        <w:trPr>
          <w:cantSplit/>
        </w:trPr>
        <w:tc>
          <w:tcPr>
            <w:tcW w:type="dxa" w:w="1134"/>
            <w:shd w:fill="EAF2F4"/>
            <w:vAlign w:val="top"/>
          </w:tcPr>
          <w:p>
            <w:pPr>
              <w:spacing w:after="0" w:before="0"/>
            </w:pPr>
            <w:r>
              <w:rPr>
                <w:sz w:val="16"/>
              </w:rPr>
              <w:t>LH-F-026</w:t>
            </w:r>
          </w:p>
        </w:tc>
        <w:tc>
          <w:tcPr>
            <w:tcW w:type="dxa" w:w="2835"/>
            <w:vAlign w:val="top"/>
          </w:tcPr>
          <w:p>
            <w:pPr>
              <w:spacing w:after="0" w:before="0"/>
            </w:pPr>
            <w:r>
              <w:rPr>
                <w:sz w:val="16"/>
              </w:rPr>
              <w:t>Warnung bei schwachen Master-Passwörtern.</w:t>
            </w:r>
          </w:p>
        </w:tc>
        <w:tc>
          <w:tcPr>
            <w:tcW w:type="dxa" w:w="1134"/>
            <w:shd w:fill="F4F8F9"/>
            <w:vAlign w:val="top"/>
          </w:tcPr>
          <w:p>
            <w:pPr>
              <w:spacing w:after="0" w:before="0"/>
            </w:pPr>
            <w:r>
              <w:rPr>
                <w:sz w:val="16"/>
              </w:rPr>
              <w:t>V1</w:t>
            </w:r>
          </w:p>
        </w:tc>
        <w:tc>
          <w:tcPr>
            <w:tcW w:type="dxa" w:w="1191"/>
            <w:shd w:fill="F4F8F9"/>
            <w:vAlign w:val="top"/>
          </w:tcPr>
          <w:p>
            <w:pPr>
              <w:spacing w:after="0" w:before="0"/>
            </w:pPr>
            <w:r>
              <w:rPr>
                <w:sz w:val="16"/>
              </w:rPr>
              <w:t>Muss</w:t>
            </w:r>
          </w:p>
        </w:tc>
        <w:tc>
          <w:tcPr>
            <w:tcW w:type="dxa" w:w="3402"/>
            <w:vAlign w:val="top"/>
          </w:tcPr>
          <w:p>
            <w:pPr>
              <w:spacing w:after="0" w:before="0"/>
            </w:pPr>
            <w:r>
              <w:rPr>
                <w:sz w:val="16"/>
              </w:rPr>
              <w:t>Sicherheitsführung ohne Zwang zur Bevormundung.</w:t>
            </w:r>
          </w:p>
        </w:tc>
      </w:tr>
      <w:tr>
        <w:trPr>
          <w:cantSplit/>
        </w:trPr>
        <w:tc>
          <w:tcPr>
            <w:tcW w:type="dxa" w:w="1134"/>
            <w:shd w:fill="EAF2F4"/>
            <w:vAlign w:val="top"/>
          </w:tcPr>
          <w:p>
            <w:pPr>
              <w:spacing w:after="0" w:before="0"/>
            </w:pPr>
            <w:r>
              <w:rPr>
                <w:sz w:val="16"/>
              </w:rPr>
              <w:t>LH-F-027</w:t>
            </w:r>
          </w:p>
        </w:tc>
        <w:tc>
          <w:tcPr>
            <w:tcW w:type="dxa" w:w="2835"/>
            <w:vAlign w:val="top"/>
          </w:tcPr>
          <w:p>
            <w:pPr>
              <w:spacing w:after="0" w:before="0"/>
            </w:pPr>
            <w:r>
              <w:rPr>
                <w:sz w:val="16"/>
              </w:rPr>
              <w:t>Keine Secrets, Tokens, privaten Schlüssel oder Passwörter in Logs.</w:t>
            </w:r>
          </w:p>
        </w:tc>
        <w:tc>
          <w:tcPr>
            <w:tcW w:type="dxa" w:w="1134"/>
            <w:shd w:fill="F4F8F9"/>
            <w:vAlign w:val="top"/>
          </w:tcPr>
          <w:p>
            <w:pPr>
              <w:spacing w:after="0" w:before="0"/>
            </w:pPr>
            <w:r>
              <w:rPr>
                <w:sz w:val="16"/>
              </w:rPr>
              <w:t>V1</w:t>
            </w:r>
          </w:p>
        </w:tc>
        <w:tc>
          <w:tcPr>
            <w:tcW w:type="dxa" w:w="1191"/>
            <w:shd w:fill="F4F8F9"/>
            <w:vAlign w:val="top"/>
          </w:tcPr>
          <w:p>
            <w:pPr>
              <w:spacing w:after="0" w:before="0"/>
            </w:pPr>
            <w:r>
              <w:rPr>
                <w:sz w:val="16"/>
              </w:rPr>
              <w:t>Muss</w:t>
            </w:r>
          </w:p>
        </w:tc>
        <w:tc>
          <w:tcPr>
            <w:tcW w:type="dxa" w:w="3402"/>
            <w:vAlign w:val="top"/>
          </w:tcPr>
          <w:p>
            <w:pPr>
              <w:spacing w:after="0" w:before="0"/>
            </w:pPr>
            <w:r>
              <w:rPr>
                <w:sz w:val="16"/>
              </w:rPr>
              <w:t>Debug-Logging darf die Sicherheitsziele nicht unterlaufen.</w:t>
            </w:r>
          </w:p>
        </w:tc>
      </w:tr>
      <w:tr>
        <w:trPr>
          <w:cantSplit/>
        </w:trPr>
        <w:tc>
          <w:tcPr>
            <w:tcW w:type="dxa" w:w="1134"/>
            <w:shd w:fill="EAF2F4"/>
            <w:vAlign w:val="top"/>
          </w:tcPr>
          <w:p>
            <w:pPr>
              <w:spacing w:after="0" w:before="0"/>
            </w:pPr>
            <w:r>
              <w:rPr>
                <w:sz w:val="16"/>
              </w:rPr>
              <w:t>LH-F-028</w:t>
            </w:r>
          </w:p>
        </w:tc>
        <w:tc>
          <w:tcPr>
            <w:tcW w:type="dxa" w:w="2835"/>
            <w:vAlign w:val="top"/>
          </w:tcPr>
          <w:p>
            <w:pPr>
              <w:spacing w:after="0" w:before="0"/>
            </w:pPr>
            <w:r>
              <w:rPr>
                <w:sz w:val="16"/>
              </w:rPr>
              <w:t>Keine versteckte Recovery-Backdoor.</w:t>
            </w:r>
          </w:p>
        </w:tc>
        <w:tc>
          <w:tcPr>
            <w:tcW w:type="dxa" w:w="1134"/>
            <w:shd w:fill="F4F8F9"/>
            <w:vAlign w:val="top"/>
          </w:tcPr>
          <w:p>
            <w:pPr>
              <w:spacing w:after="0" w:before="0"/>
            </w:pPr>
            <w:r>
              <w:rPr>
                <w:sz w:val="16"/>
              </w:rPr>
              <w:t>V1</w:t>
            </w:r>
          </w:p>
        </w:tc>
        <w:tc>
          <w:tcPr>
            <w:tcW w:type="dxa" w:w="1191"/>
            <w:shd w:fill="F4F8F9"/>
            <w:vAlign w:val="top"/>
          </w:tcPr>
          <w:p>
            <w:pPr>
              <w:spacing w:after="0" w:before="0"/>
            </w:pPr>
            <w:r>
              <w:rPr>
                <w:sz w:val="16"/>
              </w:rPr>
              <w:t>Muss</w:t>
            </w:r>
          </w:p>
        </w:tc>
        <w:tc>
          <w:tcPr>
            <w:tcW w:type="dxa" w:w="3402"/>
            <w:vAlign w:val="top"/>
          </w:tcPr>
          <w:p>
            <w:pPr>
              <w:spacing w:after="0" w:before="0"/>
            </w:pPr>
            <w:r>
              <w:rPr>
                <w:sz w:val="16"/>
              </w:rPr>
              <w:t>Recovery darf nur explizit, dokumentiert und vorab eingerichtet existieren.</w:t>
            </w:r>
          </w:p>
        </w:tc>
      </w:tr>
      <w:tr>
        <w:trPr>
          <w:cantSplit/>
        </w:trPr>
        <w:tc>
          <w:tcPr>
            <w:tcW w:type="dxa" w:w="1134"/>
            <w:shd w:fill="EAF2F4"/>
            <w:vAlign w:val="top"/>
          </w:tcPr>
          <w:p>
            <w:pPr>
              <w:spacing w:after="0" w:before="0"/>
            </w:pPr>
            <w:r>
              <w:rPr>
                <w:sz w:val="16"/>
              </w:rPr>
              <w:t>LH-F-029</w:t>
            </w:r>
          </w:p>
        </w:tc>
        <w:tc>
          <w:tcPr>
            <w:tcW w:type="dxa" w:w="2835"/>
            <w:vAlign w:val="top"/>
          </w:tcPr>
          <w:p>
            <w:pPr>
              <w:spacing w:after="0" w:before="0"/>
            </w:pPr>
            <w:r>
              <w:rPr>
                <w:sz w:val="16"/>
              </w:rPr>
              <w:t>Spätere Recovery-Strategie ohne Backdoor konzipieren.</w:t>
            </w:r>
          </w:p>
        </w:tc>
        <w:tc>
          <w:tcPr>
            <w:tcW w:type="dxa" w:w="1134"/>
            <w:shd w:fill="F4F8F9"/>
            <w:vAlign w:val="top"/>
          </w:tcPr>
          <w:p>
            <w:pPr>
              <w:spacing w:after="0" w:before="0"/>
            </w:pPr>
            <w:r>
              <w:rPr>
                <w:sz w:val="16"/>
              </w:rPr>
              <w:t>V2</w:t>
            </w:r>
          </w:p>
        </w:tc>
        <w:tc>
          <w:tcPr>
            <w:tcW w:type="dxa" w:w="1191"/>
            <w:shd w:fill="F4F8F9"/>
            <w:vAlign w:val="top"/>
          </w:tcPr>
          <w:p>
            <w:pPr>
              <w:spacing w:after="0" w:before="0"/>
            </w:pPr>
            <w:r>
              <w:rPr>
                <w:sz w:val="16"/>
              </w:rPr>
              <w:t>Soll</w:t>
            </w:r>
          </w:p>
        </w:tc>
        <w:tc>
          <w:tcPr>
            <w:tcW w:type="dxa" w:w="3402"/>
            <w:vAlign w:val="top"/>
          </w:tcPr>
          <w:p>
            <w:pPr>
              <w:spacing w:after="0" w:before="0"/>
            </w:pPr>
            <w:r>
              <w:rPr>
                <w:sz w:val="16"/>
              </w:rPr>
              <w:t>Vergessene Master-Passwörter bleiben ein wichtiges Risiko, aber keine heimliche Hintertür.</w:t>
            </w:r>
          </w:p>
        </w:tc>
      </w:tr>
      <w:tr>
        <w:trPr>
          <w:cantSplit/>
        </w:trPr>
        <w:tc>
          <w:tcPr>
            <w:tcW w:type="dxa" w:w="1134"/>
            <w:shd w:fill="EAF2F4"/>
            <w:vAlign w:val="top"/>
          </w:tcPr>
          <w:p>
            <w:pPr>
              <w:spacing w:after="0" w:before="0"/>
            </w:pPr>
            <w:r>
              <w:rPr>
                <w:sz w:val="16"/>
              </w:rPr>
              <w:t>LH-F-030</w:t>
            </w:r>
          </w:p>
        </w:tc>
        <w:tc>
          <w:tcPr>
            <w:tcW w:type="dxa" w:w="2835"/>
            <w:vAlign w:val="top"/>
          </w:tcPr>
          <w:p>
            <w:pPr>
              <w:spacing w:after="0" w:before="0"/>
            </w:pPr>
            <w:r>
              <w:rPr>
                <w:sz w:val="16"/>
              </w:rPr>
              <w:t>Kontrollierter Password-Safe-Import aus .psafe3 mit Bericht.</w:t>
            </w:r>
          </w:p>
        </w:tc>
        <w:tc>
          <w:tcPr>
            <w:tcW w:type="dxa" w:w="1134"/>
            <w:shd w:fill="F4F8F9"/>
            <w:vAlign w:val="top"/>
          </w:tcPr>
          <w:p>
            <w:pPr>
              <w:spacing w:after="0" w:before="0"/>
            </w:pPr>
            <w:r>
              <w:rPr>
                <w:sz w:val="16"/>
              </w:rPr>
              <w:t>V1</w:t>
            </w:r>
          </w:p>
        </w:tc>
        <w:tc>
          <w:tcPr>
            <w:tcW w:type="dxa" w:w="1191"/>
            <w:shd w:fill="F4F8F9"/>
            <w:vAlign w:val="top"/>
          </w:tcPr>
          <w:p>
            <w:pPr>
              <w:spacing w:after="0" w:before="0"/>
            </w:pPr>
            <w:r>
              <w:rPr>
                <w:sz w:val="16"/>
              </w:rPr>
              <w:t>Muss</w:t>
            </w:r>
          </w:p>
        </w:tc>
        <w:tc>
          <w:tcPr>
            <w:tcW w:type="dxa" w:w="3402"/>
            <w:vAlign w:val="top"/>
          </w:tcPr>
          <w:p>
            <w:pPr>
              <w:spacing w:after="0" w:before="0"/>
            </w:pPr>
            <w:r>
              <w:rPr>
                <w:sz w:val="16"/>
              </w:rPr>
              <w:t>Bestehende PWSafe-Daten sollen realistisch migrierbar sein.</w:t>
            </w:r>
          </w:p>
        </w:tc>
      </w:tr>
      <w:tr>
        <w:trPr>
          <w:cantSplit/>
        </w:trPr>
        <w:tc>
          <w:tcPr>
            <w:tcW w:type="dxa" w:w="1134"/>
            <w:shd w:fill="EAF2F4"/>
            <w:vAlign w:val="top"/>
          </w:tcPr>
          <w:p>
            <w:pPr>
              <w:spacing w:after="0" w:before="0"/>
            </w:pPr>
            <w:r>
              <w:rPr>
                <w:sz w:val="16"/>
              </w:rPr>
              <w:t>LH-F-031</w:t>
            </w:r>
          </w:p>
        </w:tc>
        <w:tc>
          <w:tcPr>
            <w:tcW w:type="dxa" w:w="2835"/>
            <w:vAlign w:val="top"/>
          </w:tcPr>
          <w:p>
            <w:pPr>
              <w:spacing w:after="0" w:before="0"/>
            </w:pPr>
            <w:r>
              <w:rPr>
                <w:sz w:val="16"/>
              </w:rPr>
              <w:t>Password-Safe-Export nur mit sauberem Mapping und Verlusthinweisen.</w:t>
            </w:r>
          </w:p>
        </w:tc>
        <w:tc>
          <w:tcPr>
            <w:tcW w:type="dxa" w:w="1134"/>
            <w:shd w:fill="F4F8F9"/>
            <w:vAlign w:val="top"/>
          </w:tcPr>
          <w:p>
            <w:pPr>
              <w:spacing w:after="0" w:before="0"/>
            </w:pPr>
            <w:r>
              <w:rPr>
                <w:sz w:val="16"/>
              </w:rPr>
              <w:t>V1.x/V2</w:t>
            </w:r>
          </w:p>
        </w:tc>
        <w:tc>
          <w:tcPr>
            <w:tcW w:type="dxa" w:w="1191"/>
            <w:shd w:fill="F4F8F9"/>
            <w:vAlign w:val="top"/>
          </w:tcPr>
          <w:p>
            <w:pPr>
              <w:spacing w:after="0" w:before="0"/>
            </w:pPr>
            <w:r>
              <w:rPr>
                <w:sz w:val="16"/>
              </w:rPr>
              <w:t>Soll</w:t>
            </w:r>
          </w:p>
        </w:tc>
        <w:tc>
          <w:tcPr>
            <w:tcW w:type="dxa" w:w="3402"/>
            <w:vAlign w:val="top"/>
          </w:tcPr>
          <w:p>
            <w:pPr>
              <w:spacing w:after="0" w:before="0"/>
            </w:pPr>
            <w:r>
              <w:rPr>
                <w:sz w:val="16"/>
              </w:rPr>
              <w:t>Export ist schwieriger als Import und darf keine Scheinkompatibilität versprechen.</w:t>
            </w:r>
          </w:p>
        </w:tc>
      </w:tr>
      <w:tr>
        <w:trPr>
          <w:cantSplit/>
        </w:trPr>
        <w:tc>
          <w:tcPr>
            <w:tcW w:type="dxa" w:w="1134"/>
            <w:shd w:fill="EAF2F4"/>
            <w:vAlign w:val="top"/>
          </w:tcPr>
          <w:p>
            <w:pPr>
              <w:spacing w:after="0" w:before="0"/>
            </w:pPr>
            <w:r>
              <w:rPr>
                <w:sz w:val="16"/>
              </w:rPr>
              <w:t>LH-F-032</w:t>
            </w:r>
          </w:p>
        </w:tc>
        <w:tc>
          <w:tcPr>
            <w:tcW w:type="dxa" w:w="2835"/>
            <w:vAlign w:val="top"/>
          </w:tcPr>
          <w:p>
            <w:pPr>
              <w:spacing w:after="0" w:before="0"/>
            </w:pPr>
            <w:r>
              <w:rPr>
                <w:sz w:val="16"/>
              </w:rPr>
              <w:t>CSV-Export nur nach deutlicher Warnung.</w:t>
            </w:r>
          </w:p>
        </w:tc>
        <w:tc>
          <w:tcPr>
            <w:tcW w:type="dxa" w:w="1134"/>
            <w:shd w:fill="F4F8F9"/>
            <w:vAlign w:val="top"/>
          </w:tcPr>
          <w:p>
            <w:pPr>
              <w:spacing w:after="0" w:before="0"/>
            </w:pPr>
            <w:r>
              <w:rPr>
                <w:sz w:val="16"/>
              </w:rPr>
              <w:t>V2</w:t>
            </w:r>
          </w:p>
        </w:tc>
        <w:tc>
          <w:tcPr>
            <w:tcW w:type="dxa" w:w="1191"/>
            <w:shd w:fill="F4F8F9"/>
            <w:vAlign w:val="top"/>
          </w:tcPr>
          <w:p>
            <w:pPr>
              <w:spacing w:after="0" w:before="0"/>
            </w:pPr>
            <w:r>
              <w:rPr>
                <w:sz w:val="16"/>
              </w:rPr>
              <w:t>Kann</w:t>
            </w:r>
          </w:p>
        </w:tc>
        <w:tc>
          <w:tcPr>
            <w:tcW w:type="dxa" w:w="3402"/>
            <w:vAlign w:val="top"/>
          </w:tcPr>
          <w:p>
            <w:pPr>
              <w:spacing w:after="0" w:before="0"/>
            </w:pPr>
            <w:r>
              <w:rPr>
                <w:sz w:val="16"/>
              </w:rPr>
              <w:t>Unverschlüsselte Exporte sind hochkritisch.</w:t>
            </w:r>
          </w:p>
        </w:tc>
      </w:tr>
      <w:tr>
        <w:trPr>
          <w:cantSplit/>
        </w:trPr>
        <w:tc>
          <w:tcPr>
            <w:tcW w:type="dxa" w:w="1134"/>
            <w:shd w:fill="EAF2F4"/>
            <w:vAlign w:val="top"/>
          </w:tcPr>
          <w:p>
            <w:pPr>
              <w:spacing w:after="0" w:before="0"/>
            </w:pPr>
            <w:r>
              <w:rPr>
                <w:sz w:val="16"/>
              </w:rPr>
              <w:t>LH-F-033</w:t>
            </w:r>
          </w:p>
        </w:tc>
        <w:tc>
          <w:tcPr>
            <w:tcW w:type="dxa" w:w="2835"/>
            <w:vAlign w:val="top"/>
          </w:tcPr>
          <w:p>
            <w:pPr>
              <w:spacing w:after="0" w:before="0"/>
            </w:pPr>
            <w:r>
              <w:rPr>
                <w:sz w:val="16"/>
              </w:rPr>
              <w:t>Browser-Import gecachter Logins bewusst vertagen.</w:t>
            </w:r>
          </w:p>
        </w:tc>
        <w:tc>
          <w:tcPr>
            <w:tcW w:type="dxa" w:w="1134"/>
            <w:shd w:fill="F4F8F9"/>
            <w:vAlign w:val="top"/>
          </w:tcPr>
          <w:p>
            <w:pPr>
              <w:spacing w:after="0" w:before="0"/>
            </w:pPr>
            <w:r>
              <w:rPr>
                <w:sz w:val="16"/>
              </w:rPr>
              <w:t>V3</w:t>
            </w:r>
          </w:p>
        </w:tc>
        <w:tc>
          <w:tcPr>
            <w:tcW w:type="dxa" w:w="1191"/>
            <w:shd w:fill="F4F8F9"/>
            <w:vAlign w:val="top"/>
          </w:tcPr>
          <w:p>
            <w:pPr>
              <w:spacing w:after="0" w:before="0"/>
            </w:pPr>
            <w:r>
              <w:rPr>
                <w:sz w:val="16"/>
              </w:rPr>
              <w:t>Kann</w:t>
            </w:r>
          </w:p>
        </w:tc>
        <w:tc>
          <w:tcPr>
            <w:tcW w:type="dxa" w:w="3402"/>
            <w:vAlign w:val="top"/>
          </w:tcPr>
          <w:p>
            <w:pPr>
              <w:spacing w:after="0" w:before="0"/>
            </w:pPr>
            <w:r>
              <w:rPr>
                <w:sz w:val="16"/>
              </w:rPr>
              <w:t>Technisch und datenschutzseitig heikel.</w:t>
            </w:r>
          </w:p>
        </w:tc>
      </w:tr>
      <w:tr>
        <w:trPr>
          <w:cantSplit/>
        </w:trPr>
        <w:tc>
          <w:tcPr>
            <w:tcW w:type="dxa" w:w="1134"/>
            <w:shd w:fill="EAF2F4"/>
            <w:vAlign w:val="top"/>
          </w:tcPr>
          <w:p>
            <w:pPr>
              <w:spacing w:after="0" w:before="0"/>
            </w:pPr>
            <w:r>
              <w:rPr>
                <w:sz w:val="16"/>
              </w:rPr>
              <w:t>LH-F-034</w:t>
            </w:r>
          </w:p>
        </w:tc>
        <w:tc>
          <w:tcPr>
            <w:tcW w:type="dxa" w:w="2835"/>
            <w:vAlign w:val="top"/>
          </w:tcPr>
          <w:p>
            <w:pPr>
              <w:spacing w:after="0" w:before="0"/>
            </w:pPr>
            <w:r>
              <w:rPr>
                <w:sz w:val="16"/>
              </w:rPr>
              <w:t>Mehrsprachigkeit mindestens Deutsch/Englisch vorbereiten.</w:t>
            </w:r>
          </w:p>
        </w:tc>
        <w:tc>
          <w:tcPr>
            <w:tcW w:type="dxa" w:w="1134"/>
            <w:shd w:fill="F4F8F9"/>
            <w:vAlign w:val="top"/>
          </w:tcPr>
          <w:p>
            <w:pPr>
              <w:spacing w:after="0" w:before="0"/>
            </w:pPr>
            <w:r>
              <w:rPr>
                <w:sz w:val="16"/>
              </w:rPr>
              <w:t>V2</w:t>
            </w:r>
          </w:p>
        </w:tc>
        <w:tc>
          <w:tcPr>
            <w:tcW w:type="dxa" w:w="1191"/>
            <w:shd w:fill="F4F8F9"/>
            <w:vAlign w:val="top"/>
          </w:tcPr>
          <w:p>
            <w:pPr>
              <w:spacing w:after="0" w:before="0"/>
            </w:pPr>
            <w:r>
              <w:rPr>
                <w:sz w:val="16"/>
              </w:rPr>
              <w:t>Soll</w:t>
            </w:r>
          </w:p>
        </w:tc>
        <w:tc>
          <w:tcPr>
            <w:tcW w:type="dxa" w:w="3402"/>
            <w:vAlign w:val="top"/>
          </w:tcPr>
          <w:p>
            <w:pPr>
              <w:spacing w:after="0" w:before="0"/>
            </w:pPr>
            <w:r>
              <w:rPr>
                <w:sz w:val="16"/>
              </w:rPr>
              <w:t>Professionalisierung, nicht V1-kritisch.</w:t>
            </w:r>
          </w:p>
        </w:tc>
      </w:tr>
      <w:tr>
        <w:trPr>
          <w:cantSplit/>
        </w:trPr>
        <w:tc>
          <w:tcPr>
            <w:tcW w:type="dxa" w:w="1134"/>
            <w:shd w:fill="EAF2F4"/>
            <w:vAlign w:val="top"/>
          </w:tcPr>
          <w:p>
            <w:pPr>
              <w:spacing w:after="0" w:before="0"/>
            </w:pPr>
            <w:r>
              <w:rPr>
                <w:sz w:val="16"/>
              </w:rPr>
              <w:t>LH-F-035</w:t>
            </w:r>
          </w:p>
        </w:tc>
        <w:tc>
          <w:tcPr>
            <w:tcW w:type="dxa" w:w="2835"/>
            <w:vAlign w:val="top"/>
          </w:tcPr>
          <w:p>
            <w:pPr>
              <w:spacing w:after="0" w:before="0"/>
            </w:pPr>
            <w:r>
              <w:rPr>
                <w:sz w:val="16"/>
              </w:rPr>
              <w:t>Hell-/Dunkel-Umschaltung und eigenes Anwendungssymbol.</w:t>
            </w:r>
          </w:p>
        </w:tc>
        <w:tc>
          <w:tcPr>
            <w:tcW w:type="dxa" w:w="1134"/>
            <w:shd w:fill="F4F8F9"/>
            <w:vAlign w:val="top"/>
          </w:tcPr>
          <w:p>
            <w:pPr>
              <w:spacing w:after="0" w:before="0"/>
            </w:pPr>
            <w:r>
              <w:rPr>
                <w:sz w:val="16"/>
              </w:rPr>
              <w:t>V1.x/V2</w:t>
            </w:r>
          </w:p>
        </w:tc>
        <w:tc>
          <w:tcPr>
            <w:tcW w:type="dxa" w:w="1191"/>
            <w:shd w:fill="F4F8F9"/>
            <w:vAlign w:val="top"/>
          </w:tcPr>
          <w:p>
            <w:pPr>
              <w:spacing w:after="0" w:before="0"/>
            </w:pPr>
            <w:r>
              <w:rPr>
                <w:sz w:val="16"/>
              </w:rPr>
              <w:t>Soll</w:t>
            </w:r>
          </w:p>
        </w:tc>
        <w:tc>
          <w:tcPr>
            <w:tcW w:type="dxa" w:w="3402"/>
            <w:vAlign w:val="top"/>
          </w:tcPr>
          <w:p>
            <w:pPr>
              <w:spacing w:after="0" w:before="0"/>
            </w:pPr>
            <w:r>
              <w:rPr>
                <w:sz w:val="16"/>
              </w:rPr>
              <w:t>Produktreife und bessere Außendarstellung.</w:t>
            </w:r>
          </w:p>
        </w:tc>
      </w:tr>
      <w:tr>
        <w:trPr>
          <w:cantSplit/>
        </w:trPr>
        <w:tc>
          <w:tcPr>
            <w:tcW w:type="dxa" w:w="1134"/>
            <w:shd w:fill="EAF2F4"/>
            <w:vAlign w:val="top"/>
          </w:tcPr>
          <w:p>
            <w:pPr>
              <w:spacing w:after="0" w:before="0"/>
            </w:pPr>
            <w:r>
              <w:rPr>
                <w:sz w:val="16"/>
              </w:rPr>
              <w:t>LH-F-036</w:t>
            </w:r>
          </w:p>
        </w:tc>
        <w:tc>
          <w:tcPr>
            <w:tcW w:type="dxa" w:w="2835"/>
            <w:vAlign w:val="top"/>
          </w:tcPr>
          <w:p>
            <w:pPr>
              <w:spacing w:after="0" w:before="0"/>
            </w:pPr>
            <w:r>
              <w:rPr>
                <w:sz w:val="16"/>
              </w:rPr>
              <w:t>Passwort-Historie nur kontrolliert und begrenzt einführen.</w:t>
            </w:r>
          </w:p>
        </w:tc>
        <w:tc>
          <w:tcPr>
            <w:tcW w:type="dxa" w:w="1134"/>
            <w:shd w:fill="F4F8F9"/>
            <w:vAlign w:val="top"/>
          </w:tcPr>
          <w:p>
            <w:pPr>
              <w:spacing w:after="0" w:before="0"/>
            </w:pPr>
            <w:r>
              <w:rPr>
                <w:sz w:val="16"/>
              </w:rPr>
              <w:t>V2</w:t>
            </w:r>
          </w:p>
        </w:tc>
        <w:tc>
          <w:tcPr>
            <w:tcW w:type="dxa" w:w="1191"/>
            <w:shd w:fill="F4F8F9"/>
            <w:vAlign w:val="top"/>
          </w:tcPr>
          <w:p>
            <w:pPr>
              <w:spacing w:after="0" w:before="0"/>
            </w:pPr>
            <w:r>
              <w:rPr>
                <w:sz w:val="16"/>
              </w:rPr>
              <w:t>Soll</w:t>
            </w:r>
          </w:p>
        </w:tc>
        <w:tc>
          <w:tcPr>
            <w:tcW w:type="dxa" w:w="3402"/>
            <w:vAlign w:val="top"/>
          </w:tcPr>
          <w:p>
            <w:pPr>
              <w:spacing w:after="0" w:before="0"/>
            </w:pPr>
            <w:r>
              <w:rPr>
                <w:sz w:val="16"/>
              </w:rPr>
              <w:t>Fachlich nützlich, aber sicherheitlich sensibel.</w:t>
            </w:r>
          </w:p>
        </w:tc>
      </w:tr>
      <w:tr>
        <w:trPr>
          <w:cantSplit/>
        </w:trPr>
        <w:tc>
          <w:tcPr>
            <w:tcW w:type="dxa" w:w="1134"/>
            <w:shd w:fill="EAF2F4"/>
            <w:vAlign w:val="top"/>
          </w:tcPr>
          <w:p>
            <w:pPr>
              <w:spacing w:after="0" w:before="0"/>
            </w:pPr>
            <w:r>
              <w:rPr>
                <w:sz w:val="16"/>
              </w:rPr>
              <w:t>LH-F-037</w:t>
            </w:r>
          </w:p>
        </w:tc>
        <w:tc>
          <w:tcPr>
            <w:tcW w:type="dxa" w:w="2835"/>
            <w:vAlign w:val="top"/>
          </w:tcPr>
          <w:p>
            <w:pPr>
              <w:spacing w:after="0" w:before="0"/>
            </w:pPr>
            <w:r>
              <w:rPr>
                <w:sz w:val="16"/>
              </w:rPr>
              <w:t>TOTP-Secret-Verwaltung später prüfen.</w:t>
            </w:r>
          </w:p>
        </w:tc>
        <w:tc>
          <w:tcPr>
            <w:tcW w:type="dxa" w:w="1134"/>
            <w:shd w:fill="F4F8F9"/>
            <w:vAlign w:val="top"/>
          </w:tcPr>
          <w:p>
            <w:pPr>
              <w:spacing w:after="0" w:before="0"/>
            </w:pPr>
            <w:r>
              <w:rPr>
                <w:sz w:val="16"/>
              </w:rPr>
              <w:t>V2</w:t>
            </w:r>
          </w:p>
        </w:tc>
        <w:tc>
          <w:tcPr>
            <w:tcW w:type="dxa" w:w="1191"/>
            <w:shd w:fill="F4F8F9"/>
            <w:vAlign w:val="top"/>
          </w:tcPr>
          <w:p>
            <w:pPr>
              <w:spacing w:after="0" w:before="0"/>
            </w:pPr>
            <w:r>
              <w:rPr>
                <w:sz w:val="16"/>
              </w:rPr>
              <w:t>Kann</w:t>
            </w:r>
          </w:p>
        </w:tc>
        <w:tc>
          <w:tcPr>
            <w:tcW w:type="dxa" w:w="3402"/>
            <w:vAlign w:val="top"/>
          </w:tcPr>
          <w:p>
            <w:pPr>
              <w:spacing w:after="0" w:before="0"/>
            </w:pPr>
            <w:r>
              <w:rPr>
                <w:sz w:val="16"/>
              </w:rPr>
              <w:t>Komfortabel, aber reduziert ggf. Trennung der Faktoren.</w:t>
            </w:r>
          </w:p>
        </w:tc>
      </w:tr>
      <w:tr>
        <w:trPr>
          <w:cantSplit/>
        </w:trPr>
        <w:tc>
          <w:tcPr>
            <w:tcW w:type="dxa" w:w="1134"/>
            <w:shd w:fill="EAF2F4"/>
            <w:vAlign w:val="top"/>
          </w:tcPr>
          <w:p>
            <w:pPr>
              <w:spacing w:after="0" w:before="0"/>
            </w:pPr>
            <w:r>
              <w:rPr>
                <w:sz w:val="16"/>
              </w:rPr>
              <w:t>LH-F-038</w:t>
            </w:r>
          </w:p>
        </w:tc>
        <w:tc>
          <w:tcPr>
            <w:tcW w:type="dxa" w:w="2835"/>
            <w:vAlign w:val="top"/>
          </w:tcPr>
          <w:p>
            <w:pPr>
              <w:spacing w:after="0" w:before="0"/>
            </w:pPr>
            <w:r>
              <w:rPr>
                <w:sz w:val="16"/>
              </w:rPr>
              <w:t>Team-Sharing, Cloud-Synchronisation und Mobile-Clients nicht in V1 aufnehmen.</w:t>
            </w:r>
          </w:p>
        </w:tc>
        <w:tc>
          <w:tcPr>
            <w:tcW w:type="dxa" w:w="1134"/>
            <w:shd w:fill="F4F8F9"/>
            <w:vAlign w:val="top"/>
          </w:tcPr>
          <w:p>
            <w:pPr>
              <w:spacing w:after="0" w:before="0"/>
            </w:pPr>
            <w:r>
              <w:rPr>
                <w:sz w:val="16"/>
              </w:rPr>
              <w:t>Später</w:t>
            </w:r>
          </w:p>
        </w:tc>
        <w:tc>
          <w:tcPr>
            <w:tcW w:type="dxa" w:w="1191"/>
            <w:shd w:fill="F4F8F9"/>
            <w:vAlign w:val="top"/>
          </w:tcPr>
          <w:p>
            <w:pPr>
              <w:spacing w:after="0" w:before="0"/>
            </w:pPr>
            <w:r>
              <w:rPr>
                <w:sz w:val="16"/>
              </w:rPr>
              <w:t>Nicht-Ziel</w:t>
            </w:r>
          </w:p>
        </w:tc>
        <w:tc>
          <w:tcPr>
            <w:tcW w:type="dxa" w:w="3402"/>
            <w:vAlign w:val="top"/>
          </w:tcPr>
          <w:p>
            <w:pPr>
              <w:spacing w:after="0" w:before="0"/>
            </w:pPr>
            <w:r>
              <w:rPr>
                <w:sz w:val="16"/>
              </w:rPr>
              <w:t>Würde Produktumfang und Sicherheitsmodell stark verändern.</w:t>
            </w:r>
          </w:p>
        </w:tc>
      </w:tr>
    </w:tbl>
    <w:p/>
    <w:p>
      <w:pPr>
        <w:pStyle w:val="Heading1"/>
      </w:pPr>
      <w:r>
        <w:t>15. Nichtfunktionale Anforderungen</w:t>
      </w:r>
    </w:p>
    <w:tbl>
      <w:tblPr>
        <w:tblStyle w:val="TableGrid"/>
        <w:tblW w:type="auto" w:w="0"/>
        <w:jc w:val="center"/>
        <w:tblLook w:firstColumn="1" w:firstRow="1" w:lastColumn="0" w:lastRow="0" w:noHBand="0" w:noVBand="1" w:val="04A0"/>
        <w:tblBorders>
          <w:top w:val="single" w:sz="6" w:space="0" w:color="A9BEC5"/>
          <w:left w:val="single" w:sz="6" w:space="0" w:color="A9BEC5"/>
          <w:bottom w:val="single" w:sz="6" w:space="0" w:color="A9BEC5"/>
          <w:right w:val="single" w:sz="6" w:space="0" w:color="A9BEC5"/>
          <w:insideH w:val="single" w:sz="6" w:space="0" w:color="A9BEC5"/>
          <w:insideV w:val="single" w:sz="6" w:space="0" w:color="A9BEC5"/>
        </w:tblBorders>
      </w:tblPr>
      <w:tblGrid>
        <w:gridCol w:w="4986"/>
        <w:gridCol w:w="4986"/>
      </w:tblGrid>
      <w:tr>
        <w:trPr>
          <w:tblHeader w:val="true"/>
          <w:cantSplit/>
        </w:trPr>
        <w:tc>
          <w:tcPr>
            <w:tcW w:type="dxa" w:w="4986"/>
            <w:shd w:fill="153A57"/>
            <w:vAlign w:val="top"/>
          </w:tcPr>
          <w:p>
            <w:pPr>
              <w:spacing w:after="0"/>
            </w:pPr>
            <w:r>
              <w:rPr>
                <w:b/>
                <w:color w:val="FFFFFF"/>
                <w:sz w:val="17"/>
              </w:rPr>
              <w:t>Qualitätsziel</w:t>
            </w:r>
          </w:p>
        </w:tc>
        <w:tc>
          <w:tcPr>
            <w:tcW w:type="dxa" w:w="4986"/>
            <w:shd w:fill="153A57"/>
            <w:vAlign w:val="top"/>
          </w:tcPr>
          <w:p>
            <w:pPr>
              <w:spacing w:after="0"/>
            </w:pPr>
            <w:r>
              <w:rPr>
                <w:b/>
                <w:color w:val="FFFFFF"/>
                <w:sz w:val="17"/>
              </w:rPr>
              <w:t>Anforderung</w:t>
            </w:r>
          </w:p>
        </w:tc>
      </w:tr>
      <w:tr>
        <w:trPr>
          <w:cantSplit/>
        </w:trPr>
        <w:tc>
          <w:tcPr>
            <w:tcW w:type="dxa" w:w="4986"/>
            <w:vAlign w:val="top"/>
          </w:tcPr>
          <w:p>
            <w:pPr>
              <w:spacing w:after="0"/>
            </w:pPr>
            <w:r>
              <w:rPr>
                <w:sz w:val="17"/>
              </w:rPr>
              <w:t>Sicherheit</w:t>
            </w:r>
          </w:p>
        </w:tc>
        <w:tc>
          <w:tcPr>
            <w:tcW w:type="dxa" w:w="4986"/>
            <w:vAlign w:val="top"/>
          </w:tcPr>
          <w:p>
            <w:pPr>
              <w:spacing w:after="0"/>
            </w:pPr>
            <w:r>
              <w:rPr>
                <w:sz w:val="17"/>
              </w:rPr>
              <w:t>Sichere Standardbedienung hat Vorrang vor Komfortabkürzungen. Risikoarme Defaults sind Pflicht.</w:t>
            </w:r>
          </w:p>
        </w:tc>
      </w:tr>
      <w:tr>
        <w:trPr>
          <w:cantSplit/>
        </w:trPr>
        <w:tc>
          <w:tcPr>
            <w:tcW w:type="dxa" w:w="4986"/>
            <w:vAlign w:val="top"/>
          </w:tcPr>
          <w:p>
            <w:pPr>
              <w:spacing w:after="0"/>
            </w:pPr>
            <w:r>
              <w:rPr>
                <w:sz w:val="17"/>
              </w:rPr>
              <w:t>Nachvollziehbarkeit</w:t>
            </w:r>
          </w:p>
        </w:tc>
        <w:tc>
          <w:tcPr>
            <w:tcW w:type="dxa" w:w="4986"/>
            <w:vAlign w:val="top"/>
          </w:tcPr>
          <w:p>
            <w:pPr>
              <w:spacing w:after="0"/>
            </w:pPr>
            <w:r>
              <w:rPr>
                <w:sz w:val="17"/>
              </w:rPr>
              <w:t>Datenmodell, Bedienung und Versionslogik müssen in Dokumentation und UI verständlich bleiben.</w:t>
            </w:r>
          </w:p>
        </w:tc>
      </w:tr>
      <w:tr>
        <w:trPr>
          <w:cantSplit/>
        </w:trPr>
        <w:tc>
          <w:tcPr>
            <w:tcW w:type="dxa" w:w="4986"/>
            <w:vAlign w:val="top"/>
          </w:tcPr>
          <w:p>
            <w:pPr>
              <w:spacing w:after="0"/>
            </w:pPr>
            <w:r>
              <w:rPr>
                <w:sz w:val="17"/>
              </w:rPr>
              <w:t>Wartbarkeit</w:t>
            </w:r>
          </w:p>
        </w:tc>
        <w:tc>
          <w:tcPr>
            <w:tcW w:type="dxa" w:w="4986"/>
            <w:vAlign w:val="top"/>
          </w:tcPr>
          <w:p>
            <w:pPr>
              <w:spacing w:after="0"/>
            </w:pPr>
            <w:r>
              <w:rPr>
                <w:sz w:val="17"/>
              </w:rPr>
              <w:t>Code und Dokumentation sollen denselben Begriffshaushalt verwenden; fachliche Logik darf nicht unkontrolliert in UI-Klassen wachsen.</w:t>
            </w:r>
          </w:p>
        </w:tc>
      </w:tr>
      <w:tr>
        <w:trPr>
          <w:cantSplit/>
        </w:trPr>
        <w:tc>
          <w:tcPr>
            <w:tcW w:type="dxa" w:w="4986"/>
            <w:vAlign w:val="top"/>
          </w:tcPr>
          <w:p>
            <w:pPr>
              <w:spacing w:after="0"/>
            </w:pPr>
            <w:r>
              <w:rPr>
                <w:sz w:val="17"/>
              </w:rPr>
              <w:t>Erweiterbarkeit</w:t>
            </w:r>
          </w:p>
        </w:tc>
        <w:tc>
          <w:tcPr>
            <w:tcW w:type="dxa" w:w="4986"/>
            <w:vAlign w:val="top"/>
          </w:tcPr>
          <w:p>
            <w:pPr>
              <w:spacing w:after="0"/>
            </w:pPr>
            <w:r>
              <w:rPr>
                <w:sz w:val="17"/>
              </w:rPr>
              <w:t>Zertifikatsanhänge, TOTP, Cross-Vault-Funktionen und weitere Interop sollen später ohne Bruch anschließbar sein.</w:t>
            </w:r>
          </w:p>
        </w:tc>
      </w:tr>
      <w:tr>
        <w:trPr>
          <w:cantSplit/>
        </w:trPr>
        <w:tc>
          <w:tcPr>
            <w:tcW w:type="dxa" w:w="4986"/>
            <w:vAlign w:val="top"/>
          </w:tcPr>
          <w:p>
            <w:pPr>
              <w:spacing w:after="0"/>
            </w:pPr>
            <w:r>
              <w:rPr>
                <w:sz w:val="17"/>
              </w:rPr>
              <w:t>Performance</w:t>
            </w:r>
          </w:p>
        </w:tc>
        <w:tc>
          <w:tcPr>
            <w:tcW w:type="dxa" w:w="4986"/>
            <w:vAlign w:val="top"/>
          </w:tcPr>
          <w:p>
            <w:pPr>
              <w:spacing w:after="0"/>
            </w:pPr>
            <w:r>
              <w:rPr>
                <w:sz w:val="17"/>
              </w:rPr>
              <w:t>Normale lokale Nutzung muss flüssig bleiben. Extreme Optimierung ist weniger wichtig als Sicherheit und Klarheit.</w:t>
            </w:r>
          </w:p>
        </w:tc>
      </w:tr>
      <w:tr>
        <w:trPr>
          <w:cantSplit/>
        </w:trPr>
        <w:tc>
          <w:tcPr>
            <w:tcW w:type="dxa" w:w="4986"/>
            <w:vAlign w:val="top"/>
          </w:tcPr>
          <w:p>
            <w:pPr>
              <w:spacing w:after="0"/>
            </w:pPr>
            <w:r>
              <w:rPr>
                <w:sz w:val="17"/>
              </w:rPr>
              <w:t>Testbarkeit</w:t>
            </w:r>
          </w:p>
        </w:tc>
        <w:tc>
          <w:tcPr>
            <w:tcW w:type="dxa" w:w="4986"/>
            <w:vAlign w:val="top"/>
          </w:tcPr>
          <w:p>
            <w:pPr>
              <w:spacing w:after="0"/>
            </w:pPr>
            <w:r>
              <w:rPr>
                <w:sz w:val="17"/>
              </w:rPr>
              <w:t>Sicherheits-, Speicher-, Such-, Import- und Organisationslogik müssen durch Tests absicherbar sein.</w:t>
            </w:r>
          </w:p>
        </w:tc>
      </w:tr>
      <w:tr>
        <w:trPr>
          <w:cantSplit/>
        </w:trPr>
        <w:tc>
          <w:tcPr>
            <w:tcW w:type="dxa" w:w="4986"/>
            <w:vAlign w:val="top"/>
          </w:tcPr>
          <w:p>
            <w:pPr>
              <w:spacing w:after="0"/>
            </w:pPr>
            <w:r>
              <w:rPr>
                <w:sz w:val="17"/>
              </w:rPr>
              <w:t>Dokumentationsqualität</w:t>
            </w:r>
          </w:p>
        </w:tc>
        <w:tc>
          <w:tcPr>
            <w:tcW w:type="dxa" w:w="4986"/>
            <w:vAlign w:val="top"/>
          </w:tcPr>
          <w:p>
            <w:pPr>
              <w:spacing w:after="0"/>
            </w:pPr>
            <w:r>
              <w:rPr>
                <w:sz w:val="17"/>
              </w:rPr>
              <w:t>Lastenheft, Pflichtenheft, Architektur, Roadmap und README müssen konsistent bleiben.</w:t>
            </w:r>
          </w:p>
        </w:tc>
      </w:tr>
    </w:tbl>
    <w:p/>
    <w:p>
      <w:pPr>
        <w:pStyle w:val="Heading1"/>
      </w:pPr>
      <w:r>
        <w:t>16. Bewusste Nicht-Ziele und vertagte Themen</w:t>
      </w:r>
    </w:p>
    <w:p>
      <w:r>
        <w:t>Die folgenden Punkte sind nicht vergessen, sondern bewusst abgegrenzt. Sie dürfen in späteren Versionen erneut bewertet werden, gehören aber nicht in den frühen Kern oder nicht ohne eigenes Konzept in die Umsetzung.</w:t>
      </w:r>
    </w:p>
    <w:tbl>
      <w:tblPr>
        <w:tblStyle w:val="TableGrid"/>
        <w:tblW w:type="auto" w:w="0"/>
        <w:jc w:val="center"/>
        <w:tblLook w:firstColumn="1" w:firstRow="1" w:lastColumn="0" w:lastRow="0" w:noHBand="0" w:noVBand="1" w:val="04A0"/>
        <w:tblBorders>
          <w:top w:val="single" w:sz="6" w:space="0" w:color="A9BEC5"/>
          <w:left w:val="single" w:sz="6" w:space="0" w:color="A9BEC5"/>
          <w:bottom w:val="single" w:sz="6" w:space="0" w:color="A9BEC5"/>
          <w:right w:val="single" w:sz="6" w:space="0" w:color="A9BEC5"/>
          <w:insideH w:val="single" w:sz="6" w:space="0" w:color="A9BEC5"/>
          <w:insideV w:val="single" w:sz="6" w:space="0" w:color="A9BEC5"/>
        </w:tblBorders>
      </w:tblPr>
      <w:tblGrid>
        <w:gridCol w:w="3324"/>
        <w:gridCol w:w="3324"/>
        <w:gridCol w:w="3324"/>
      </w:tblGrid>
      <w:tr>
        <w:trPr>
          <w:tblHeader w:val="true"/>
          <w:cantSplit/>
        </w:trPr>
        <w:tc>
          <w:tcPr>
            <w:tcW w:type="dxa" w:w="3324"/>
            <w:shd w:fill="153A57"/>
            <w:vAlign w:val="top"/>
          </w:tcPr>
          <w:p>
            <w:pPr>
              <w:spacing w:after="0"/>
            </w:pPr>
            <w:r>
              <w:rPr>
                <w:b/>
                <w:color w:val="FFFFFF"/>
                <w:sz w:val="17"/>
              </w:rPr>
              <w:t>Thema</w:t>
            </w:r>
          </w:p>
        </w:tc>
        <w:tc>
          <w:tcPr>
            <w:tcW w:type="dxa" w:w="3324"/>
            <w:shd w:fill="153A57"/>
            <w:vAlign w:val="top"/>
          </w:tcPr>
          <w:p>
            <w:pPr>
              <w:spacing w:after="0"/>
            </w:pPr>
            <w:r>
              <w:rPr>
                <w:b/>
                <w:color w:val="FFFFFF"/>
                <w:sz w:val="17"/>
              </w:rPr>
              <w:t>Entscheidung</w:t>
            </w:r>
          </w:p>
        </w:tc>
        <w:tc>
          <w:tcPr>
            <w:tcW w:type="dxa" w:w="3324"/>
            <w:shd w:fill="153A57"/>
            <w:vAlign w:val="top"/>
          </w:tcPr>
          <w:p>
            <w:pPr>
              <w:spacing w:after="0"/>
            </w:pPr>
            <w:r>
              <w:rPr>
                <w:b/>
                <w:color w:val="FFFFFF"/>
                <w:sz w:val="17"/>
              </w:rPr>
              <w:t>Begründung</w:t>
            </w:r>
          </w:p>
        </w:tc>
      </w:tr>
      <w:tr>
        <w:trPr>
          <w:cantSplit/>
        </w:trPr>
        <w:tc>
          <w:tcPr>
            <w:tcW w:type="dxa" w:w="3324"/>
            <w:vAlign w:val="top"/>
          </w:tcPr>
          <w:p>
            <w:pPr>
              <w:spacing w:after="0"/>
            </w:pPr>
            <w:r>
              <w:rPr>
                <w:sz w:val="17"/>
              </w:rPr>
              <w:t>Vollständiger 1:1-Klon von Password Safe</w:t>
            </w:r>
          </w:p>
        </w:tc>
        <w:tc>
          <w:tcPr>
            <w:tcW w:type="dxa" w:w="3324"/>
            <w:vAlign w:val="top"/>
          </w:tcPr>
          <w:p>
            <w:pPr>
              <w:spacing w:after="0"/>
            </w:pPr>
            <w:r>
              <w:rPr>
                <w:sz w:val="17"/>
              </w:rPr>
              <w:t>Nicht Ziel</w:t>
            </w:r>
          </w:p>
        </w:tc>
        <w:tc>
          <w:tcPr>
            <w:tcW w:type="dxa" w:w="3324"/>
            <w:vAlign w:val="top"/>
          </w:tcPr>
          <w:p>
            <w:pPr>
              <w:spacing w:after="0"/>
            </w:pPr>
            <w:r>
              <w:rPr>
                <w:sz w:val="17"/>
              </w:rPr>
              <w:t>Das interne Modell muss stärker sein als das Fremdformat.</w:t>
            </w:r>
          </w:p>
        </w:tc>
      </w:tr>
      <w:tr>
        <w:trPr>
          <w:cantSplit/>
        </w:trPr>
        <w:tc>
          <w:tcPr>
            <w:tcW w:type="dxa" w:w="3324"/>
            <w:vAlign w:val="top"/>
          </w:tcPr>
          <w:p>
            <w:pPr>
              <w:spacing w:after="0"/>
            </w:pPr>
            <w:r>
              <w:rPr>
                <w:sz w:val="17"/>
              </w:rPr>
              <w:t>Gruppenweite Default-Passwörter</w:t>
            </w:r>
          </w:p>
        </w:tc>
        <w:tc>
          <w:tcPr>
            <w:tcW w:type="dxa" w:w="3324"/>
            <w:vAlign w:val="top"/>
          </w:tcPr>
          <w:p>
            <w:pPr>
              <w:spacing w:after="0"/>
            </w:pPr>
            <w:r>
              <w:rPr>
                <w:sz w:val="17"/>
              </w:rPr>
              <w:t>Nicht umsetzen</w:t>
            </w:r>
          </w:p>
        </w:tc>
        <w:tc>
          <w:tcPr>
            <w:tcW w:type="dxa" w:w="3324"/>
            <w:vAlign w:val="top"/>
          </w:tcPr>
          <w:p>
            <w:pPr>
              <w:spacing w:after="0"/>
            </w:pPr>
            <w:r>
              <w:rPr>
                <w:sz w:val="17"/>
              </w:rPr>
              <w:t>Fördert Passwortwiederverwendung; ersetzt durch Generatorprofile und Vorlagen.</w:t>
            </w:r>
          </w:p>
        </w:tc>
      </w:tr>
      <w:tr>
        <w:trPr>
          <w:cantSplit/>
        </w:trPr>
        <w:tc>
          <w:tcPr>
            <w:tcW w:type="dxa" w:w="3324"/>
            <w:vAlign w:val="top"/>
          </w:tcPr>
          <w:p>
            <w:pPr>
              <w:spacing w:after="0"/>
            </w:pPr>
            <w:r>
              <w:rPr>
                <w:sz w:val="17"/>
              </w:rPr>
              <w:t>Virtuelle Tastatur</w:t>
            </w:r>
          </w:p>
        </w:tc>
        <w:tc>
          <w:tcPr>
            <w:tcW w:type="dxa" w:w="3324"/>
            <w:vAlign w:val="top"/>
          </w:tcPr>
          <w:p>
            <w:pPr>
              <w:spacing w:after="0"/>
            </w:pPr>
            <w:r>
              <w:rPr>
                <w:sz w:val="17"/>
              </w:rPr>
              <w:t>Nicht priorisieren</w:t>
            </w:r>
          </w:p>
        </w:tc>
        <w:tc>
          <w:tcPr>
            <w:tcW w:type="dxa" w:w="3324"/>
            <w:vAlign w:val="top"/>
          </w:tcPr>
          <w:p>
            <w:pPr>
              <w:spacing w:after="0"/>
            </w:pPr>
            <w:r>
              <w:rPr>
                <w:sz w:val="17"/>
              </w:rPr>
              <w:t>Begrenzter Sicherheitsgewinn bei hohem Bedienaufwand.</w:t>
            </w:r>
          </w:p>
        </w:tc>
      </w:tr>
      <w:tr>
        <w:trPr>
          <w:cantSplit/>
        </w:trPr>
        <w:tc>
          <w:tcPr>
            <w:tcW w:type="dxa" w:w="3324"/>
            <w:vAlign w:val="top"/>
          </w:tcPr>
          <w:p>
            <w:pPr>
              <w:spacing w:after="0"/>
            </w:pPr>
            <w:r>
              <w:rPr>
                <w:sz w:val="17"/>
              </w:rPr>
              <w:t>Cloud-Synchronisation</w:t>
            </w:r>
          </w:p>
        </w:tc>
        <w:tc>
          <w:tcPr>
            <w:tcW w:type="dxa" w:w="3324"/>
            <w:vAlign w:val="top"/>
          </w:tcPr>
          <w:p>
            <w:pPr>
              <w:spacing w:after="0"/>
            </w:pPr>
            <w:r>
              <w:rPr>
                <w:sz w:val="17"/>
              </w:rPr>
              <w:t>Vertagt</w:t>
            </w:r>
          </w:p>
        </w:tc>
        <w:tc>
          <w:tcPr>
            <w:tcW w:type="dxa" w:w="3324"/>
            <w:vAlign w:val="top"/>
          </w:tcPr>
          <w:p>
            <w:pPr>
              <w:spacing w:after="0"/>
            </w:pPr>
            <w:r>
              <w:rPr>
                <w:sz w:val="17"/>
              </w:rPr>
              <w:t>Ändert Sicherheitsmodell und Betrieb deutlich.</w:t>
            </w:r>
          </w:p>
        </w:tc>
      </w:tr>
      <w:tr>
        <w:trPr>
          <w:cantSplit/>
        </w:trPr>
        <w:tc>
          <w:tcPr>
            <w:tcW w:type="dxa" w:w="3324"/>
            <w:vAlign w:val="top"/>
          </w:tcPr>
          <w:p>
            <w:pPr>
              <w:spacing w:after="0"/>
            </w:pPr>
            <w:r>
              <w:rPr>
                <w:sz w:val="17"/>
              </w:rPr>
              <w:t>Team-Sharing / Rollenrechte</w:t>
            </w:r>
          </w:p>
        </w:tc>
        <w:tc>
          <w:tcPr>
            <w:tcW w:type="dxa" w:w="3324"/>
            <w:vAlign w:val="top"/>
          </w:tcPr>
          <w:p>
            <w:pPr>
              <w:spacing w:after="0"/>
            </w:pPr>
            <w:r>
              <w:rPr>
                <w:sz w:val="17"/>
              </w:rPr>
              <w:t>Vertagt</w:t>
            </w:r>
          </w:p>
        </w:tc>
        <w:tc>
          <w:tcPr>
            <w:tcW w:type="dxa" w:w="3324"/>
            <w:vAlign w:val="top"/>
          </w:tcPr>
          <w:p>
            <w:pPr>
              <w:spacing w:after="0"/>
            </w:pPr>
            <w:r>
              <w:rPr>
                <w:sz w:val="17"/>
              </w:rPr>
              <w:t>Eigenes Produkt- und Sicherheitskonzept erforderlich.</w:t>
            </w:r>
          </w:p>
        </w:tc>
      </w:tr>
      <w:tr>
        <w:trPr>
          <w:cantSplit/>
        </w:trPr>
        <w:tc>
          <w:tcPr>
            <w:tcW w:type="dxa" w:w="3324"/>
            <w:vAlign w:val="top"/>
          </w:tcPr>
          <w:p>
            <w:pPr>
              <w:spacing w:after="0"/>
            </w:pPr>
            <w:r>
              <w:rPr>
                <w:sz w:val="17"/>
              </w:rPr>
              <w:t>Mobile Clients</w:t>
            </w:r>
          </w:p>
        </w:tc>
        <w:tc>
          <w:tcPr>
            <w:tcW w:type="dxa" w:w="3324"/>
            <w:vAlign w:val="top"/>
          </w:tcPr>
          <w:p>
            <w:pPr>
              <w:spacing w:after="0"/>
            </w:pPr>
            <w:r>
              <w:rPr>
                <w:sz w:val="17"/>
              </w:rPr>
              <w:t>Vertagt</w:t>
            </w:r>
          </w:p>
        </w:tc>
        <w:tc>
          <w:tcPr>
            <w:tcW w:type="dxa" w:w="3324"/>
            <w:vAlign w:val="top"/>
          </w:tcPr>
          <w:p>
            <w:pPr>
              <w:spacing w:after="0"/>
            </w:pPr>
            <w:r>
              <w:rPr>
                <w:sz w:val="17"/>
              </w:rPr>
              <w:t>Eigene Plattform- und Sync-Fragen.</w:t>
            </w:r>
          </w:p>
        </w:tc>
      </w:tr>
      <w:tr>
        <w:trPr>
          <w:cantSplit/>
        </w:trPr>
        <w:tc>
          <w:tcPr>
            <w:tcW w:type="dxa" w:w="3324"/>
            <w:vAlign w:val="top"/>
          </w:tcPr>
          <w:p>
            <w:pPr>
              <w:spacing w:after="0"/>
            </w:pPr>
            <w:r>
              <w:rPr>
                <w:sz w:val="17"/>
              </w:rPr>
              <w:t>Browser-Autofill</w:t>
            </w:r>
          </w:p>
        </w:tc>
        <w:tc>
          <w:tcPr>
            <w:tcW w:type="dxa" w:w="3324"/>
            <w:vAlign w:val="top"/>
          </w:tcPr>
          <w:p>
            <w:pPr>
              <w:spacing w:after="0"/>
            </w:pPr>
            <w:r>
              <w:rPr>
                <w:sz w:val="17"/>
              </w:rPr>
              <w:t>Vertagt</w:t>
            </w:r>
          </w:p>
        </w:tc>
        <w:tc>
          <w:tcPr>
            <w:tcW w:type="dxa" w:w="3324"/>
            <w:vAlign w:val="top"/>
          </w:tcPr>
          <w:p>
            <w:pPr>
              <w:spacing w:after="0"/>
            </w:pPr>
            <w:r>
              <w:rPr>
                <w:sz w:val="17"/>
              </w:rPr>
              <w:t>Hohe Sicherheits- und Integrationskomplexität.</w:t>
            </w:r>
          </w:p>
        </w:tc>
      </w:tr>
      <w:tr>
        <w:trPr>
          <w:cantSplit/>
        </w:trPr>
        <w:tc>
          <w:tcPr>
            <w:tcW w:type="dxa" w:w="3324"/>
            <w:vAlign w:val="top"/>
          </w:tcPr>
          <w:p>
            <w:pPr>
              <w:spacing w:after="0"/>
            </w:pPr>
            <w:r>
              <w:rPr>
                <w:sz w:val="17"/>
              </w:rPr>
              <w:t>Automatisierte ACME-/PKI-Verwaltung</w:t>
            </w:r>
          </w:p>
        </w:tc>
        <w:tc>
          <w:tcPr>
            <w:tcW w:type="dxa" w:w="3324"/>
            <w:vAlign w:val="top"/>
          </w:tcPr>
          <w:p>
            <w:pPr>
              <w:spacing w:after="0"/>
            </w:pPr>
            <w:r>
              <w:rPr>
                <w:sz w:val="17"/>
              </w:rPr>
              <w:t>Später prüfen</w:t>
            </w:r>
          </w:p>
        </w:tc>
        <w:tc>
          <w:tcPr>
            <w:tcW w:type="dxa" w:w="3324"/>
            <w:vAlign w:val="top"/>
          </w:tcPr>
          <w:p>
            <w:pPr>
              <w:spacing w:after="0"/>
            </w:pPr>
            <w:r>
              <w:rPr>
                <w:sz w:val="17"/>
              </w:rPr>
              <w:t>Sinnvoll, aber deutlich mehr als Zertifikatsdokumentation.</w:t>
            </w:r>
          </w:p>
        </w:tc>
      </w:tr>
      <w:tr>
        <w:trPr>
          <w:cantSplit/>
        </w:trPr>
        <w:tc>
          <w:tcPr>
            <w:tcW w:type="dxa" w:w="3324"/>
            <w:vAlign w:val="top"/>
          </w:tcPr>
          <w:p>
            <w:pPr>
              <w:spacing w:after="0"/>
            </w:pPr>
            <w:r>
              <w:rPr>
                <w:sz w:val="17"/>
              </w:rPr>
              <w:t>Rich-Text/RTF in Notizen</w:t>
            </w:r>
          </w:p>
        </w:tc>
        <w:tc>
          <w:tcPr>
            <w:tcW w:type="dxa" w:w="3324"/>
            <w:vAlign w:val="top"/>
          </w:tcPr>
          <w:p>
            <w:pPr>
              <w:spacing w:after="0"/>
            </w:pPr>
            <w:r>
              <w:rPr>
                <w:sz w:val="17"/>
              </w:rPr>
              <w:t>Vertagt</w:t>
            </w:r>
          </w:p>
        </w:tc>
        <w:tc>
          <w:tcPr>
            <w:tcW w:type="dxa" w:w="3324"/>
            <w:vAlign w:val="top"/>
          </w:tcPr>
          <w:p>
            <w:pPr>
              <w:spacing w:after="0"/>
            </w:pPr>
            <w:r>
              <w:rPr>
                <w:sz w:val="17"/>
              </w:rPr>
              <w:t>Erhöht Komplexität, Angriffsfläche und Interop-Probleme.</w:t>
            </w:r>
          </w:p>
        </w:tc>
      </w:tr>
    </w:tbl>
    <w:p/>
    <w:p>
      <w:pPr>
        <w:pStyle w:val="Heading1"/>
      </w:pPr>
      <w:r>
        <w:t>17. Aktueller Prototypstand</w:t>
      </w:r>
    </w:p>
    <w:p>
      <w:r>
        <w:t>Der vorhandene Repository-Stand bildet bereits einen erheblichen Teil des Fundaments ab. Vorhanden sind eine .NET-8-WinForms-Anwendung, getrennte Schichten, internes .svault-Format, verschlüsseltes Speichern und Laden, Gruppen, Untergruppen, Tags, Suche, Listen- und Detailansicht, Eintrags- und Gruppenbearbeitung, Drag-and-Drop, Passwortstärke-Bewertung, Debug-Logging und Tests.</w:t>
      </w:r>
    </w:p>
    <w:p>
      <w:r>
        <w:t>Gleichzeitig bleibt das Repository ein aktiver Entwicklungsstand. Vor einer produktiven Nutzung mit echten kritischen Geheimnissen müssen insbesondere Clipboard-Schutz, Auto-Lock, Passwortgenerator, Password-Safe-Import, Backup-/Restore-Härtung, Recovery-Entscheidungen und Zertifikatsverwaltung sauber abgeschlossen und getestet werden.</w:t>
      </w:r>
    </w:p>
    <w:tbl>
      <w:tblPr>
        <w:tblStyle w:val="TableGrid"/>
        <w:tblW w:type="auto" w:w="0"/>
        <w:jc w:val="center"/>
        <w:tblLook w:firstColumn="1" w:firstRow="1" w:lastColumn="0" w:lastRow="0" w:noHBand="0" w:noVBand="1" w:val="04A0"/>
        <w:tblBorders>
          <w:top w:val="single" w:sz="6" w:space="0" w:color="A9BEC5"/>
          <w:left w:val="single" w:sz="6" w:space="0" w:color="A9BEC5"/>
          <w:bottom w:val="single" w:sz="6" w:space="0" w:color="A9BEC5"/>
          <w:right w:val="single" w:sz="6" w:space="0" w:color="A9BEC5"/>
          <w:insideH w:val="single" w:sz="6" w:space="0" w:color="A9BEC5"/>
          <w:insideV w:val="single" w:sz="6" w:space="0" w:color="A9BEC5"/>
        </w:tblBorders>
      </w:tblPr>
      <w:tblGrid>
        <w:gridCol w:w="4986"/>
        <w:gridCol w:w="4986"/>
      </w:tblGrid>
      <w:tr>
        <w:trPr>
          <w:tblHeader w:val="true"/>
          <w:cantSplit/>
        </w:trPr>
        <w:tc>
          <w:tcPr>
            <w:tcW w:type="dxa" w:w="4986"/>
            <w:shd w:fill="153A57"/>
            <w:vAlign w:val="top"/>
          </w:tcPr>
          <w:p>
            <w:pPr>
              <w:spacing w:after="0"/>
            </w:pPr>
            <w:r>
              <w:rPr>
                <w:b/>
                <w:color w:val="FFFFFF"/>
                <w:sz w:val="17"/>
              </w:rPr>
              <w:t>Bereich</w:t>
            </w:r>
          </w:p>
        </w:tc>
        <w:tc>
          <w:tcPr>
            <w:tcW w:type="dxa" w:w="4986"/>
            <w:shd w:fill="153A57"/>
            <w:vAlign w:val="top"/>
          </w:tcPr>
          <w:p>
            <w:pPr>
              <w:spacing w:after="0"/>
            </w:pPr>
            <w:r>
              <w:rPr>
                <w:b/>
                <w:color w:val="FFFFFF"/>
                <w:sz w:val="17"/>
              </w:rPr>
              <w:t>Stand laut bisheriger Einordnung</w:t>
            </w:r>
          </w:p>
        </w:tc>
      </w:tr>
      <w:tr>
        <w:trPr>
          <w:cantSplit/>
        </w:trPr>
        <w:tc>
          <w:tcPr>
            <w:tcW w:type="dxa" w:w="4986"/>
            <w:vAlign w:val="top"/>
          </w:tcPr>
          <w:p>
            <w:pPr>
              <w:spacing w:after="0"/>
            </w:pPr>
            <w:r>
              <w:rPr>
                <w:sz w:val="17"/>
              </w:rPr>
              <w:t>Architektur / Solution</w:t>
            </w:r>
          </w:p>
        </w:tc>
        <w:tc>
          <w:tcPr>
            <w:tcW w:type="dxa" w:w="4986"/>
            <w:vAlign w:val="top"/>
          </w:tcPr>
          <w:p>
            <w:pPr>
              <w:spacing w:after="0"/>
            </w:pPr>
            <w:r>
              <w:rPr>
                <w:sz w:val="17"/>
              </w:rPr>
              <w:t>Grundstruktur Domain, Application, Security, Storage, Interop, WinForms und Tests vorhanden.</w:t>
            </w:r>
          </w:p>
        </w:tc>
      </w:tr>
      <w:tr>
        <w:trPr>
          <w:cantSplit/>
        </w:trPr>
        <w:tc>
          <w:tcPr>
            <w:tcW w:type="dxa" w:w="4986"/>
            <w:vAlign w:val="top"/>
          </w:tcPr>
          <w:p>
            <w:pPr>
              <w:spacing w:after="0"/>
            </w:pPr>
            <w:r>
              <w:rPr>
                <w:sz w:val="17"/>
              </w:rPr>
              <w:t>Tresor-Lifecycle</w:t>
            </w:r>
          </w:p>
        </w:tc>
        <w:tc>
          <w:tcPr>
            <w:tcW w:type="dxa" w:w="4986"/>
            <w:vAlign w:val="top"/>
          </w:tcPr>
          <w:p>
            <w:pPr>
              <w:spacing w:after="0"/>
            </w:pPr>
            <w:r>
              <w:rPr>
                <w:sz w:val="17"/>
              </w:rPr>
              <w:t>Anlegen, Öffnen, Speichern und verschlüsseltes .svault-Format vorhanden beziehungsweise angelegt.</w:t>
            </w:r>
          </w:p>
        </w:tc>
      </w:tr>
      <w:tr>
        <w:trPr>
          <w:cantSplit/>
        </w:trPr>
        <w:tc>
          <w:tcPr>
            <w:tcW w:type="dxa" w:w="4986"/>
            <w:vAlign w:val="top"/>
          </w:tcPr>
          <w:p>
            <w:pPr>
              <w:spacing w:after="0"/>
            </w:pPr>
            <w:r>
              <w:rPr>
                <w:sz w:val="17"/>
              </w:rPr>
              <w:t>Organisation</w:t>
            </w:r>
          </w:p>
        </w:tc>
        <w:tc>
          <w:tcPr>
            <w:tcW w:type="dxa" w:w="4986"/>
            <w:vAlign w:val="top"/>
          </w:tcPr>
          <w:p>
            <w:pPr>
              <w:spacing w:after="0"/>
            </w:pPr>
            <w:r>
              <w:rPr>
                <w:sz w:val="17"/>
              </w:rPr>
              <w:t>Gruppen, Tags, Root-Logik, Drag-and-Drop und Schutzdialoge in wesentlichen Teilen vorhanden.</w:t>
            </w:r>
          </w:p>
        </w:tc>
      </w:tr>
      <w:tr>
        <w:trPr>
          <w:cantSplit/>
        </w:trPr>
        <w:tc>
          <w:tcPr>
            <w:tcW w:type="dxa" w:w="4986"/>
            <w:vAlign w:val="top"/>
          </w:tcPr>
          <w:p>
            <w:pPr>
              <w:spacing w:after="0"/>
            </w:pPr>
            <w:r>
              <w:rPr>
                <w:sz w:val="17"/>
              </w:rPr>
              <w:t>Alltagssicherheit</w:t>
            </w:r>
          </w:p>
        </w:tc>
        <w:tc>
          <w:tcPr>
            <w:tcW w:type="dxa" w:w="4986"/>
            <w:vAlign w:val="top"/>
          </w:tcPr>
          <w:p>
            <w:pPr>
              <w:spacing w:after="0"/>
            </w:pPr>
            <w:r>
              <w:rPr>
                <w:sz w:val="17"/>
              </w:rPr>
              <w:t>Clipboard-Autoclear, Auto-Lock, Generator und Interop noch Härtungs-/Abschlussbereich.</w:t>
            </w:r>
          </w:p>
        </w:tc>
      </w:tr>
      <w:tr>
        <w:trPr>
          <w:cantSplit/>
        </w:trPr>
        <w:tc>
          <w:tcPr>
            <w:tcW w:type="dxa" w:w="4986"/>
            <w:vAlign w:val="top"/>
          </w:tcPr>
          <w:p>
            <w:pPr>
              <w:spacing w:after="0"/>
            </w:pPr>
            <w:r>
              <w:rPr>
                <w:sz w:val="17"/>
              </w:rPr>
              <w:t>Zertifikatsverwaltung</w:t>
            </w:r>
          </w:p>
        </w:tc>
        <w:tc>
          <w:tcPr>
            <w:tcW w:type="dxa" w:w="4986"/>
            <w:vAlign w:val="top"/>
          </w:tcPr>
          <w:p>
            <w:pPr>
              <w:spacing w:after="0"/>
            </w:pPr>
            <w:r>
              <w:rPr>
                <w:sz w:val="17"/>
              </w:rPr>
              <w:t>Als Anforderung jetzt ausdrücklich aufgenommen; konkrete UI-/Datenmodell-Erweiterung folgt im Pflichtenheft.</w:t>
            </w:r>
          </w:p>
        </w:tc>
      </w:tr>
    </w:tbl>
    <w:p/>
    <w:p>
      <w:pPr>
        <w:pStyle w:val="Heading1"/>
      </w:pPr>
      <w:r>
        <w:t>18. Abnahmekriterien für V1</w:t>
      </w:r>
    </w:p>
    <w:p>
      <w:r>
        <w:t>V1 ist fachlich abnahmefähig, wenn der lokale Kern sicher und alltagstauglich funktioniert. Die Abnahme erfolgt nicht über einzelne Menüpunkte, sondern über überprüfbare Nutzungsszenarien.</w:t>
      </w:r>
    </w:p>
    <w:p>
      <w:pPr>
        <w:pStyle w:val="ListNumber"/>
      </w:pPr>
      <w:r>
        <w:t>Ein neuer .svault-Tresor kann angelegt, gespeichert, geschlossen, wieder geöffnet und weiterbearbeitet werden, ohne Datenverlust oder Vermischung mit anderen Tresoren.</w:t>
      </w:r>
    </w:p>
    <w:p>
      <w:pPr>
        <w:pStyle w:val="ListNumber"/>
      </w:pPr>
      <w:r>
        <w:t>Mehrere unabhängige Tresore können nacheinander genutzt werden; Master-Passwörter und Inhalte bleiben getrennt.</w:t>
      </w:r>
    </w:p>
    <w:p>
      <w:pPr>
        <w:pStyle w:val="ListNumber"/>
      </w:pPr>
      <w:r>
        <w:t>Einträge für Login, Datenbank, Mail, FTP/SFTP, Server, API, Lizenz, SecureNote, Custom und HTTPS/TLS-Zertifikat können sinnvoll erfasst und wiedergefunden werden.</w:t>
      </w:r>
    </w:p>
    <w:p>
      <w:pPr>
        <w:pStyle w:val="ListNumber"/>
      </w:pPr>
      <w:r>
        <w:t>Zertifikatseinträge besitzen strukturierte Felder für Domain/CN/SAN, Aussteller, Fingerprint, Laufzeit, Ablageort, Erneuerung und geheime Bestandteile wie Key-Passphrase oder PFX-Passwort.</w:t>
      </w:r>
    </w:p>
    <w:p>
      <w:pPr>
        <w:pStyle w:val="ListNumber"/>
      </w:pPr>
      <w:r>
        <w:t>Gruppen, Untergruppen, Tags, Suche, Filter, Kontextmenüs und Drag-and-Drop funktionieren nachvollziehbar und schützen vor riskanter Fehlbedienung.</w:t>
      </w:r>
    </w:p>
    <w:p>
      <w:pPr>
        <w:pStyle w:val="ListNumber"/>
      </w:pPr>
      <w:r>
        <w:t>Geheime Werte sind standardmäßig verborgen, lassen sich bewusst anzeigen oder kopieren und verbleiben nicht dauerhaft in der Zwischenablage.</w:t>
      </w:r>
    </w:p>
    <w:p>
      <w:pPr>
        <w:pStyle w:val="ListNumber"/>
      </w:pPr>
      <w:r>
        <w:t>Der Tresor kann manuell und automatisch gesperrt werden; sichtbare Secrets werden beim Sperren entfernt oder maskiert.</w:t>
      </w:r>
    </w:p>
    <w:p>
      <w:pPr>
        <w:pStyle w:val="ListNumber"/>
      </w:pPr>
      <w:r>
        <w:t>Backups bleiben verschlüsselt; Speicher- und Fehlerfälle werden verständlich gemeldet.</w:t>
      </w:r>
    </w:p>
    <w:p>
      <w:pPr>
        <w:pStyle w:val="ListNumber"/>
      </w:pPr>
      <w:r>
        <w:t>Password-Safe-Import erzeugt einen nachvollziehbaren Importbericht und verschluckt nicht stillschweigend nicht abbildbare Informationen.</w:t>
      </w:r>
    </w:p>
    <w:p>
      <w:pPr>
        <w:pStyle w:val="ListNumber"/>
      </w:pPr>
      <w:r>
        <w:t>Logs, Fehlermeldungen und Debug-Ausgaben enthalten keine Klartext-Secrets, Tokens, privaten Schlüssel oder Master-Passwörter.</w:t>
      </w:r>
    </w:p>
    <w:p>
      <w:pPr>
        <w:pStyle w:val="Heading1"/>
      </w:pPr>
      <w:r>
        <w:t>19. Offene Punkte für das anschließende Pflichtenheft</w:t>
      </w:r>
    </w:p>
    <w:p>
      <w:r>
        <w:t>Das Lastenheft legt die fachliche Richtung fest. Für das Pflichtenheft beziehungsweise die nächste technische Überarbeitung sind vor allem folgende Punkte zu präzisieren:</w:t>
      </w:r>
    </w:p>
    <w:p>
      <w:pPr>
        <w:pStyle w:val="ListBullet"/>
      </w:pPr>
      <w:r>
        <w:t>Exaktes Datenmodell für HTTPS/TLS-Zertifikatseinträge, inklusive Feldnamen, Sensitivitätskennzeichen und Beziehung zu Server-/Domain-/Hosting-Einträgen.</w:t>
      </w:r>
    </w:p>
    <w:p>
      <w:pPr>
        <w:pStyle w:val="ListBullet"/>
      </w:pPr>
      <w:r>
        <w:t>Entscheidung, ab wann verschlüsselte Anhänge beziehungsweise Zertifikatsdateien im Tresor gespeichert werden dürfen.</w:t>
      </w:r>
    </w:p>
    <w:p>
      <w:pPr>
        <w:pStyle w:val="ListBullet"/>
      </w:pPr>
      <w:r>
        <w:t>Konkretes UI-Konzept für Zertifikatsdetails, Ablaufwarnungen, Deployment-Bezüge und geheime Schlüsselbestandteile.</w:t>
      </w:r>
    </w:p>
    <w:p>
      <w:pPr>
        <w:pStyle w:val="ListBullet"/>
      </w:pPr>
      <w:r>
        <w:t>Detailkonzept für Clipboard-Autoclear, Auto-Lock, Master-Passwort-Änderung und Passwortgenerator.</w:t>
      </w:r>
    </w:p>
    <w:p>
      <w:pPr>
        <w:pStyle w:val="ListBullet"/>
      </w:pPr>
      <w:r>
        <w:t>Mapping-Regeln für Password-Safe-Import und spätere Exportberichte.</w:t>
      </w:r>
    </w:p>
    <w:p>
      <w:pPr>
        <w:pStyle w:val="ListBullet"/>
      </w:pPr>
      <w:r>
        <w:t>Recovery-Konzept ohne Backdoor mit klarer Abwägung von Sicherheit, Bedienbarkeit und organisatorischem Notfallbedarf.</w:t>
      </w:r>
    </w:p>
    <w:p>
      <w:pPr>
        <w:pStyle w:val="ListBullet"/>
      </w:pPr>
      <w:r>
        <w:t>Abgleich zwischen Repository-README, Roadmap, Lastenheft, Pflichtenheft und Architektur, damit keine widersprüchlichen V1/V1.x-Grenzen bleiben.</w:t>
      </w:r>
    </w:p>
    <w:p>
      <w:pPr>
        <w:pStyle w:val="Heading1"/>
      </w:pPr>
      <w:r>
        <w:t>20. Quellen- und Entscheidungsregister</w:t>
      </w:r>
    </w:p>
    <w:p>
      <w:r>
        <w:t>Dieses Register nennt die wichtigsten einbezogenen Unterlagen und Entscheidungen. Es ersetzt keine externe Sicherheitsprüfung und keine formale Compliance-Freigabe.</w:t>
      </w:r>
    </w:p>
    <w:tbl>
      <w:tblPr>
        <w:tblStyle w:val="TableGrid"/>
        <w:tblW w:type="auto" w:w="0"/>
        <w:jc w:val="center"/>
        <w:tblLook w:firstColumn="1" w:firstRow="1" w:lastColumn="0" w:lastRow="0" w:noHBand="0" w:noVBand="1" w:val="04A0"/>
        <w:tblBorders>
          <w:top w:val="single" w:sz="6" w:space="0" w:color="A9BEC5"/>
          <w:left w:val="single" w:sz="6" w:space="0" w:color="A9BEC5"/>
          <w:bottom w:val="single" w:sz="6" w:space="0" w:color="A9BEC5"/>
          <w:right w:val="single" w:sz="6" w:space="0" w:color="A9BEC5"/>
          <w:insideH w:val="single" w:sz="6" w:space="0" w:color="A9BEC5"/>
          <w:insideV w:val="single" w:sz="6" w:space="0" w:color="A9BEC5"/>
        </w:tblBorders>
      </w:tblPr>
      <w:tblGrid>
        <w:gridCol w:w="4986"/>
        <w:gridCol w:w="4986"/>
      </w:tblGrid>
      <w:tr>
        <w:trPr>
          <w:tblHeader w:val="true"/>
          <w:cantSplit/>
        </w:trPr>
        <w:tc>
          <w:tcPr>
            <w:tcW w:type="dxa" w:w="4986"/>
            <w:shd w:fill="153A57"/>
            <w:vAlign w:val="top"/>
          </w:tcPr>
          <w:p>
            <w:pPr>
              <w:spacing w:after="0"/>
            </w:pPr>
            <w:r>
              <w:rPr>
                <w:b/>
                <w:color w:val="FFFFFF"/>
                <w:sz w:val="17"/>
              </w:rPr>
              <w:t>Quelle / Bereich</w:t>
            </w:r>
          </w:p>
        </w:tc>
        <w:tc>
          <w:tcPr>
            <w:tcW w:type="dxa" w:w="4986"/>
            <w:shd w:fill="153A57"/>
            <w:vAlign w:val="top"/>
          </w:tcPr>
          <w:p>
            <w:pPr>
              <w:spacing w:after="0"/>
            </w:pPr>
            <w:r>
              <w:rPr>
                <w:b/>
                <w:color w:val="FFFFFF"/>
                <w:sz w:val="17"/>
              </w:rPr>
              <w:t>Einfluss auf dieses Lastenheft</w:t>
            </w:r>
          </w:p>
        </w:tc>
      </w:tr>
      <w:tr>
        <w:trPr>
          <w:cantSplit/>
        </w:trPr>
        <w:tc>
          <w:tcPr>
            <w:tcW w:type="dxa" w:w="4986"/>
            <w:vAlign w:val="top"/>
          </w:tcPr>
          <w:p>
            <w:pPr>
              <w:spacing w:after="0"/>
            </w:pPr>
            <w:r>
              <w:rPr>
                <w:sz w:val="17"/>
              </w:rPr>
              <w:t>Fortgeschriebenes Lastenheft</w:t>
            </w:r>
          </w:p>
        </w:tc>
        <w:tc>
          <w:tcPr>
            <w:tcW w:type="dxa" w:w="4986"/>
            <w:vAlign w:val="top"/>
          </w:tcPr>
          <w:p>
            <w:pPr>
              <w:spacing w:after="0"/>
            </w:pPr>
            <w:r>
              <w:rPr>
                <w:sz w:val="17"/>
              </w:rPr>
              <w:t>Grundstruktur, Zielbild, vollständiges Ideen- und Versionsregister.</w:t>
            </w:r>
          </w:p>
        </w:tc>
      </w:tr>
      <w:tr>
        <w:trPr>
          <w:cantSplit/>
        </w:trPr>
        <w:tc>
          <w:tcPr>
            <w:tcW w:type="dxa" w:w="4986"/>
            <w:vAlign w:val="top"/>
          </w:tcPr>
          <w:p>
            <w:pPr>
              <w:spacing w:after="0"/>
            </w:pPr>
            <w:r>
              <w:rPr>
                <w:sz w:val="17"/>
              </w:rPr>
              <w:t>Pflichtenheft und Architekturkonzept</w:t>
            </w:r>
          </w:p>
        </w:tc>
        <w:tc>
          <w:tcPr>
            <w:tcW w:type="dxa" w:w="4986"/>
            <w:vAlign w:val="top"/>
          </w:tcPr>
          <w:p>
            <w:pPr>
              <w:spacing w:after="0"/>
            </w:pPr>
            <w:r>
              <w:rPr>
                <w:sz w:val="17"/>
              </w:rPr>
              <w:t>Abgrenzung zwischen fachlichem Bedarf und technischer Umsetzung; Schichten- und Versionslogik.</w:t>
            </w:r>
          </w:p>
        </w:tc>
      </w:tr>
      <w:tr>
        <w:trPr>
          <w:cantSplit/>
        </w:trPr>
        <w:tc>
          <w:tcPr>
            <w:tcW w:type="dxa" w:w="4986"/>
            <w:vAlign w:val="top"/>
          </w:tcPr>
          <w:p>
            <w:pPr>
              <w:spacing w:after="0"/>
            </w:pPr>
            <w:r>
              <w:rPr>
                <w:sz w:val="17"/>
              </w:rPr>
              <w:t>Architekturdokument V1</w:t>
            </w:r>
          </w:p>
        </w:tc>
        <w:tc>
          <w:tcPr>
            <w:tcW w:type="dxa" w:w="4986"/>
            <w:vAlign w:val="top"/>
          </w:tcPr>
          <w:p>
            <w:pPr>
              <w:spacing w:after="0"/>
            </w:pPr>
            <w:r>
              <w:rPr>
                <w:sz w:val="17"/>
              </w:rPr>
              <w:t>Ist-/Soll-Abgleich des Repository-Stands und offene V1-Bausteine.</w:t>
            </w:r>
          </w:p>
        </w:tc>
      </w:tr>
      <w:tr>
        <w:trPr>
          <w:cantSplit/>
        </w:trPr>
        <w:tc>
          <w:tcPr>
            <w:tcW w:type="dxa" w:w="4986"/>
            <w:vAlign w:val="top"/>
          </w:tcPr>
          <w:p>
            <w:pPr>
              <w:spacing w:after="0"/>
            </w:pPr>
            <w:r>
              <w:rPr>
                <w:sz w:val="17"/>
              </w:rPr>
              <w:t>Feature-Collation Passwortmanager</w:t>
            </w:r>
          </w:p>
        </w:tc>
        <w:tc>
          <w:tcPr>
            <w:tcW w:type="dxa" w:w="4986"/>
            <w:vAlign w:val="top"/>
          </w:tcPr>
          <w:p>
            <w:pPr>
              <w:spacing w:after="0"/>
            </w:pPr>
            <w:r>
              <w:rPr>
                <w:sz w:val="17"/>
              </w:rPr>
              <w:t>Abgrenzung zu KeePassXC, Bitwarden, 1Password, Keeper und anderen Produkten; Migrations-, Sicherheits- und Betriebsfragen.</w:t>
            </w:r>
          </w:p>
        </w:tc>
      </w:tr>
      <w:tr>
        <w:trPr>
          <w:cantSplit/>
        </w:trPr>
        <w:tc>
          <w:tcPr>
            <w:tcW w:type="dxa" w:w="4986"/>
            <w:vAlign w:val="top"/>
          </w:tcPr>
          <w:p>
            <w:pPr>
              <w:spacing w:after="0"/>
            </w:pPr>
            <w:r>
              <w:rPr>
                <w:sz w:val="17"/>
              </w:rPr>
              <w:t>Roadmap</w:t>
            </w:r>
          </w:p>
        </w:tc>
        <w:tc>
          <w:tcPr>
            <w:tcW w:type="dxa" w:w="4986"/>
            <w:vAlign w:val="top"/>
          </w:tcPr>
          <w:p>
            <w:pPr>
              <w:spacing w:after="0"/>
            </w:pPr>
            <w:r>
              <w:rPr>
                <w:sz w:val="17"/>
              </w:rPr>
              <w:t>Milestones, bereits erreichte Funktionen und noch offene V1-Schritte.</w:t>
            </w:r>
          </w:p>
        </w:tc>
      </w:tr>
      <w:tr>
        <w:trPr>
          <w:cantSplit/>
        </w:trPr>
        <w:tc>
          <w:tcPr>
            <w:tcW w:type="dxa" w:w="4986"/>
            <w:vAlign w:val="top"/>
          </w:tcPr>
          <w:p>
            <w:pPr>
              <w:spacing w:after="0"/>
            </w:pPr>
            <w:r>
              <w:rPr>
                <w:sz w:val="17"/>
              </w:rPr>
              <w:t>Projektchats</w:t>
            </w:r>
          </w:p>
        </w:tc>
        <w:tc>
          <w:tcPr>
            <w:tcW w:type="dxa" w:w="4986"/>
            <w:vAlign w:val="top"/>
          </w:tcPr>
          <w:p>
            <w:pPr>
              <w:spacing w:after="0"/>
            </w:pPr>
            <w:r>
              <w:rPr>
                <w:sz w:val="17"/>
              </w:rPr>
              <w:t>Spätere Entscheidungen, insbesondere Recovery ohne Backdoor, Zertifikatsverwaltung und klare Trennung von Strategie und Entwicklungsarbeit.</w:t>
            </w:r>
          </w:p>
        </w:tc>
      </w:tr>
      <w:tr>
        <w:trPr>
          <w:cantSplit/>
        </w:trPr>
        <w:tc>
          <w:tcPr>
            <w:tcW w:type="dxa" w:w="4986"/>
            <w:vAlign w:val="top"/>
          </w:tcPr>
          <w:p>
            <w:pPr>
              <w:spacing w:after="0"/>
            </w:pPr>
            <w:r>
              <w:rPr>
                <w:sz w:val="17"/>
              </w:rPr>
              <w:t>GitHub-Repository</w:t>
            </w:r>
          </w:p>
        </w:tc>
        <w:tc>
          <w:tcPr>
            <w:tcW w:type="dxa" w:w="4986"/>
            <w:vAlign w:val="top"/>
          </w:tcPr>
          <w:p>
            <w:pPr>
              <w:spacing w:after="0"/>
            </w:pPr>
            <w:r>
              <w:rPr>
                <w:sz w:val="17"/>
              </w:rPr>
              <w:t>Aktueller README-Stand, Projektstruktur, Statushinweise, Build-/Test-Kommandos und Sicherheitswarnung.</w:t>
            </w:r>
          </w:p>
        </w:tc>
      </w:tr>
    </w:tbl>
    <w:p/>
    <w:p>
      <w:pPr>
        <w:pStyle w:val="Heading1"/>
      </w:pPr>
      <w:r>
        <w:t>21. Schlussbemerkung</w:t>
      </w:r>
    </w:p>
    <w:p>
      <w:r>
        <w:t>Das überarbeitete Lastenheft hält die gereifte Produktidee fest: ein lokaler, sicherheitsbewusster Desktop Secret Manager für mehrere verschlüsselte Tresore, der technische Zugänge, klassische Logins und nun ausdrücklich auch HTTPS/TLS-Zertifikatsinformationen strukturiert verwalten kann.</w:t>
      </w:r>
    </w:p>
    <w:p>
      <w:r>
        <w:t>Die wichtigste fachliche Linie bleibt: V1 soll klein genug bleiben, um stabil, testbar und glaubwürdig zu werden, aber vollständig genug, um im Alltag als ernsthafter lokaler Secret Manager nutzbar zu sein. Erweiterungen wie Cloud, Team-Sharing, Browser-Autofill, mobile Clients oder PKI-Automation werden nicht vergessen, aber bewusst erst nach einem stabilen lokalen Fundament bewertet.</w:t>
      </w:r>
    </w:p>
    <w:sectPr w:rsidR="00FC693F" w:rsidRPr="0006063C" w:rsidSect="00034616">
      <w:footerReference w:type="default" r:id="rId9"/>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 xml:space="preserve">SASD-GmbH · Lastenheft · Desktop Secret Manager · </w:t>
    </w:r>
    <w:r>
      <w:t xml:space="preserve">Seite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0F3A5A"/>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ptos" w:hAnsi="Aptos" w:eastAsia="Aptos"/>
      <w:b/>
      <w:bCs/>
      <w:color w:val="1E7675"/>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ptos" w:hAnsi="Aptos" w:eastAsia="Aptos"/>
      <w:b/>
      <w:bCs/>
      <w:color w:val="0F3A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60"/>
      <w:contextualSpacing/>
    </w:pPr>
    <w:rPr>
      <w:rFonts w:asciiTheme="majorHAnsi" w:eastAsiaTheme="majorEastAsia" w:hAnsiTheme="majorHAnsi" w:cstheme="majorBidi" w:ascii="Aptos Display" w:hAnsi="Aptos Display" w:eastAsia="Aptos Display"/>
      <w:b/>
      <w:color w:val="0F3A5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