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6048000" cy="2352000"/>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6048000" cy="2352000"/>
                    </a:xfrm>
                    <a:prstGeom prst="rect"/>
                  </pic:spPr>
                </pic:pic>
              </a:graphicData>
            </a:graphic>
          </wp:inline>
        </w:drawing>
      </w:r>
    </w:p>
    <w:p>
      <w:pPr>
        <w:jc w:val="center"/>
      </w:pPr>
      <w:r>
        <w:rPr>
          <w:rFonts w:ascii="Calibri" w:hAnsi="Calibri" w:eastAsia="Calibri"/>
          <w:b/>
          <w:color w:val="183A57"/>
          <w:sz w:val="48"/>
        </w:rPr>
        <w:t>Lastenheft</w:t>
      </w:r>
    </w:p>
    <w:p>
      <w:pPr>
        <w:spacing w:after="40"/>
        <w:jc w:val="center"/>
      </w:pPr>
      <w:r>
        <w:rPr>
          <w:rFonts w:ascii="Calibri" w:hAnsi="Calibri" w:eastAsia="Calibri"/>
          <w:b/>
          <w:color w:val="2D6F73"/>
          <w:sz w:val="32"/>
        </w:rPr>
        <w:t>Desktop Secret Manager / Tresor-Anwendung</w:t>
      </w:r>
    </w:p>
    <w:p>
      <w:pPr>
        <w:spacing w:after="240"/>
        <w:jc w:val="center"/>
      </w:pPr>
      <w:r>
        <w:rPr>
          <w:rFonts w:ascii="Calibri" w:hAnsi="Calibri" w:eastAsia="Calibri"/>
          <w:color w:val="1D2A33"/>
          <w:sz w:val="23"/>
        </w:rPr>
        <w:t>mit mehreren unabhängigen Tresoren, strukturierten Zugangsdaten und zusätzlicher Password-Safe-Interop</w:t>
      </w:r>
    </w:p>
    <w:tbl>
      <w:tblPr>
        <w:tblW w:type="auto" w:w="0"/>
        <w:jc w:val="center"/>
        <w:tblLayout w:type="fixed"/>
        <w:tblLook w:firstColumn="1" w:firstRow="1" w:lastColumn="0" w:lastRow="0" w:noHBand="0" w:noVBand="1" w:val="04A0"/>
      </w:tblPr>
      <w:tblGrid>
        <w:gridCol w:w="4762"/>
        <w:gridCol w:w="4762"/>
      </w:tblGrid>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Dokumenttyp</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Lastenheft</w:t>
            </w:r>
          </w:p>
        </w:tc>
      </w:tr>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Projektstatus</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Arbeitsfassung als Grundlage für das spätere Pflichtenheft</w:t>
            </w:r>
          </w:p>
        </w:tc>
      </w:tr>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Version</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0.9</w:t>
            </w:r>
          </w:p>
        </w:tc>
      </w:tr>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Stand</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22.04.2026</w:t>
            </w:r>
          </w:p>
        </w:tc>
      </w:tr>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Auftraggeber / Fachsicht</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Nutzer / SASD-Kontext</w:t>
            </w:r>
          </w:p>
        </w:tc>
      </w:tr>
      <w:tr>
        <w:tc>
          <w:tcPr>
            <w:tcW w:type="dxa" w:w="2551"/>
            <w:shd w:fill="183A57"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b/>
                <w:color w:val="FFFFFF"/>
                <w:sz w:val="21"/>
              </w:rPr>
              <w:t>Zielbild</w:t>
            </w:r>
          </w:p>
        </w:tc>
        <w:tc>
          <w:tcPr>
            <w:tcW w:type="dxa" w:w="6520"/>
            <w:shd w:fill="EAF2F4" w:val="clear"/>
            <w:vAlign w:val="center"/>
            <w:tcBorders>
              <w:left w:val="single" w:sz="6" w:color="FFFFFF"/>
              <w:top w:val="single" w:sz="6" w:color="FFFFFF"/>
              <w:right w:val="single" w:sz="6" w:color="FFFFFF"/>
              <w:bottom w:val="single" w:sz="6" w:color="FFFFFF"/>
            </w:tcBorders>
          </w:tcPr>
          <w:p>
            <w:pPr>
              <w:spacing w:after="0"/>
            </w:pPr>
            <w:r>
              <w:rPr>
                <w:rFonts w:ascii="Calibri" w:hAnsi="Calibri" w:eastAsia="Calibri"/>
                <w:color w:val="1D2A33"/>
                <w:sz w:val="21"/>
              </w:rPr>
              <w:t>Lokale Windows-Desktop-Anwendung zur sicheren Verwaltung technischer und allgemeiner Secrets</w:t>
            </w:r>
          </w:p>
        </w:tc>
      </w:tr>
    </w:tbl>
    <w:p>
      <w:pPr>
        <w:spacing w:before="240"/>
        <w:jc w:val="center"/>
      </w:pPr>
      <w:r>
        <w:rPr>
          <w:rFonts w:ascii="Calibri" w:hAnsi="Calibri" w:eastAsia="Calibri"/>
          <w:color w:val="5B6A72"/>
          <w:sz w:val="20"/>
        </w:rPr>
        <w:t>Dieses Lastenheft fasst die im Gespräch definierten fachlichen Ziele, Grenzen und Erwartungen zusammen. Es beschreibt bewusst die Sicht des Auftraggebers und legt den verbindlichen Rahmen für das spätere Pflichtenheft fest.</w:t>
      </w:r>
    </w:p>
    <w:p>
      <w:r>
        <w:br w:type="page"/>
      </w:r>
    </w:p>
    <w:p>
      <w:pPr>
        <w:pStyle w:val="Heading1"/>
        <w:spacing w:before="280" w:after="120"/>
      </w:pPr>
      <w:r>
        <w:rPr>
          <w:rFonts w:ascii="Calibri" w:hAnsi="Calibri" w:eastAsia="Calibri"/>
          <w:color w:val="183A57"/>
        </w:rPr>
        <w:t>1. Management Summary</w:t>
      </w:r>
    </w:p>
    <w:p>
      <w:pPr>
        <w:spacing w:after="100" w:before="0"/>
      </w:pPr>
      <w:r>
        <w:rPr>
          <w:rFonts w:ascii="Calibri" w:hAnsi="Calibri" w:eastAsia="Calibri"/>
          <w:color w:val="1D2A33"/>
        </w:rPr>
        <w:t>Gesucht ist keine bloße Passwortliste, sondern eine lokal nutzbare Desktop-Anwendung, die mehrere unabhängige Tresore verwalten kann und neben klassischen Logins auch technische Zugangsdaten sauber strukturiert ablegt. Im Einsatzkontext des Nutzers stehen insbesondere IONOS-Hosting, Datenbankverbindungen, FTP/SFTP-Zugänge, Mail-Accounts, GitHub-Konten, API-Zugänge sowie weitere SASD-bezogene Secrets im Vordergrund. Die Anwendung soll deshalb Fachobjekte wie Gruppen, Tags, Eintragstypen und frei definierbare Zusatzfelder beherrschen, damit nicht nur das Passwort, sondern der gesamte betriebliche Kontext eines Zugangs sicher verwaltet werden kann.</w:t>
      </w:r>
    </w:p>
    <w:tbl>
      <w:tblPr>
        <w:tblW w:type="auto" w:w="0"/>
        <w:jc w:val="center"/>
        <w:tblLayout w:type="autofit"/>
        <w:tblLook w:firstColumn="1" w:firstRow="1" w:lastColumn="0" w:lastRow="0" w:noHBand="0" w:noVBand="1" w:val="04A0"/>
      </w:tblPr>
      <w:tblGrid>
        <w:gridCol w:w="9524"/>
      </w:tblGrid>
      <w:tr>
        <w:tc>
          <w:tcPr>
            <w:tcW w:type="dxa" w:w="9524"/>
            <w:shd w:fill="EAF2F4" w:val="clear"/>
            <w:tcBorders>
              <w:left w:val="single" w:sz="10" w:color="2D6F73"/>
              <w:top w:val="single" w:sz="10" w:color="2D6F73"/>
              <w:right w:val="single" w:sz="10" w:color="2D6F73"/>
              <w:bottom w:val="single" w:sz="10" w:color="2D6F73"/>
            </w:tcBorders>
          </w:tcPr>
          <w:p>
            <w:pPr>
              <w:spacing w:after="40"/>
            </w:pPr>
            <w:r>
              <w:rPr>
                <w:rFonts w:ascii="Calibri" w:hAnsi="Calibri" w:eastAsia="Calibri"/>
                <w:b/>
                <w:color w:val="183A57"/>
                <w:sz w:val="23"/>
              </w:rPr>
              <w:t>Leitidee</w:t>
            </w:r>
          </w:p>
          <w:p>
            <w:pPr>
              <w:spacing w:after="0"/>
            </w:pPr>
            <w:r>
              <w:rPr>
                <w:rFonts w:ascii="Calibri" w:hAnsi="Calibri" w:eastAsia="Calibri"/>
                <w:color w:val="1D2A33"/>
                <w:sz w:val="21"/>
              </w:rPr>
              <w:t>Ein Eintrag soll nicht nur ein Passwort speichern, sondern einen nachvollziehbaren, wiederauffindbaren und sicher nutzbaren Zugang mit seinem fachlichen und technischen Kontext beschreiben.</w:t>
            </w:r>
          </w:p>
        </w:tc>
      </w:tr>
    </w:tbl>
    <w:p>
      <w:pPr>
        <w:spacing w:after="40"/>
      </w:pPr>
    </w:p>
    <w:p>
      <w:pPr>
        <w:spacing w:after="100" w:before="0"/>
      </w:pPr>
      <w:r>
        <w:rPr>
          <w:rFonts w:ascii="Calibri" w:hAnsi="Calibri" w:eastAsia="Calibri"/>
          <w:color w:val="1D2A33"/>
        </w:rPr>
        <w:t>Das Produkt wird zunächst als lokale Windows-Desktop-Anwendung für Einzelnutzung definiert. Cloud-Synchronisation, Team-Sharing, Browser-Autofill und mobile Clients sind in der Grundversion ausdrücklich nicht Ziel des Projekts. Stattdessen stehen Datensicherheit, saubere Dateiverwaltung, gute Benutzbarkeit, klare Abgrenzung der Sicherheitsgrenzen und eine realistische Interoperabilität mit Password Safe im Vordergrund.</w:t>
      </w:r>
    </w:p>
    <w:p>
      <w:pPr>
        <w:spacing w:after="100" w:before="0"/>
      </w:pPr>
      <w:r>
        <w:rPr>
          <w:rFonts w:ascii="Calibri" w:hAnsi="Calibri" w:eastAsia="Calibri"/>
          <w:color w:val="1D2A33"/>
        </w:rPr>
        <w:t>Für die Interoperabilität mit Password Safe von Bruce Schneier wird eine additive Strategie festgelegt: Das interne Modell der neuen Anwendung bleibt führend, während .psafe3-Dateien schrittweise über eine dedizierte Interop-Schicht unterstützt werden. In V1 ist ein Import vorgesehen, in V1.x ein kontrollierter Export mit Kompatibilitätsbericht, und in V2.0 optional ein weitergehender Kompatibilitätsmodus.</w:t>
      </w:r>
    </w:p>
    <w:p>
      <w:pPr>
        <w:pStyle w:val="Heading1"/>
        <w:spacing w:before="280" w:after="120"/>
      </w:pPr>
      <w:r>
        <w:rPr>
          <w:rFonts w:ascii="Calibri" w:hAnsi="Calibri" w:eastAsia="Calibri"/>
          <w:color w:val="183A57"/>
        </w:rPr>
        <w:t>2. Kapitelübersicht</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Kapitel</w:t>
            </w:r>
          </w:p>
        </w:tc>
        <w:tc>
          <w:tcPr>
            <w:tcW w:type="dxa" w:w="6350"/>
            <w:shd w:fill="183A57" w:val="clear"/>
          </w:tcPr>
          <w:p>
            <w:pPr>
              <w:spacing w:after="0"/>
            </w:pPr>
            <w:r>
              <w:rPr>
                <w:rFonts w:ascii="Calibri" w:hAnsi="Calibri" w:eastAsia="Calibri"/>
                <w:b/>
                <w:color w:val="FFFFFF"/>
                <w:sz w:val="20"/>
              </w:rPr>
              <w:t>Inhalt</w:t>
            </w:r>
          </w:p>
        </w:tc>
      </w:tr>
      <w:tr>
        <w:tc>
          <w:tcPr>
            <w:tcW w:type="dxa" w:w="2835"/>
            <w:shd w:fill="EAF2F4" w:val="clear"/>
          </w:tcPr>
          <w:p>
            <w:pPr>
              <w:spacing w:after="0"/>
            </w:pPr>
            <w:r>
              <w:rPr>
                <w:rFonts w:ascii="Calibri" w:hAnsi="Calibri" w:eastAsia="Calibri"/>
                <w:color w:val="1D2A33"/>
                <w:sz w:val="19"/>
              </w:rPr>
              <w:t>Ausgangssituation und Ziele</w:t>
            </w:r>
          </w:p>
        </w:tc>
        <w:tc>
          <w:tcPr>
            <w:tcW w:type="dxa" w:w="6350"/>
            <w:shd w:fill="EAF2F4" w:val="clear"/>
          </w:tcPr>
          <w:p>
            <w:pPr>
              <w:spacing w:after="0"/>
            </w:pPr>
            <w:r>
              <w:rPr>
                <w:rFonts w:ascii="Calibri" w:hAnsi="Calibri" w:eastAsia="Calibri"/>
                <w:color w:val="1D2A33"/>
                <w:sz w:val="19"/>
              </w:rPr>
              <w:t>Beschreibt Problemstellung, Nutzen und fachliche Zielsetzung des Produkts.</w:t>
            </w:r>
          </w:p>
        </w:tc>
      </w:tr>
      <w:tr>
        <w:tc>
          <w:tcPr>
            <w:tcW w:type="dxa" w:w="2835"/>
            <w:shd w:fill="F8FBFC" w:val="clear"/>
          </w:tcPr>
          <w:p>
            <w:pPr>
              <w:spacing w:after="0"/>
            </w:pPr>
            <w:r>
              <w:rPr>
                <w:rFonts w:ascii="Calibri" w:hAnsi="Calibri" w:eastAsia="Calibri"/>
                <w:color w:val="1D2A33"/>
                <w:sz w:val="19"/>
              </w:rPr>
              <w:t>Produkt- und Einsatzkontext</w:t>
            </w:r>
          </w:p>
        </w:tc>
        <w:tc>
          <w:tcPr>
            <w:tcW w:type="dxa" w:w="6350"/>
            <w:shd w:fill="F8FBFC" w:val="clear"/>
          </w:tcPr>
          <w:p>
            <w:pPr>
              <w:spacing w:after="0"/>
            </w:pPr>
            <w:r>
              <w:rPr>
                <w:rFonts w:ascii="Calibri" w:hAnsi="Calibri" w:eastAsia="Calibri"/>
                <w:color w:val="1D2A33"/>
                <w:sz w:val="19"/>
              </w:rPr>
              <w:t>Definiert Benutzergruppen, Betriebsrahmen, mehrere Tresore und Nicht-Ziele.</w:t>
            </w:r>
          </w:p>
        </w:tc>
      </w:tr>
      <w:tr>
        <w:tc>
          <w:tcPr>
            <w:tcW w:type="dxa" w:w="2835"/>
            <w:shd w:fill="EAF2F4" w:val="clear"/>
          </w:tcPr>
          <w:p>
            <w:pPr>
              <w:spacing w:after="0"/>
            </w:pPr>
            <w:r>
              <w:rPr>
                <w:rFonts w:ascii="Calibri" w:hAnsi="Calibri" w:eastAsia="Calibri"/>
                <w:color w:val="1D2A33"/>
                <w:sz w:val="19"/>
              </w:rPr>
              <w:t>Fachliches Datenmodell</w:t>
            </w:r>
          </w:p>
        </w:tc>
        <w:tc>
          <w:tcPr>
            <w:tcW w:type="dxa" w:w="6350"/>
            <w:shd w:fill="EAF2F4" w:val="clear"/>
          </w:tcPr>
          <w:p>
            <w:pPr>
              <w:spacing w:after="0"/>
            </w:pPr>
            <w:r>
              <w:rPr>
                <w:rFonts w:ascii="Calibri" w:hAnsi="Calibri" w:eastAsia="Calibri"/>
                <w:color w:val="1D2A33"/>
                <w:sz w:val="19"/>
              </w:rPr>
              <w:t>Beschreibt Vaults, Einträge, Gruppen, Tags und Zusatzfelder aus fachlicher Sicht.</w:t>
            </w:r>
          </w:p>
        </w:tc>
      </w:tr>
      <w:tr>
        <w:tc>
          <w:tcPr>
            <w:tcW w:type="dxa" w:w="2835"/>
            <w:shd w:fill="F8FBFC" w:val="clear"/>
          </w:tcPr>
          <w:p>
            <w:pPr>
              <w:spacing w:after="0"/>
            </w:pPr>
            <w:r>
              <w:rPr>
                <w:rFonts w:ascii="Calibri" w:hAnsi="Calibri" w:eastAsia="Calibri"/>
                <w:color w:val="1D2A33"/>
                <w:sz w:val="19"/>
              </w:rPr>
              <w:t>Anforderungskatalog</w:t>
            </w:r>
          </w:p>
        </w:tc>
        <w:tc>
          <w:tcPr>
            <w:tcW w:type="dxa" w:w="6350"/>
            <w:shd w:fill="F8FBFC" w:val="clear"/>
          </w:tcPr>
          <w:p>
            <w:pPr>
              <w:spacing w:after="0"/>
            </w:pPr>
            <w:r>
              <w:rPr>
                <w:rFonts w:ascii="Calibri" w:hAnsi="Calibri" w:eastAsia="Calibri"/>
                <w:color w:val="1D2A33"/>
                <w:sz w:val="19"/>
              </w:rPr>
              <w:t>Dokumentiert die funktionalen und nichtfunktionalen Anforderungen mit Priorität und Release-Ziel.</w:t>
            </w:r>
          </w:p>
        </w:tc>
      </w:tr>
      <w:tr>
        <w:tc>
          <w:tcPr>
            <w:tcW w:type="dxa" w:w="2835"/>
            <w:shd w:fill="EAF2F4" w:val="clear"/>
          </w:tcPr>
          <w:p>
            <w:pPr>
              <w:spacing w:after="0"/>
            </w:pPr>
            <w:r>
              <w:rPr>
                <w:rFonts w:ascii="Calibri" w:hAnsi="Calibri" w:eastAsia="Calibri"/>
                <w:color w:val="1D2A33"/>
                <w:sz w:val="19"/>
              </w:rPr>
              <w:t>Sicherheit und Dateiverwaltung</w:t>
            </w:r>
          </w:p>
        </w:tc>
        <w:tc>
          <w:tcPr>
            <w:tcW w:type="dxa" w:w="6350"/>
            <w:shd w:fill="EAF2F4" w:val="clear"/>
          </w:tcPr>
          <w:p>
            <w:pPr>
              <w:spacing w:after="0"/>
            </w:pPr>
            <w:r>
              <w:rPr>
                <w:rFonts w:ascii="Calibri" w:hAnsi="Calibri" w:eastAsia="Calibri"/>
                <w:color w:val="1D2A33"/>
                <w:sz w:val="19"/>
              </w:rPr>
              <w:t>Legt Schutzgrenzen, Dateilogik, Backups und Mehrtresor-Nutzung fest.</w:t>
            </w:r>
          </w:p>
        </w:tc>
      </w:tr>
      <w:tr>
        <w:tc>
          <w:tcPr>
            <w:tcW w:type="dxa" w:w="2835"/>
            <w:shd w:fill="F8FBFC" w:val="clear"/>
          </w:tcPr>
          <w:p>
            <w:pPr>
              <w:spacing w:after="0"/>
            </w:pPr>
            <w:r>
              <w:rPr>
                <w:rFonts w:ascii="Calibri" w:hAnsi="Calibri" w:eastAsia="Calibri"/>
                <w:color w:val="1D2A33"/>
                <w:sz w:val="19"/>
              </w:rPr>
              <w:t>Interop und Roadmap</w:t>
            </w:r>
          </w:p>
        </w:tc>
        <w:tc>
          <w:tcPr>
            <w:tcW w:type="dxa" w:w="6350"/>
            <w:shd w:fill="F8FBFC" w:val="clear"/>
          </w:tcPr>
          <w:p>
            <w:pPr>
              <w:spacing w:after="0"/>
            </w:pPr>
            <w:r>
              <w:rPr>
                <w:rFonts w:ascii="Calibri" w:hAnsi="Calibri" w:eastAsia="Calibri"/>
                <w:color w:val="1D2A33"/>
                <w:sz w:val="19"/>
              </w:rPr>
              <w:t>Definiert den realistischen Umgang mit Password Safe sowie V1, V1.x und V2.0.</w:t>
            </w:r>
          </w:p>
        </w:tc>
      </w:tr>
    </w:tbl>
    <w:p>
      <w:pPr>
        <w:spacing w:after="40"/>
      </w:pPr>
    </w:p>
    <w:p>
      <w:pPr>
        <w:pStyle w:val="Heading1"/>
        <w:spacing w:before="280" w:after="120"/>
      </w:pPr>
      <w:r>
        <w:rPr>
          <w:rFonts w:ascii="Calibri" w:hAnsi="Calibri" w:eastAsia="Calibri"/>
          <w:color w:val="183A57"/>
        </w:rPr>
        <w:t>3. Ausgangssituation und Problemstellung</w:t>
      </w:r>
    </w:p>
    <w:p>
      <w:pPr>
        <w:spacing w:after="100" w:before="0"/>
      </w:pPr>
      <w:r>
        <w:rPr>
          <w:rFonts w:ascii="Calibri" w:hAnsi="Calibri" w:eastAsia="Calibri"/>
          <w:color w:val="1D2A33"/>
        </w:rPr>
        <w:t>Der Nutzer verwaltet Zugänge nicht nur für klassische Webseiten, sondern in erheblichem Umfang auch für technische und betriebliche Systeme. Dazu gehören Hosting-Backends, Webspace-Zugänge, Datenbankverbindungen, Mail-Konten, Server-Zugänge, GitHub-Konten, API-Zugänge, Lizenzen und sonstige vertrauliche Informationen. In solchen Fällen reicht ein einfaches Schema aus Titel, Benutzername und Passwort nicht aus, weil für die praktische Nutzung zusätzlich Hostnamen, Ports, Datenbanknamen, Protokolle, Rollen, Hinweise zur Nutzung, Verantwortlichkeiten und weitere technische Angaben relevant sind.</w:t>
      </w:r>
    </w:p>
    <w:p>
      <w:pPr>
        <w:spacing w:after="100" w:before="0"/>
      </w:pPr>
      <w:r>
        <w:rPr>
          <w:rFonts w:ascii="Calibri" w:hAnsi="Calibri" w:eastAsia="Calibri"/>
          <w:color w:val="1D2A33"/>
        </w:rPr>
        <w:t>Zugleich besteht der Wunsch, Informationen logisch zu bündeln. Ein Beispiel ist die gemeinsame organisatorische Einordnung mehrerer IONOS-bezogener Zugänge unter der fachlichen Gruppe 'SASD GmbH', ergänzt durch Tags wie 'IONOS', 'Produktion', 'Mail', 'GitHub' oder 'Deployment'. Die zukünftige Anwendung muss deshalb sowohl eine feste Ordnungsstruktur als auch flexible Querbezüge unterstützen.</w:t>
      </w:r>
    </w:p>
    <w:p>
      <w:pPr>
        <w:spacing w:after="100" w:before="0"/>
      </w:pPr>
      <w:r>
        <w:rPr>
          <w:rFonts w:ascii="Calibri" w:hAnsi="Calibri" w:eastAsia="Calibri"/>
          <w:color w:val="1D2A33"/>
        </w:rPr>
        <w:t>Eine weitere Anforderung ist die kontrollierte zusätzliche Unterstützung des Password-Safe-Formats. Die neue Anwendung soll den bestehenden Nutzungsgewohnheiten nicht im Weg stehen, sondern einen geordneten Übergang ermöglichen, ohne das eigene Datenmodell auf die Grenzen des Fremdformats zu reduzieren.</w:t>
      </w:r>
    </w:p>
    <w:p>
      <w:pPr>
        <w:pStyle w:val="Heading1"/>
        <w:spacing w:before="280" w:after="120"/>
      </w:pPr>
      <w:r>
        <w:rPr>
          <w:rFonts w:ascii="Calibri" w:hAnsi="Calibri" w:eastAsia="Calibri"/>
          <w:color w:val="183A57"/>
        </w:rPr>
        <w:t>4. Zielbestimmung</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Zielklasse</w:t>
            </w:r>
          </w:p>
        </w:tc>
        <w:tc>
          <w:tcPr>
            <w:tcW w:type="dxa" w:w="6350"/>
            <w:shd w:fill="183A57" w:val="clear"/>
          </w:tcPr>
          <w:p>
            <w:pPr>
              <w:spacing w:after="0"/>
            </w:pPr>
            <w:r>
              <w:rPr>
                <w:rFonts w:ascii="Calibri" w:hAnsi="Calibri" w:eastAsia="Calibri"/>
                <w:b/>
                <w:color w:val="FFFFFF"/>
                <w:sz w:val="20"/>
              </w:rPr>
              <w:t>Beschreibung</w:t>
            </w:r>
          </w:p>
        </w:tc>
      </w:tr>
      <w:tr>
        <w:tc>
          <w:tcPr>
            <w:tcW w:type="dxa" w:w="2835"/>
            <w:shd w:fill="EAF2F4" w:val="clear"/>
          </w:tcPr>
          <w:p>
            <w:pPr>
              <w:spacing w:after="0"/>
            </w:pPr>
            <w:r>
              <w:rPr>
                <w:rFonts w:ascii="Calibri" w:hAnsi="Calibri" w:eastAsia="Calibri"/>
                <w:color w:val="1D2A33"/>
                <w:sz w:val="19"/>
              </w:rPr>
              <w:t>Muss-Ziele</w:t>
            </w:r>
          </w:p>
        </w:tc>
        <w:tc>
          <w:tcPr>
            <w:tcW w:type="dxa" w:w="6350"/>
            <w:shd w:fill="EAF2F4" w:val="clear"/>
          </w:tcPr>
          <w:p>
            <w:pPr>
              <w:spacing w:after="0"/>
            </w:pPr>
            <w:r>
              <w:rPr>
                <w:rFonts w:ascii="Calibri" w:hAnsi="Calibri" w:eastAsia="Calibri"/>
                <w:color w:val="1D2A33"/>
                <w:sz w:val="19"/>
              </w:rPr>
              <w:t>Sichere lokale Verwaltung mehrerer unabhängiger Tresore; strukturierte Speicherung technischer und allgemeiner Secrets; gute Auffindbarkeit durch Gruppen, Tags und Suche; saubere Sicherheits- und Dateilogik; erste Password-Safe-Interop.</w:t>
            </w:r>
          </w:p>
        </w:tc>
      </w:tr>
      <w:tr>
        <w:tc>
          <w:tcPr>
            <w:tcW w:type="dxa" w:w="2835"/>
            <w:shd w:fill="F8FBFC" w:val="clear"/>
          </w:tcPr>
          <w:p>
            <w:pPr>
              <w:spacing w:after="0"/>
            </w:pPr>
            <w:r>
              <w:rPr>
                <w:rFonts w:ascii="Calibri" w:hAnsi="Calibri" w:eastAsia="Calibri"/>
                <w:color w:val="1D2A33"/>
                <w:sz w:val="19"/>
              </w:rPr>
              <w:t>Soll-Ziele</w:t>
            </w:r>
          </w:p>
        </w:tc>
        <w:tc>
          <w:tcPr>
            <w:tcW w:type="dxa" w:w="6350"/>
            <w:shd w:fill="F8FBFC" w:val="clear"/>
          </w:tcPr>
          <w:p>
            <w:pPr>
              <w:spacing w:after="0"/>
            </w:pPr>
            <w:r>
              <w:rPr>
                <w:rFonts w:ascii="Calibri" w:hAnsi="Calibri" w:eastAsia="Calibri"/>
                <w:color w:val="1D2A33"/>
                <w:sz w:val="19"/>
              </w:rPr>
              <w:t>Hohe Verständlichkeit der Bedienung; gute Erweiterbarkeit; saubere Grundlage für ein späteres Pflichtenheft und für kontrollierte Ausbaustufen V1.x und V2.0.</w:t>
            </w:r>
          </w:p>
        </w:tc>
      </w:tr>
      <w:tr>
        <w:tc>
          <w:tcPr>
            <w:tcW w:type="dxa" w:w="2835"/>
            <w:shd w:fill="EAF2F4" w:val="clear"/>
          </w:tcPr>
          <w:p>
            <w:pPr>
              <w:spacing w:after="0"/>
            </w:pPr>
            <w:r>
              <w:rPr>
                <w:rFonts w:ascii="Calibri" w:hAnsi="Calibri" w:eastAsia="Calibri"/>
                <w:color w:val="1D2A33"/>
                <w:sz w:val="19"/>
              </w:rPr>
              <w:t>Nicht-Ziele</w:t>
            </w:r>
          </w:p>
        </w:tc>
        <w:tc>
          <w:tcPr>
            <w:tcW w:type="dxa" w:w="6350"/>
            <w:shd w:fill="EAF2F4" w:val="clear"/>
          </w:tcPr>
          <w:p>
            <w:pPr>
              <w:spacing w:after="0"/>
            </w:pPr>
            <w:r>
              <w:rPr>
                <w:rFonts w:ascii="Calibri" w:hAnsi="Calibri" w:eastAsia="Calibri"/>
                <w:color w:val="1D2A33"/>
                <w:sz w:val="19"/>
              </w:rPr>
              <w:t>Kein Cloud-Sync, kein Multi-User-Team-Vault, kein Browser-Autofill, keine mobile App, keine versteckte Recovery-Hintertür und kein Zwang, das interne Modell vollständig an .psafe3 auszurichten.</w:t>
            </w:r>
          </w:p>
        </w:tc>
      </w:tr>
    </w:tbl>
    <w:p>
      <w:pPr>
        <w:spacing w:after="40"/>
      </w:pPr>
    </w:p>
    <w:p>
      <w:pPr>
        <w:pStyle w:val="Heading1"/>
        <w:spacing w:before="280" w:after="120"/>
      </w:pPr>
      <w:r>
        <w:rPr>
          <w:rFonts w:ascii="Calibri" w:hAnsi="Calibri" w:eastAsia="Calibri"/>
          <w:color w:val="183A57"/>
        </w:rPr>
        <w:t>5. Produkt- und Einsatzkontext</w:t>
      </w:r>
    </w:p>
    <w:p>
      <w:pPr>
        <w:spacing w:after="100" w:before="0"/>
      </w:pPr>
      <w:r>
        <w:rPr>
          <w:rFonts w:ascii="Calibri" w:hAnsi="Calibri" w:eastAsia="Calibri"/>
          <w:color w:val="1D2A33"/>
        </w:rPr>
        <w:t>Die Anwendung ist als Windows-Desktop-Produkt für die lokale Nutzung vorgesehen. Sie soll offline-first funktionieren und ihre Kernfunktion nicht von einem Cloud-Dienst abhängig machen. Der primäre Einsatz erfolgt im persönlichen und unternehmensnahen Umfeld des Nutzers. Typische Tresore sind etwa 'SASD intern', 'SASD IONOS', 'Privat', 'Kunde A' oder ein Archiv-Tresor für ältere Datenstände.</w:t>
      </w:r>
    </w:p>
    <w:tbl>
      <w:tblPr>
        <w:tblW w:type="auto" w:w="0"/>
        <w:jc w:val="center"/>
        <w:tblLayout w:type="autofit"/>
        <w:tblLook w:firstColumn="1" w:firstRow="1" w:lastColumn="0" w:lastRow="0" w:noHBand="0" w:noVBand="1" w:val="04A0"/>
      </w:tblPr>
      <w:tblGrid>
        <w:gridCol w:w="9524"/>
      </w:tblGrid>
      <w:tr>
        <w:tc>
          <w:tcPr>
            <w:tcW w:type="dxa" w:w="9524"/>
            <w:shd w:fill="EAF2F4" w:val="clear"/>
            <w:tcBorders>
              <w:left w:val="single" w:sz="10" w:color="2D6F73"/>
              <w:top w:val="single" w:sz="10" w:color="2D6F73"/>
              <w:right w:val="single" w:sz="10" w:color="2D6F73"/>
              <w:bottom w:val="single" w:sz="10" w:color="2D6F73"/>
            </w:tcBorders>
          </w:tcPr>
          <w:p>
            <w:pPr>
              <w:spacing w:after="40"/>
            </w:pPr>
            <w:r>
              <w:rPr>
                <w:rFonts w:ascii="Calibri" w:hAnsi="Calibri" w:eastAsia="Calibri"/>
                <w:b/>
                <w:color w:val="183A57"/>
                <w:sz w:val="23"/>
              </w:rPr>
              <w:t>Mehrere Tresore als Grundprinzip</w:t>
            </w:r>
          </w:p>
          <w:p>
            <w:pPr>
              <w:spacing w:after="0"/>
            </w:pPr>
            <w:r>
              <w:rPr>
                <w:rFonts w:ascii="Calibri" w:hAnsi="Calibri" w:eastAsia="Calibri"/>
                <w:color w:val="1D2A33"/>
                <w:sz w:val="21"/>
              </w:rPr>
              <w:t>Ein Tresor entspricht einer eigenständigen Datei mit eigener Schutzdomäne. Mehrere Tresore dürfen nebeneinander existieren, separat gesichert und unabhängig voneinander geöffnet werden.</w:t>
            </w:r>
          </w:p>
        </w:tc>
      </w:tr>
    </w:tbl>
    <w:p>
      <w:pPr>
        <w:spacing w:after="40"/>
      </w:pP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Aspekt</w:t>
            </w:r>
          </w:p>
        </w:tc>
        <w:tc>
          <w:tcPr>
            <w:tcW w:type="dxa" w:w="6350"/>
            <w:shd w:fill="183A57" w:val="clear"/>
          </w:tcPr>
          <w:p>
            <w:pPr>
              <w:spacing w:after="0"/>
            </w:pPr>
            <w:r>
              <w:rPr>
                <w:rFonts w:ascii="Calibri" w:hAnsi="Calibri" w:eastAsia="Calibri"/>
                <w:b/>
                <w:color w:val="FFFFFF"/>
                <w:sz w:val="20"/>
              </w:rPr>
              <w:t>Festlegung</w:t>
            </w:r>
          </w:p>
        </w:tc>
      </w:tr>
      <w:tr>
        <w:tc>
          <w:tcPr>
            <w:tcW w:type="dxa" w:w="2835"/>
            <w:shd w:fill="EAF2F4" w:val="clear"/>
          </w:tcPr>
          <w:p>
            <w:pPr>
              <w:spacing w:after="0"/>
            </w:pPr>
            <w:r>
              <w:rPr>
                <w:rFonts w:ascii="Calibri" w:hAnsi="Calibri" w:eastAsia="Calibri"/>
                <w:color w:val="1D2A33"/>
                <w:sz w:val="19"/>
              </w:rPr>
              <w:t>Primärer Benutzer</w:t>
            </w:r>
          </w:p>
        </w:tc>
        <w:tc>
          <w:tcPr>
            <w:tcW w:type="dxa" w:w="6350"/>
            <w:shd w:fill="EAF2F4" w:val="clear"/>
          </w:tcPr>
          <w:p>
            <w:pPr>
              <w:spacing w:after="0"/>
            </w:pPr>
            <w:r>
              <w:rPr>
                <w:rFonts w:ascii="Calibri" w:hAnsi="Calibri" w:eastAsia="Calibri"/>
                <w:color w:val="1D2A33"/>
                <w:sz w:val="19"/>
              </w:rPr>
              <w:t>Der Nutzer selbst als Hauptanwender und fachlicher Auftraggeber.</w:t>
            </w:r>
          </w:p>
        </w:tc>
      </w:tr>
      <w:tr>
        <w:tc>
          <w:tcPr>
            <w:tcW w:type="dxa" w:w="2835"/>
            <w:shd w:fill="F8FBFC" w:val="clear"/>
          </w:tcPr>
          <w:p>
            <w:pPr>
              <w:spacing w:after="0"/>
            </w:pPr>
            <w:r>
              <w:rPr>
                <w:rFonts w:ascii="Calibri" w:hAnsi="Calibri" w:eastAsia="Calibri"/>
                <w:color w:val="1D2A33"/>
                <w:sz w:val="19"/>
              </w:rPr>
              <w:t>Sekundärer Kontext</w:t>
            </w:r>
          </w:p>
        </w:tc>
        <w:tc>
          <w:tcPr>
            <w:tcW w:type="dxa" w:w="6350"/>
            <w:shd w:fill="F8FBFC" w:val="clear"/>
          </w:tcPr>
          <w:p>
            <w:pPr>
              <w:spacing w:after="0"/>
            </w:pPr>
            <w:r>
              <w:rPr>
                <w:rFonts w:ascii="Calibri" w:hAnsi="Calibri" w:eastAsia="Calibri"/>
                <w:color w:val="1D2A33"/>
                <w:sz w:val="19"/>
              </w:rPr>
              <w:t>SASD-bezogene Konten, Systeme, Kundenprojekte und technische Plattformen.</w:t>
            </w:r>
          </w:p>
        </w:tc>
      </w:tr>
      <w:tr>
        <w:tc>
          <w:tcPr>
            <w:tcW w:type="dxa" w:w="2835"/>
            <w:shd w:fill="EAF2F4" w:val="clear"/>
          </w:tcPr>
          <w:p>
            <w:pPr>
              <w:spacing w:after="0"/>
            </w:pPr>
            <w:r>
              <w:rPr>
                <w:rFonts w:ascii="Calibri" w:hAnsi="Calibri" w:eastAsia="Calibri"/>
                <w:color w:val="1D2A33"/>
                <w:sz w:val="19"/>
              </w:rPr>
              <w:t>Betriebsmodell</w:t>
            </w:r>
          </w:p>
        </w:tc>
        <w:tc>
          <w:tcPr>
            <w:tcW w:type="dxa" w:w="6350"/>
            <w:shd w:fill="EAF2F4" w:val="clear"/>
          </w:tcPr>
          <w:p>
            <w:pPr>
              <w:spacing w:after="0"/>
            </w:pPr>
            <w:r>
              <w:rPr>
                <w:rFonts w:ascii="Calibri" w:hAnsi="Calibri" w:eastAsia="Calibri"/>
                <w:color w:val="1D2A33"/>
                <w:sz w:val="19"/>
              </w:rPr>
              <w:t>Einzelplatz / Single User in V1; spätere Erweiterungen bleiben offen, sind aber nicht Teil des Erstumfangs.</w:t>
            </w:r>
          </w:p>
        </w:tc>
      </w:tr>
      <w:tr>
        <w:tc>
          <w:tcPr>
            <w:tcW w:type="dxa" w:w="2835"/>
            <w:shd w:fill="F8FBFC" w:val="clear"/>
          </w:tcPr>
          <w:p>
            <w:pPr>
              <w:spacing w:after="0"/>
            </w:pPr>
            <w:r>
              <w:rPr>
                <w:rFonts w:ascii="Calibri" w:hAnsi="Calibri" w:eastAsia="Calibri"/>
                <w:color w:val="1D2A33"/>
                <w:sz w:val="19"/>
              </w:rPr>
              <w:t>Datenarten</w:t>
            </w:r>
          </w:p>
        </w:tc>
        <w:tc>
          <w:tcPr>
            <w:tcW w:type="dxa" w:w="6350"/>
            <w:shd w:fill="F8FBFC" w:val="clear"/>
          </w:tcPr>
          <w:p>
            <w:pPr>
              <w:spacing w:after="0"/>
            </w:pPr>
            <w:r>
              <w:rPr>
                <w:rFonts w:ascii="Calibri" w:hAnsi="Calibri" w:eastAsia="Calibri"/>
                <w:color w:val="1D2A33"/>
                <w:sz w:val="19"/>
              </w:rPr>
              <w:t>Passwörter, Tokens, Zugangsdaten, technische Parameter, Hinweise, organisatorische Zuordnungen und Metadaten.</w:t>
            </w:r>
          </w:p>
        </w:tc>
      </w:tr>
    </w:tbl>
    <w:p>
      <w:pPr>
        <w:spacing w:after="40"/>
      </w:pPr>
    </w:p>
    <w:p>
      <w:pPr>
        <w:pStyle w:val="Heading1"/>
        <w:spacing w:before="280" w:after="120"/>
      </w:pPr>
      <w:r>
        <w:rPr>
          <w:rFonts w:ascii="Calibri" w:hAnsi="Calibri" w:eastAsia="Calibri"/>
          <w:color w:val="183A57"/>
        </w:rPr>
        <w:t>6. Fachliches Datenmodell</w:t>
      </w:r>
    </w:p>
    <w:p>
      <w:pPr>
        <w:spacing w:after="100" w:before="0"/>
      </w:pPr>
      <w:r>
        <w:rPr>
          <w:rFonts w:ascii="Calibri" w:hAnsi="Calibri" w:eastAsia="Calibri"/>
          <w:color w:val="1D2A33"/>
        </w:rPr>
        <w:t>Das Lastenheft legt ein fachlich sauberes, flexibles Modell fest. Es soll weder auf ein reines Passwortschema reduziert werden noch durch fremde Interoperabilitätsanforderungen unnötig verengt werden. Ein Eintrag beschreibt grundsätzlich einen primären Zugang oder ein primäres Secret. Zusammengehörigkeit wird über Gruppen, Tags und spätere Referenzmechanismen hergestellt.</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Objekt</w:t>
            </w:r>
          </w:p>
        </w:tc>
        <w:tc>
          <w:tcPr>
            <w:tcW w:type="dxa" w:w="6350"/>
            <w:shd w:fill="183A57" w:val="clear"/>
          </w:tcPr>
          <w:p>
            <w:pPr>
              <w:spacing w:after="0"/>
            </w:pPr>
            <w:r>
              <w:rPr>
                <w:rFonts w:ascii="Calibri" w:hAnsi="Calibri" w:eastAsia="Calibri"/>
                <w:b/>
                <w:color w:val="FFFFFF"/>
                <w:sz w:val="20"/>
              </w:rPr>
              <w:t>Fachliche Bedeutung</w:t>
            </w:r>
          </w:p>
        </w:tc>
      </w:tr>
      <w:tr>
        <w:tc>
          <w:tcPr>
            <w:tcW w:type="dxa" w:w="2835"/>
            <w:shd w:fill="EAF2F4" w:val="clear"/>
          </w:tcPr>
          <w:p>
            <w:pPr>
              <w:spacing w:after="0"/>
            </w:pPr>
            <w:r>
              <w:rPr>
                <w:rFonts w:ascii="Calibri" w:hAnsi="Calibri" w:eastAsia="Calibri"/>
                <w:color w:val="1D2A33"/>
                <w:sz w:val="19"/>
              </w:rPr>
              <w:t>Vault / Tresor</w:t>
            </w:r>
          </w:p>
        </w:tc>
        <w:tc>
          <w:tcPr>
            <w:tcW w:type="dxa" w:w="6350"/>
            <w:shd w:fill="EAF2F4" w:val="clear"/>
          </w:tcPr>
          <w:p>
            <w:pPr>
              <w:spacing w:after="0"/>
            </w:pPr>
            <w:r>
              <w:rPr>
                <w:rFonts w:ascii="Calibri" w:hAnsi="Calibri" w:eastAsia="Calibri"/>
                <w:color w:val="1D2A33"/>
                <w:sz w:val="19"/>
              </w:rPr>
              <w:t>Eigenständige, verschlüsselte Sammlung von Einträgen, Gruppen, Tags und Vault-bezogenen Einstellungen.</w:t>
            </w:r>
          </w:p>
        </w:tc>
      </w:tr>
      <w:tr>
        <w:tc>
          <w:tcPr>
            <w:tcW w:type="dxa" w:w="2835"/>
            <w:shd w:fill="F8FBFC" w:val="clear"/>
          </w:tcPr>
          <w:p>
            <w:pPr>
              <w:spacing w:after="0"/>
            </w:pPr>
            <w:r>
              <w:rPr>
                <w:rFonts w:ascii="Calibri" w:hAnsi="Calibri" w:eastAsia="Calibri"/>
                <w:color w:val="1D2A33"/>
                <w:sz w:val="19"/>
              </w:rPr>
              <w:t>Eintrag</w:t>
            </w:r>
          </w:p>
        </w:tc>
        <w:tc>
          <w:tcPr>
            <w:tcW w:type="dxa" w:w="6350"/>
            <w:shd w:fill="F8FBFC" w:val="clear"/>
          </w:tcPr>
          <w:p>
            <w:pPr>
              <w:spacing w:after="0"/>
            </w:pPr>
            <w:r>
              <w:rPr>
                <w:rFonts w:ascii="Calibri" w:hAnsi="Calibri" w:eastAsia="Calibri"/>
                <w:color w:val="1D2A33"/>
                <w:sz w:val="19"/>
              </w:rPr>
              <w:t>Fachlicher Datensatz für einen Zugang oder ein Secret; z. B. Login, Datenbank, Mail, API, Server oder Lizenz.</w:t>
            </w:r>
          </w:p>
        </w:tc>
      </w:tr>
      <w:tr>
        <w:tc>
          <w:tcPr>
            <w:tcW w:type="dxa" w:w="2835"/>
            <w:shd w:fill="EAF2F4" w:val="clear"/>
          </w:tcPr>
          <w:p>
            <w:pPr>
              <w:spacing w:after="0"/>
            </w:pPr>
            <w:r>
              <w:rPr>
                <w:rFonts w:ascii="Calibri" w:hAnsi="Calibri" w:eastAsia="Calibri"/>
                <w:color w:val="1D2A33"/>
                <w:sz w:val="19"/>
              </w:rPr>
              <w:t>Gruppe</w:t>
            </w:r>
          </w:p>
        </w:tc>
        <w:tc>
          <w:tcPr>
            <w:tcW w:type="dxa" w:w="6350"/>
            <w:shd w:fill="EAF2F4" w:val="clear"/>
          </w:tcPr>
          <w:p>
            <w:pPr>
              <w:spacing w:after="0"/>
            </w:pPr>
            <w:r>
              <w:rPr>
                <w:rFonts w:ascii="Calibri" w:hAnsi="Calibri" w:eastAsia="Calibri"/>
                <w:color w:val="1D2A33"/>
                <w:sz w:val="19"/>
              </w:rPr>
              <w:t>Hierarchische Ordnungsstruktur; jeder Eintrag gehört genau einer Hauptgruppe an.</w:t>
            </w:r>
          </w:p>
        </w:tc>
      </w:tr>
      <w:tr>
        <w:tc>
          <w:tcPr>
            <w:tcW w:type="dxa" w:w="2835"/>
            <w:shd w:fill="F8FBFC" w:val="clear"/>
          </w:tcPr>
          <w:p>
            <w:pPr>
              <w:spacing w:after="0"/>
            </w:pPr>
            <w:r>
              <w:rPr>
                <w:rFonts w:ascii="Calibri" w:hAnsi="Calibri" w:eastAsia="Calibri"/>
                <w:color w:val="1D2A33"/>
                <w:sz w:val="19"/>
              </w:rPr>
              <w:t>Tag</w:t>
            </w:r>
          </w:p>
        </w:tc>
        <w:tc>
          <w:tcPr>
            <w:tcW w:type="dxa" w:w="6350"/>
            <w:shd w:fill="F8FBFC" w:val="clear"/>
          </w:tcPr>
          <w:p>
            <w:pPr>
              <w:spacing w:after="0"/>
            </w:pPr>
            <w:r>
              <w:rPr>
                <w:rFonts w:ascii="Calibri" w:hAnsi="Calibri" w:eastAsia="Calibri"/>
                <w:color w:val="1D2A33"/>
                <w:sz w:val="19"/>
              </w:rPr>
              <w:t>Freies Etikett zur Querverbindung; ein Eintrag kann beliebig viele Tags besitzen.</w:t>
            </w:r>
          </w:p>
        </w:tc>
      </w:tr>
      <w:tr>
        <w:tc>
          <w:tcPr>
            <w:tcW w:type="dxa" w:w="2835"/>
            <w:shd w:fill="EAF2F4" w:val="clear"/>
          </w:tcPr>
          <w:p>
            <w:pPr>
              <w:spacing w:after="0"/>
            </w:pPr>
            <w:r>
              <w:rPr>
                <w:rFonts w:ascii="Calibri" w:hAnsi="Calibri" w:eastAsia="Calibri"/>
                <w:color w:val="1D2A33"/>
                <w:sz w:val="19"/>
              </w:rPr>
              <w:t>Zusatzfeld</w:t>
            </w:r>
          </w:p>
        </w:tc>
        <w:tc>
          <w:tcPr>
            <w:tcW w:type="dxa" w:w="6350"/>
            <w:shd w:fill="EAF2F4" w:val="clear"/>
          </w:tcPr>
          <w:p>
            <w:pPr>
              <w:spacing w:after="0"/>
            </w:pPr>
            <w:r>
              <w:rPr>
                <w:rFonts w:ascii="Calibri" w:hAnsi="Calibri" w:eastAsia="Calibri"/>
                <w:color w:val="1D2A33"/>
                <w:sz w:val="19"/>
              </w:rPr>
              <w:t>Frei definierbares Feld zur Aufnahme zusätzlicher Kontextinformationen, geheim oder nicht geheim.</w:t>
            </w:r>
          </w:p>
        </w:tc>
      </w:tr>
      <w:tr>
        <w:tc>
          <w:tcPr>
            <w:tcW w:type="dxa" w:w="2835"/>
            <w:shd w:fill="F8FBFC" w:val="clear"/>
          </w:tcPr>
          <w:p>
            <w:pPr>
              <w:spacing w:after="0"/>
            </w:pPr>
            <w:r>
              <w:rPr>
                <w:rFonts w:ascii="Calibri" w:hAnsi="Calibri" w:eastAsia="Calibri"/>
                <w:color w:val="1D2A33"/>
                <w:sz w:val="19"/>
              </w:rPr>
              <w:t>Eintragstyp</w:t>
            </w:r>
          </w:p>
        </w:tc>
        <w:tc>
          <w:tcPr>
            <w:tcW w:type="dxa" w:w="6350"/>
            <w:shd w:fill="F8FBFC" w:val="clear"/>
          </w:tcPr>
          <w:p>
            <w:pPr>
              <w:spacing w:after="0"/>
            </w:pPr>
            <w:r>
              <w:rPr>
                <w:rFonts w:ascii="Calibri" w:hAnsi="Calibri" w:eastAsia="Calibri"/>
                <w:color w:val="1D2A33"/>
                <w:sz w:val="19"/>
              </w:rPr>
              <w:t>Fachliche Einordnung eines Eintrags, z. B. Login, Database, Mail, FTP/SFTP, API, Server, License, Secure Note, Custom.</w:t>
            </w:r>
          </w:p>
        </w:tc>
      </w:tr>
    </w:tbl>
    <w:p>
      <w:pPr>
        <w:spacing w:after="40"/>
      </w:pPr>
    </w:p>
    <w:p>
      <w:pPr>
        <w:spacing w:after="100" w:before="0"/>
      </w:pPr>
      <w:r>
        <w:rPr>
          <w:rFonts w:ascii="Calibri" w:hAnsi="Calibri" w:eastAsia="Calibri"/>
          <w:color w:val="1D2A33"/>
        </w:rPr>
        <w:t>Aus fachlicher Sicht muss das Modell insbesondere auch technische Zusatzinformationen aufnehmen können. Beispiele sind Host, Port, Datenbankname, Schema, Protokoll, Serverrolle, API-Endpunkt, IMAP-/SMTP-Server, Webspace-Pfad, Lizenzablauf, 2FA-Hinweise, Verantwortlichkeiten, Vertragsbezüge oder betriebliche Anmerkungen. Die Anwendung darf solche Informationen nicht nur als Freitext verstecken, sondern soll sie strukturiert und wiederauffindbar machen.</w:t>
      </w:r>
    </w:p>
    <w:p>
      <w:r>
        <w:br w:type="page"/>
      </w:r>
    </w:p>
    <w:p>
      <w:pPr>
        <w:pStyle w:val="Heading1"/>
        <w:spacing w:before="280" w:after="120"/>
      </w:pPr>
      <w:r>
        <w:rPr>
          <w:rFonts w:ascii="Calibri" w:hAnsi="Calibri" w:eastAsia="Calibri"/>
          <w:color w:val="183A57"/>
        </w:rPr>
        <w:t>7. Funktionale Anforderungen</w:t>
      </w:r>
    </w:p>
    <w:p>
      <w:pPr>
        <w:spacing w:after="100" w:before="0"/>
      </w:pPr>
      <w:r>
        <w:rPr>
          <w:rFonts w:ascii="Calibri" w:hAnsi="Calibri" w:eastAsia="Calibri"/>
          <w:color w:val="1D2A33"/>
        </w:rPr>
        <w:t>Die nachfolgenden Anforderungen sind aus fachlicher Sicht formuliert. Die Release-Spalte legt fest, ob der Anspruch bereits in V1, im Härtegrad V1.x oder in V2.0 erfüllt werden soll. 'Muss' bedeutet verbindlich für das jeweils genannte Release, 'Soll' bezeichnet einen starken fachlichen Wunsch, 'Kann' eine bewusst nachgelagerte Erweiterungsoption.</w:t>
      </w:r>
    </w:p>
    <w:p>
      <w:pPr>
        <w:pStyle w:val="Heading2"/>
        <w:spacing w:before="200" w:after="120"/>
      </w:pPr>
      <w:r>
        <w:rPr>
          <w:rFonts w:ascii="Calibri" w:hAnsi="Calibri" w:eastAsia="Calibri"/>
          <w:color w:val="183A57"/>
        </w:rPr>
        <w:t>7.1 Tresorverwaltung</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F-001</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mehrere voneinander unabhängige Tresore als separate Dateien anlegen, öffnen, schließen und verwalten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F-002</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Jeder Tresor muss mit einem eigenen Master-Passwort geschützt werden können.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F-003</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eine lokale Liste zuletzt verwendeter Tresore ohne Speicherung von Geheimnissen führen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F-004</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Pro Anwendungsfenster soll in V1 genau ein aktiver schreibbarer Tresor bearbeitet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F-005</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Bei Konflikten oder parallelem Zugriff soll ein Tresor schreibgeschützt geöffnet werden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F-006</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Speichervorgänge müssen so ausgeführt werden, dass keine teilüberschriebenen Vault-Dateien entstehen.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F-007</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soll den schnellen Wechsel zwischen mehreren Tresoren komfortabel unterstützen.</w:t>
            </w:r>
          </w:p>
        </w:tc>
      </w:tr>
    </w:tbl>
    <w:p>
      <w:pPr>
        <w:spacing w:after="40"/>
      </w:pPr>
    </w:p>
    <w:p>
      <w:pPr>
        <w:pStyle w:val="Heading2"/>
        <w:spacing w:before="200" w:after="120"/>
      </w:pPr>
      <w:r>
        <w:rPr>
          <w:rFonts w:ascii="Calibri" w:hAnsi="Calibri" w:eastAsia="Calibri"/>
          <w:color w:val="183A57"/>
        </w:rPr>
        <w:t>7.2 Eintragsverwaltung und Zusatzinformationen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F-010</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unterschiedliche Eintragstypen unterstützen, mindestens Login, Database, Mail, FTP/SFTP, API, Server, License, Secure Note und Custom.</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F-011</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Eintrag muss mindestens Titel, Hauptidentität bzw. Benutzername, Secret/Passwort und Notizen aufnehmen können.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F-012</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Eintrag soll genau einen primären Zugang oder ein primäres Secret repräsentieren.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F-013</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Zusätzliche Felder wie Host, Port, Datenbankname, Protokoll, URL, Mail-Server oder Rollenhinweise müssen strukturiert speicherbar sein.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F-014</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Zusatzfelder müssen sowohl geheime als auch nicht geheime Werte aufnehmen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F-015</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soll Typvorlagen für häufige technische Einträge wie Datenbank, Mail, FTP oder API bereitstellen.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F-016</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Einträge sollen optionale Felder wie Ablaufdatum, letzte Rotation oder Kritikalität aufnehmen können.</w:t>
            </w:r>
          </w:p>
        </w:tc>
      </w:tr>
    </w:tbl>
    <w:p>
      <w:pPr>
        <w:spacing w:after="40"/>
      </w:pPr>
    </w:p>
    <w:p>
      <w:pPr>
        <w:pStyle w:val="Heading2"/>
        <w:spacing w:before="200" w:after="120"/>
      </w:pPr>
      <w:r>
        <w:rPr>
          <w:rFonts w:ascii="Calibri" w:hAnsi="Calibri" w:eastAsia="Calibri"/>
          <w:color w:val="183A57"/>
        </w:rPr>
        <w:t>7.3 Ordnung, Gruppierung, Tags, Suche und Filter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F-020</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hierarchische Gruppen zur festen Ablage von Einträgen unterstützen.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F-021</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Jeder Eintrag muss genau einer Hauptgruppe zugeordnet werden können.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F-022</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Jeder Eintrag muss beliebig viele Tags erhalten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F-023</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Suche muss mindestens Titel, Gruppen, Tags, Notizen und Zusatzfelder durchsuchen.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F-024</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Filter nach Eintragstyp, Gruppe und Tag bereitstellen.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F-025</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Tag-Vorschläge und eine konsistente Normalisierung der Tag-Schreibweise sollen unterstützt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F-026</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Kann</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V2.0</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Über mehrere gleichzeitig geöffnete Tresore hinweg soll eine globale Suche möglich sein.</w:t>
            </w:r>
          </w:p>
        </w:tc>
      </w:tr>
    </w:tbl>
    <w:p>
      <w:pPr>
        <w:spacing w:after="40"/>
      </w:pPr>
    </w:p>
    <w:p>
      <w:pPr>
        <w:pStyle w:val="Heading2"/>
        <w:spacing w:before="200" w:after="120"/>
      </w:pPr>
      <w:r>
        <w:rPr>
          <w:rFonts w:ascii="Calibri" w:hAnsi="Calibri" w:eastAsia="Calibri"/>
          <w:color w:val="183A57"/>
        </w:rPr>
        <w:t>7.4 Sicherheitsbezogene Bedienfunktionen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F-030</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einen Passwortgenerator mit konfigurierbaren Regeln bereitstellen.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F-031</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Geheime Werte müssen standardmäßig verborgen angezeigt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F-032</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Geheime Werte müssen gezielt in die Zwischenablage kopiert werden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F-033</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Zwischenablage muss nach einer konfigurierbaren Zeit automatisch bereinigt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F-034</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einen automatischen Sperrmechanismus bei Inaktivität unterstützen.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F-035</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optionales Sperren beim Minimieren soll möglich sein.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F-036</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Das Master-Passwort eines Tresors muss geändert werden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F-037</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darf Geheimnisse nicht in Klartext protokollieren.</w:t>
            </w:r>
          </w:p>
        </w:tc>
      </w:tr>
    </w:tbl>
    <w:p>
      <w:pPr>
        <w:spacing w:after="40"/>
      </w:pPr>
    </w:p>
    <w:p>
      <w:r>
        <w:br w:type="page"/>
      </w:r>
    </w:p>
    <w:p>
      <w:pPr>
        <w:pStyle w:val="Heading2"/>
        <w:spacing w:before="200" w:after="120"/>
      </w:pPr>
      <w:r>
        <w:rPr>
          <w:rFonts w:ascii="Calibri" w:hAnsi="Calibri" w:eastAsia="Calibri"/>
          <w:color w:val="183A57"/>
        </w:rPr>
        <w:t>7.5 Dateiverwaltung, Backups und Wiederherstellung</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F-040</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Beim Speichern sollen verschlüsselte Sicherungskopien bzw. Backup-Stände erzeugt werden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F-041</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beschädigte oder unvollständige Vault-Dateien erkennen und verständlich melden.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F-042</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Lokale Anwendungseinstellungen und geheime Vault-Daten müssen getrennt behandelt werden.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F-043</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In lokalen Anwendungseinstellungen dürfen keine Master-Passwörter oder Secrets abgelegt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F-044</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Eine konfigurierbare Backup-Rotation soll unterstützt werden.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F-045</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Tresor soll in einem Read-only-Modus geöffnet werden können.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F-046</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Kann</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V2.0</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Zwischen Tresoren sollen Compare- und Merge-Funktionen bereitgestellt werden.</w:t>
            </w:r>
          </w:p>
        </w:tc>
      </w:tr>
    </w:tbl>
    <w:p>
      <w:pPr>
        <w:spacing w:after="40"/>
      </w:pPr>
    </w:p>
    <w:p>
      <w:pPr>
        <w:pStyle w:val="Heading2"/>
        <w:spacing w:before="200" w:after="120"/>
      </w:pPr>
      <w:r>
        <w:rPr>
          <w:rFonts w:ascii="Calibri" w:hAnsi="Calibri" w:eastAsia="Calibri"/>
          <w:color w:val="183A57"/>
        </w:rPr>
        <w:t>7.6 Interoperabilität mit Password Safe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F-050</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Password-Safe-Dateien (.psafe3) einlesen und in einen internen Tresor importieren können.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F-051</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Import muss bekannte Standardinformationen nachvollziehbar auf das interne Datenmodell abbilden.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F-052</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Nicht direkt abbildbare Informationen dürfen beim Import nicht stillschweigend verloren gehen; sie müssen kenntlich gemacht werden.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F-053</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Export nach .psafe3 soll für den sauber abbildbaren Teil des Datenmodells bereitgestellt werden.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F-054</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Beim Export soll ein Kompatibilitätsbericht ausweisen, welche Inhalte exakt, transformiert oder nicht exportiert wurden.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F-055</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Kann</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V2.0</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Ein optionaler Kompatibilitätsmodus soll den Umgang mit .psafe3-Dateien enger an Password Safe anlehnen.</w:t>
            </w:r>
          </w:p>
        </w:tc>
      </w:tr>
    </w:tbl>
    <w:p>
      <w:pPr>
        <w:spacing w:after="40"/>
      </w:pPr>
    </w:p>
    <w:p>
      <w:pPr>
        <w:pStyle w:val="Heading1"/>
        <w:spacing w:before="280" w:after="120"/>
      </w:pPr>
      <w:r>
        <w:rPr>
          <w:rFonts w:ascii="Calibri" w:hAnsi="Calibri" w:eastAsia="Calibri"/>
          <w:color w:val="183A57"/>
        </w:rPr>
        <w:t>8. Nichtfunktionale Anforderungen und Qualitätsziele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47"/>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ID</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Priorität</w:t>
            </w:r>
          </w:p>
        </w:tc>
        <w:tc>
          <w:tcPr>
            <w:tcW w:type="dxa" w:w="1531"/>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Release</w:t>
            </w:r>
          </w:p>
        </w:tc>
        <w:tc>
          <w:tcPr>
            <w:tcW w:type="dxa" w:w="5046"/>
            <w:shd w:fill="183A57" w:val="clear"/>
            <w:vAlign w:val="center"/>
            <w:tcBorders>
              <w:left w:val="single" w:sz="8" w:color="FFFFFF"/>
              <w:top w:val="single" w:sz="8" w:color="FFFFFF"/>
              <w:right w:val="single" w:sz="8" w:color="FFFFFF"/>
              <w:bottom w:val="single" w:sz="8" w:color="FFFFFF"/>
            </w:tcBorders>
          </w:tcPr>
          <w:p>
            <w:pPr>
              <w:spacing w:after="0"/>
            </w:pPr>
            <w:r>
              <w:rPr>
                <w:rFonts w:ascii="Calibri" w:hAnsi="Calibri" w:eastAsia="Calibri"/>
                <w:b/>
                <w:color w:val="FFFFFF"/>
                <w:sz w:val="20"/>
              </w:rPr>
              <w:t>Anforderung</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NF-001</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muss lokal auf Windows-Desktop-Systemen nutzbar sein und in ihrem Kern offline-first arbeiten.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NF-002</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Oberfläche muss technisch orientierte Informationen verständlich und ohne unnötige Umwege erfassbar machen.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NF-003</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Für den Tresorschutz sind anerkannte, moderne kryptografische Verfahren zu verwenden; improvisierte Eigenverfahren sind unzulässig.</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NF-004</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Integrität der Vault-Dateien hat Vorrang vor maximaler Schreibgeschwindigkeit.</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NF-005</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soll auch bei größeren Tresoren flüssig benutzbar bleiben.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NF-006</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Lösung soll so strukturiert sein, dass ein späteres Pflichtenheft, Tests und Erweiterungen sauber darauf aufbauen können.</w:t>
            </w:r>
          </w:p>
        </w:tc>
      </w:tr>
      <w:tr>
        <w:tc>
          <w:tcPr>
            <w:tcW w:type="dxa" w:w="1247"/>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NF-007</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Muss</w:t>
            </w:r>
          </w:p>
        </w:tc>
        <w:tc>
          <w:tcPr>
            <w:tcW w:type="dxa" w:w="1531"/>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w:t>
            </w:r>
          </w:p>
        </w:tc>
        <w:tc>
          <w:tcPr>
            <w:tcW w:type="dxa" w:w="5046"/>
            <w:shd w:fill="EAF2F4"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Die Anwendung darf für ihre Kernfunktion keine dauerhafte Hersteller-, Cloud- oder Browser-Abhängigkeit erzwingen.</w:t>
            </w:r>
          </w:p>
        </w:tc>
      </w:tr>
      <w:tr>
        <w:tc>
          <w:tcPr>
            <w:tcW w:type="dxa" w:w="1247"/>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color w:val="1D2A33"/>
                <w:sz w:val="18"/>
              </w:rPr>
              <w:t>NF-008</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Soll</w:t>
            </w:r>
          </w:p>
        </w:tc>
        <w:tc>
          <w:tcPr>
            <w:tcW w:type="dxa" w:w="1531"/>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b w:val="0"/>
                <w:color w:val="1D2A33"/>
                <w:sz w:val="18"/>
              </w:rPr>
              <w:t>V1.x</w:t>
            </w:r>
          </w:p>
        </w:tc>
        <w:tc>
          <w:tcPr>
            <w:tcW w:type="dxa" w:w="5046"/>
            <w:shd w:fill="F8FBFC" w:val="clear"/>
            <w:tcBorders>
              <w:left w:val="single" w:sz="5" w:color="FFFFFF"/>
              <w:top w:val="single" w:sz="5" w:color="FFFFFF"/>
              <w:right w:val="single" w:sz="5" w:color="FFFFFF"/>
              <w:bottom w:val="single" w:sz="5" w:color="FFFFFF"/>
            </w:tcBorders>
            <w:vAlign w:val="center"/>
          </w:tcPr>
          <w:p>
            <w:pPr>
              <w:spacing w:after="0" w:before="0"/>
            </w:pPr>
            <w:r>
              <w:rPr>
                <w:rFonts w:ascii="Calibri" w:hAnsi="Calibri" w:eastAsia="Calibri"/>
                <w:color w:val="1D2A33"/>
                <w:sz w:val="18"/>
              </w:rPr>
              <w:t>Fehlersituationen sollen klar, sachlich und ohne Preisgabe geheimer Inhalte kommuniziert werden.</w:t>
            </w:r>
          </w:p>
        </w:tc>
      </w:tr>
    </w:tbl>
    <w:p>
      <w:pPr>
        <w:spacing w:after="40"/>
      </w:pPr>
    </w:p>
    <w:p>
      <w:pPr>
        <w:pStyle w:val="Heading1"/>
        <w:spacing w:before="280" w:after="120"/>
      </w:pPr>
      <w:r>
        <w:rPr>
          <w:rFonts w:ascii="Calibri" w:hAnsi="Calibri" w:eastAsia="Calibri"/>
          <w:color w:val="183A57"/>
        </w:rPr>
        <w:t>9. Sicherheitsgrenzen und Schutzmodell</w:t>
      </w:r>
    </w:p>
    <w:p>
      <w:pPr>
        <w:spacing w:after="100" w:before="0"/>
      </w:pPr>
      <w:r>
        <w:rPr>
          <w:rFonts w:ascii="Calibri" w:hAnsi="Calibri" w:eastAsia="Calibri"/>
          <w:color w:val="1D2A33"/>
        </w:rPr>
        <w:t>Das Produkt ist als sicherheitskritische Einzelplatz-Anwendung zu betrachten. Das Lastenheft verlangt einen wirksamen Schutz gegen den Verlust oder Diebstahl einer Tresordatei, gegen neugierige Mitbenutzer am System sowie gegen versehentliche Offenlegung durch unvorsichtige Bedienung. Das Produkt soll jedoch keine falschen Versprechen machen: Bei bereits kompromittierten Systemen, aktiver Malware, Keyloggern oder Arbeitsspeicherangriffen kann die Anwendung keine absolute Sicherheit garantieren.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Sicht</w:t>
            </w:r>
          </w:p>
        </w:tc>
        <w:tc>
          <w:tcPr>
            <w:tcW w:type="dxa" w:w="6350"/>
            <w:shd w:fill="183A57" w:val="clear"/>
          </w:tcPr>
          <w:p>
            <w:pPr>
              <w:spacing w:after="0"/>
            </w:pPr>
            <w:r>
              <w:rPr>
                <w:rFonts w:ascii="Calibri" w:hAnsi="Calibri" w:eastAsia="Calibri"/>
                <w:b/>
                <w:color w:val="FFFFFF"/>
                <w:sz w:val="20"/>
              </w:rPr>
              <w:t>Festlegung</w:t>
            </w:r>
          </w:p>
        </w:tc>
      </w:tr>
      <w:tr>
        <w:tc>
          <w:tcPr>
            <w:tcW w:type="dxa" w:w="2835"/>
            <w:shd w:fill="EAF2F4" w:val="clear"/>
          </w:tcPr>
          <w:p>
            <w:pPr>
              <w:spacing w:after="0"/>
            </w:pPr>
            <w:r>
              <w:rPr>
                <w:rFonts w:ascii="Calibri" w:hAnsi="Calibri" w:eastAsia="Calibri"/>
                <w:color w:val="1D2A33"/>
                <w:sz w:val="19"/>
              </w:rPr>
              <w:t>Das Produkt soll schützen gegen …</w:t>
            </w:r>
          </w:p>
        </w:tc>
        <w:tc>
          <w:tcPr>
            <w:tcW w:type="dxa" w:w="6350"/>
            <w:shd w:fill="EAF2F4" w:val="clear"/>
          </w:tcPr>
          <w:p>
            <w:pPr>
              <w:spacing w:after="0"/>
            </w:pPr>
            <w:r>
              <w:rPr>
                <w:rFonts w:ascii="Calibri" w:hAnsi="Calibri" w:eastAsia="Calibri"/>
                <w:color w:val="1D2A33"/>
                <w:sz w:val="19"/>
              </w:rPr>
              <w:t>Unbefugtes Lesen einer gestohlenen Vault-Datei; versehentliche Klartextoffenlegung; unsaubere Speicherung; einfache Bedienfehler; fehlende Ordnung bei technischen Zugangsdaten.</w:t>
            </w:r>
          </w:p>
        </w:tc>
      </w:tr>
      <w:tr>
        <w:tc>
          <w:tcPr>
            <w:tcW w:type="dxa" w:w="2835"/>
            <w:shd w:fill="F8FBFC" w:val="clear"/>
          </w:tcPr>
          <w:p>
            <w:pPr>
              <w:spacing w:after="0"/>
            </w:pPr>
            <w:r>
              <w:rPr>
                <w:rFonts w:ascii="Calibri" w:hAnsi="Calibri" w:eastAsia="Calibri"/>
                <w:color w:val="1D2A33"/>
                <w:sz w:val="19"/>
              </w:rPr>
              <w:t>Das Produkt schützt nicht zuverlässig gegen …</w:t>
            </w:r>
          </w:p>
        </w:tc>
        <w:tc>
          <w:tcPr>
            <w:tcW w:type="dxa" w:w="6350"/>
            <w:shd w:fill="F8FBFC" w:val="clear"/>
          </w:tcPr>
          <w:p>
            <w:pPr>
              <w:spacing w:after="0"/>
            </w:pPr>
            <w:r>
              <w:rPr>
                <w:rFonts w:ascii="Calibri" w:hAnsi="Calibri" w:eastAsia="Calibri"/>
                <w:color w:val="1D2A33"/>
                <w:sz w:val="19"/>
              </w:rPr>
              <w:t>Bereits kompromittierte Betriebssysteme, Keylogger, Malware, privilegierte Speicherangriffe, bösartige Bildschirm- oder Zwischenablageüberwachung.</w:t>
            </w:r>
          </w:p>
        </w:tc>
      </w:tr>
      <w:tr>
        <w:tc>
          <w:tcPr>
            <w:tcW w:type="dxa" w:w="2835"/>
            <w:shd w:fill="EAF2F4" w:val="clear"/>
          </w:tcPr>
          <w:p>
            <w:pPr>
              <w:spacing w:after="0"/>
            </w:pPr>
            <w:r>
              <w:rPr>
                <w:rFonts w:ascii="Calibri" w:hAnsi="Calibri" w:eastAsia="Calibri"/>
                <w:color w:val="1D2A33"/>
                <w:sz w:val="19"/>
              </w:rPr>
              <w:t>Verbindliche Leitplanken</w:t>
            </w:r>
          </w:p>
        </w:tc>
        <w:tc>
          <w:tcPr>
            <w:tcW w:type="dxa" w:w="6350"/>
            <w:shd w:fill="EAF2F4" w:val="clear"/>
          </w:tcPr>
          <w:p>
            <w:pPr>
              <w:spacing w:after="0"/>
            </w:pPr>
            <w:r>
              <w:rPr>
                <w:rFonts w:ascii="Calibri" w:hAnsi="Calibri" w:eastAsia="Calibri"/>
                <w:color w:val="1D2A33"/>
                <w:sz w:val="19"/>
              </w:rPr>
              <w:t>Keine Recovery-Hintertür, keine Speicherung von Master-Passwörtern, keine Klartext-Tempdateien, keine Secret-Protokollierung, automatische Sperrung und Clipboard-Bereinigung.</w:t>
            </w:r>
          </w:p>
        </w:tc>
      </w:tr>
    </w:tbl>
    <w:p>
      <w:pPr>
        <w:spacing w:after="40"/>
      </w:pPr>
    </w:p>
    <w:tbl>
      <w:tblPr>
        <w:tblW w:type="auto" w:w="0"/>
        <w:jc w:val="center"/>
        <w:tblLayout w:type="autofit"/>
        <w:tblLook w:firstColumn="1" w:firstRow="1" w:lastColumn="0" w:lastRow="0" w:noHBand="0" w:noVBand="1" w:val="04A0"/>
      </w:tblPr>
      <w:tblGrid>
        <w:gridCol w:w="9524"/>
      </w:tblGrid>
      <w:tr>
        <w:tc>
          <w:tcPr>
            <w:tcW w:type="dxa" w:w="9524"/>
            <w:shd w:fill="EAF2F4" w:val="clear"/>
            <w:tcBorders>
              <w:left w:val="single" w:sz="10" w:color="2D6F73"/>
              <w:top w:val="single" w:sz="10" w:color="2D6F73"/>
              <w:right w:val="single" w:sz="10" w:color="2D6F73"/>
              <w:bottom w:val="single" w:sz="10" w:color="2D6F73"/>
            </w:tcBorders>
          </w:tcPr>
          <w:p>
            <w:pPr>
              <w:spacing w:after="40"/>
            </w:pPr>
            <w:r>
              <w:rPr>
                <w:rFonts w:ascii="Calibri" w:hAnsi="Calibri" w:eastAsia="Calibri"/>
                <w:b/>
                <w:color w:val="183A57"/>
                <w:sz w:val="23"/>
              </w:rPr>
              <w:t>Wichtige fachliche Grenze</w:t>
            </w:r>
          </w:p>
          <w:p>
            <w:pPr>
              <w:spacing w:after="0"/>
            </w:pPr>
            <w:r>
              <w:rPr>
                <w:rFonts w:ascii="Calibri" w:hAnsi="Calibri" w:eastAsia="Calibri"/>
                <w:color w:val="1D2A33"/>
                <w:sz w:val="21"/>
              </w:rPr>
              <w:t>Das Produkt darf den Benutzer nicht in dem Glauben lassen, dass ein bereits kompromittiertes Windows-System durch die Anwendung nachträglich 'sicher' werde. Die Anwendung schützt primär die ruhenden Daten und die alltägliche Bedienung, nicht einen bereits verlorenen vertrauenswürdigen Ausführungsbereich.</w:t>
            </w:r>
          </w:p>
        </w:tc>
      </w:tr>
    </w:tbl>
    <w:p>
      <w:pPr>
        <w:spacing w:after="40"/>
      </w:pPr>
    </w:p>
    <w:p>
      <w:pPr>
        <w:pStyle w:val="Heading1"/>
        <w:spacing w:before="280" w:after="120"/>
      </w:pPr>
      <w:r>
        <w:rPr>
          <w:rFonts w:ascii="Calibri" w:hAnsi="Calibri" w:eastAsia="Calibri"/>
          <w:color w:val="183A57"/>
        </w:rPr>
        <w:t>10. Dateiverwaltung für mehrere unabhängige Tresore</w:t>
      </w:r>
    </w:p>
    <w:p>
      <w:pPr>
        <w:spacing w:after="100" w:before="0"/>
      </w:pPr>
      <w:r>
        <w:rPr>
          <w:rFonts w:ascii="Calibri" w:hAnsi="Calibri" w:eastAsia="Calibri"/>
          <w:color w:val="1D2A33"/>
        </w:rPr>
        <w:t>Mehrere Tresore sind ausdrücklich Teil des Zielbilds. Fachlich bedeutet dies, dass SASD-interne, private, kundenbezogene oder archivierte Informationen bewusst getrennt in unterschiedlichen Dateien geführt werden können. Diese Trennung ist nicht nur organisatorisch sinnvoll, sondern reduziert auch das Risiko einer ungewollten Vermischung von Zugängen und erleichtert Backups, Transport, Archivierung und gezielte Freigaben.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Thema</w:t>
            </w:r>
          </w:p>
        </w:tc>
        <w:tc>
          <w:tcPr>
            <w:tcW w:type="dxa" w:w="6350"/>
            <w:shd w:fill="183A57" w:val="clear"/>
          </w:tcPr>
          <w:p>
            <w:pPr>
              <w:spacing w:after="0"/>
            </w:pPr>
            <w:r>
              <w:rPr>
                <w:rFonts w:ascii="Calibri" w:hAnsi="Calibri" w:eastAsia="Calibri"/>
                <w:b/>
                <w:color w:val="FFFFFF"/>
                <w:sz w:val="20"/>
              </w:rPr>
              <w:t>Festlegung</w:t>
            </w:r>
          </w:p>
        </w:tc>
      </w:tr>
      <w:tr>
        <w:tc>
          <w:tcPr>
            <w:tcW w:type="dxa" w:w="2835"/>
            <w:shd w:fill="EAF2F4" w:val="clear"/>
          </w:tcPr>
          <w:p>
            <w:pPr>
              <w:spacing w:after="0"/>
            </w:pPr>
            <w:r>
              <w:rPr>
                <w:rFonts w:ascii="Calibri" w:hAnsi="Calibri" w:eastAsia="Calibri"/>
                <w:color w:val="1D2A33"/>
                <w:sz w:val="19"/>
              </w:rPr>
              <w:t>Grundregel</w:t>
            </w:r>
          </w:p>
        </w:tc>
        <w:tc>
          <w:tcPr>
            <w:tcW w:type="dxa" w:w="6350"/>
            <w:shd w:fill="EAF2F4" w:val="clear"/>
          </w:tcPr>
          <w:p>
            <w:pPr>
              <w:spacing w:after="0"/>
            </w:pPr>
            <w:r>
              <w:rPr>
                <w:rFonts w:ascii="Calibri" w:hAnsi="Calibri" w:eastAsia="Calibri"/>
                <w:color w:val="1D2A33"/>
                <w:sz w:val="19"/>
              </w:rPr>
              <w:t>Ein Tresor entspricht genau einer eigenständigen Datei.</w:t>
            </w:r>
          </w:p>
        </w:tc>
      </w:tr>
      <w:tr>
        <w:tc>
          <w:tcPr>
            <w:tcW w:type="dxa" w:w="2835"/>
            <w:shd w:fill="F8FBFC" w:val="clear"/>
          </w:tcPr>
          <w:p>
            <w:pPr>
              <w:spacing w:after="0"/>
            </w:pPr>
            <w:r>
              <w:rPr>
                <w:rFonts w:ascii="Calibri" w:hAnsi="Calibri" w:eastAsia="Calibri"/>
                <w:color w:val="1D2A33"/>
                <w:sz w:val="19"/>
              </w:rPr>
              <w:t>Trennung</w:t>
            </w:r>
          </w:p>
        </w:tc>
        <w:tc>
          <w:tcPr>
            <w:tcW w:type="dxa" w:w="6350"/>
            <w:shd w:fill="F8FBFC" w:val="clear"/>
          </w:tcPr>
          <w:p>
            <w:pPr>
              <w:spacing w:after="0"/>
            </w:pPr>
            <w:r>
              <w:rPr>
                <w:rFonts w:ascii="Calibri" w:hAnsi="Calibri" w:eastAsia="Calibri"/>
                <w:color w:val="1D2A33"/>
                <w:sz w:val="19"/>
              </w:rPr>
              <w:t>Tresore dürfen unabhängig voneinander gesichert, verschoben und mit unterschiedlichen Master-Passwörtern geschützt werden.</w:t>
            </w:r>
          </w:p>
        </w:tc>
      </w:tr>
      <w:tr>
        <w:tc>
          <w:tcPr>
            <w:tcW w:type="dxa" w:w="2835"/>
            <w:shd w:fill="EAF2F4" w:val="clear"/>
          </w:tcPr>
          <w:p>
            <w:pPr>
              <w:spacing w:after="0"/>
            </w:pPr>
            <w:r>
              <w:rPr>
                <w:rFonts w:ascii="Calibri" w:hAnsi="Calibri" w:eastAsia="Calibri"/>
                <w:color w:val="1D2A33"/>
                <w:sz w:val="19"/>
              </w:rPr>
              <w:t>Lokale Metadaten</w:t>
            </w:r>
          </w:p>
        </w:tc>
        <w:tc>
          <w:tcPr>
            <w:tcW w:type="dxa" w:w="6350"/>
            <w:shd w:fill="EAF2F4" w:val="clear"/>
          </w:tcPr>
          <w:p>
            <w:pPr>
              <w:spacing w:after="0"/>
            </w:pPr>
            <w:r>
              <w:rPr>
                <w:rFonts w:ascii="Calibri" w:hAnsi="Calibri" w:eastAsia="Calibri"/>
                <w:color w:val="1D2A33"/>
                <w:sz w:val="19"/>
              </w:rPr>
              <w:t>Die Anwendung darf nur nicht geheime Komfortinformationen außerhalb des Tresors speichern, etwa zuletzt geöffnete Dateien.</w:t>
            </w:r>
          </w:p>
        </w:tc>
      </w:tr>
      <w:tr>
        <w:tc>
          <w:tcPr>
            <w:tcW w:type="dxa" w:w="2835"/>
            <w:shd w:fill="F8FBFC" w:val="clear"/>
          </w:tcPr>
          <w:p>
            <w:pPr>
              <w:spacing w:after="0"/>
            </w:pPr>
            <w:r>
              <w:rPr>
                <w:rFonts w:ascii="Calibri" w:hAnsi="Calibri" w:eastAsia="Calibri"/>
                <w:color w:val="1D2A33"/>
                <w:sz w:val="19"/>
              </w:rPr>
              <w:t>Parallelität</w:t>
            </w:r>
          </w:p>
        </w:tc>
        <w:tc>
          <w:tcPr>
            <w:tcW w:type="dxa" w:w="6350"/>
            <w:shd w:fill="F8FBFC" w:val="clear"/>
          </w:tcPr>
          <w:p>
            <w:pPr>
              <w:spacing w:after="0"/>
            </w:pPr>
            <w:r>
              <w:rPr>
                <w:rFonts w:ascii="Calibri" w:hAnsi="Calibri" w:eastAsia="Calibri"/>
                <w:color w:val="1D2A33"/>
                <w:sz w:val="19"/>
              </w:rPr>
              <w:t>In V1 steht Stabilität über maximalem Komfort; derselbe Tresor soll nicht unkontrolliert mehrfach schreibend geöffnet werden.</w:t>
            </w:r>
          </w:p>
        </w:tc>
      </w:tr>
      <w:tr>
        <w:tc>
          <w:tcPr>
            <w:tcW w:type="dxa" w:w="2835"/>
            <w:shd w:fill="EAF2F4" w:val="clear"/>
          </w:tcPr>
          <w:p>
            <w:pPr>
              <w:spacing w:after="0"/>
            </w:pPr>
            <w:r>
              <w:rPr>
                <w:rFonts w:ascii="Calibri" w:hAnsi="Calibri" w:eastAsia="Calibri"/>
                <w:color w:val="1D2A33"/>
                <w:sz w:val="19"/>
              </w:rPr>
              <w:t>Backups</w:t>
            </w:r>
          </w:p>
        </w:tc>
        <w:tc>
          <w:tcPr>
            <w:tcW w:type="dxa" w:w="6350"/>
            <w:shd w:fill="EAF2F4" w:val="clear"/>
          </w:tcPr>
          <w:p>
            <w:pPr>
              <w:spacing w:after="0"/>
            </w:pPr>
            <w:r>
              <w:rPr>
                <w:rFonts w:ascii="Calibri" w:hAnsi="Calibri" w:eastAsia="Calibri"/>
                <w:color w:val="1D2A33"/>
                <w:sz w:val="19"/>
              </w:rPr>
              <w:t>Sicherungen sollen verschlüsselt bleiben und derselben Schutzlogik wie der Ursprungstresor folgen.</w:t>
            </w:r>
          </w:p>
        </w:tc>
      </w:tr>
    </w:tbl>
    <w:p>
      <w:pPr>
        <w:spacing w:after="40"/>
      </w:pPr>
    </w:p>
    <w:p>
      <w:r>
        <w:br w:type="page"/>
      </w:r>
    </w:p>
    <w:p>
      <w:pPr>
        <w:pStyle w:val="Heading1"/>
        <w:spacing w:before="280" w:after="120"/>
      </w:pPr>
      <w:r>
        <w:rPr>
          <w:rFonts w:ascii="Calibri" w:hAnsi="Calibri" w:eastAsia="Calibri"/>
          <w:color w:val="183A57"/>
        </w:rPr>
        <w:t>11. Releaseplanung</w:t>
      </w:r>
    </w:p>
    <w:p>
      <w:pPr>
        <w:spacing w:after="100" w:before="0"/>
      </w:pPr>
      <w:r>
        <w:rPr>
          <w:rFonts w:ascii="Calibri" w:hAnsi="Calibri" w:eastAsia="Calibri"/>
          <w:color w:val="1D2A33"/>
        </w:rPr>
        <w:t>Die Releaseplanung dient dazu, die fachlichen Erwartungen realistisch zu staffeln. V1 liefert ein belastbares Fundament. V1.x härtet dieses Fundament, erweitert die Kompatibilität und verbessert den Komfort. V2.0 öffnet den Weg zu anspruchsvolleren Mehrtresor- und Kompatibilitätsfunktionen, ohne die Grundstabilität zu gefährden.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Release</w:t>
            </w:r>
          </w:p>
        </w:tc>
        <w:tc>
          <w:tcPr>
            <w:tcW w:type="dxa" w:w="6350"/>
            <w:shd w:fill="183A57" w:val="clear"/>
          </w:tcPr>
          <w:p>
            <w:pPr>
              <w:spacing w:after="0"/>
            </w:pPr>
            <w:r>
              <w:rPr>
                <w:rFonts w:ascii="Calibri" w:hAnsi="Calibri" w:eastAsia="Calibri"/>
                <w:b/>
                <w:color w:val="FFFFFF"/>
                <w:sz w:val="20"/>
              </w:rPr>
              <w:t>Inhalt</w:t>
            </w:r>
          </w:p>
        </w:tc>
      </w:tr>
      <w:tr>
        <w:tc>
          <w:tcPr>
            <w:tcW w:type="dxa" w:w="2835"/>
            <w:shd w:fill="EAF2F4" w:val="clear"/>
          </w:tcPr>
          <w:p>
            <w:pPr>
              <w:spacing w:after="0"/>
            </w:pPr>
            <w:r>
              <w:rPr>
                <w:rFonts w:ascii="Calibri" w:hAnsi="Calibri" w:eastAsia="Calibri"/>
                <w:color w:val="1D2A33"/>
                <w:sz w:val="19"/>
              </w:rPr>
              <w:t>V1</w:t>
            </w:r>
          </w:p>
        </w:tc>
        <w:tc>
          <w:tcPr>
            <w:tcW w:type="dxa" w:w="6350"/>
            <w:shd w:fill="EAF2F4" w:val="clear"/>
          </w:tcPr>
          <w:p>
            <w:pPr>
              <w:spacing w:after="0"/>
            </w:pPr>
            <w:r>
              <w:rPr>
                <w:rFonts w:ascii="Calibri" w:hAnsi="Calibri" w:eastAsia="Calibri"/>
                <w:color w:val="1D2A33"/>
                <w:sz w:val="19"/>
              </w:rPr>
              <w:t>Lokaler Windows-Desktop-Tresor, mehrere unabhängige Vault-Dateien, Eintragstypen, Gruppen, Tags, Zusatzfelder, Suche/Filter, Passwortgenerator, Auto-Lock, Clipboard-Autoclear, Master-Passwort-Änderung, saubere Backups, .psafe3-Import.</w:t>
            </w:r>
          </w:p>
        </w:tc>
      </w:tr>
      <w:tr>
        <w:tc>
          <w:tcPr>
            <w:tcW w:type="dxa" w:w="2835"/>
            <w:shd w:fill="F8FBFC" w:val="clear"/>
          </w:tcPr>
          <w:p>
            <w:pPr>
              <w:spacing w:after="0"/>
            </w:pPr>
            <w:r>
              <w:rPr>
                <w:rFonts w:ascii="Calibri" w:hAnsi="Calibri" w:eastAsia="Calibri"/>
                <w:color w:val="1D2A33"/>
                <w:sz w:val="19"/>
              </w:rPr>
              <w:t>V1.x</w:t>
            </w:r>
          </w:p>
        </w:tc>
        <w:tc>
          <w:tcPr>
            <w:tcW w:type="dxa" w:w="6350"/>
            <w:shd w:fill="F8FBFC" w:val="clear"/>
          </w:tcPr>
          <w:p>
            <w:pPr>
              <w:spacing w:after="0"/>
            </w:pPr>
            <w:r>
              <w:rPr>
                <w:rFonts w:ascii="Calibri" w:hAnsi="Calibri" w:eastAsia="Calibri"/>
                <w:color w:val="1D2A33"/>
                <w:sz w:val="19"/>
              </w:rPr>
              <w:t>Read-only-/Konfliktfälle robuster behandeln, .psafe3-Export für abbildbare Inhalte, Kompatibilitätsbericht, Backup-Rotation, Typvorlagen, besserer Vault-Wechsel und Härtung von Migrationen/Diagnosen.</w:t>
            </w:r>
          </w:p>
        </w:tc>
      </w:tr>
      <w:tr>
        <w:tc>
          <w:tcPr>
            <w:tcW w:type="dxa" w:w="2835"/>
            <w:shd w:fill="EAF2F4" w:val="clear"/>
          </w:tcPr>
          <w:p>
            <w:pPr>
              <w:spacing w:after="0"/>
            </w:pPr>
            <w:r>
              <w:rPr>
                <w:rFonts w:ascii="Calibri" w:hAnsi="Calibri" w:eastAsia="Calibri"/>
                <w:color w:val="1D2A33"/>
                <w:sz w:val="19"/>
              </w:rPr>
              <w:t>V2.0</w:t>
            </w:r>
          </w:p>
        </w:tc>
        <w:tc>
          <w:tcPr>
            <w:tcW w:type="dxa" w:w="6350"/>
            <w:shd w:fill="EAF2F4" w:val="clear"/>
          </w:tcPr>
          <w:p>
            <w:pPr>
              <w:spacing w:after="0"/>
            </w:pPr>
            <w:r>
              <w:rPr>
                <w:rFonts w:ascii="Calibri" w:hAnsi="Calibri" w:eastAsia="Calibri"/>
                <w:color w:val="1D2A33"/>
                <w:sz w:val="19"/>
              </w:rPr>
              <w:t>Optionale Kompatibilitätsmodi, globale Suche über mehrere geöffnete Tresore, Compare/Merge-Funktionen, weitergehende Roundtrip-Strategien und professionelle Ausbaustufen.</w:t>
            </w:r>
          </w:p>
        </w:tc>
      </w:tr>
    </w:tbl>
    <w:p>
      <w:pPr>
        <w:spacing w:after="40"/>
      </w:pPr>
    </w:p>
    <w:p>
      <w:pPr>
        <w:pStyle w:val="Heading1"/>
        <w:spacing w:before="280" w:after="120"/>
      </w:pPr>
      <w:r>
        <w:rPr>
          <w:rFonts w:ascii="Calibri" w:hAnsi="Calibri" w:eastAsia="Calibri"/>
          <w:color w:val="183A57"/>
        </w:rPr>
        <w:t>12. Realistische Interop-Strategie mit Password Safe</w:t>
      </w:r>
    </w:p>
    <w:p>
      <w:pPr>
        <w:spacing w:after="100" w:before="0"/>
      </w:pPr>
      <w:r>
        <w:rPr>
          <w:rFonts w:ascii="Calibri" w:hAnsi="Calibri" w:eastAsia="Calibri"/>
          <w:color w:val="1D2A33"/>
        </w:rPr>
        <w:t>Die gewünschte Unterstützung von Password Safe ist fachlich sinnvoll, soll aber kontrolliert und ehrlich erfolgen. Das Lastenheft fordert deshalb keine starre 1:1-Unterordnung des gesamten Produkts unter das .psafe3-Format. Stattdessen wird eine additive Interop-Schicht verlangt.</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Baustein</w:t>
            </w:r>
          </w:p>
        </w:tc>
        <w:tc>
          <w:tcPr>
            <w:tcW w:type="dxa" w:w="6350"/>
            <w:shd w:fill="183A57" w:val="clear"/>
          </w:tcPr>
          <w:p>
            <w:pPr>
              <w:spacing w:after="0"/>
            </w:pPr>
            <w:r>
              <w:rPr>
                <w:rFonts w:ascii="Calibri" w:hAnsi="Calibri" w:eastAsia="Calibri"/>
                <w:b/>
                <w:color w:val="FFFFFF"/>
                <w:sz w:val="20"/>
              </w:rPr>
              <w:t>Festlegung</w:t>
            </w:r>
          </w:p>
        </w:tc>
      </w:tr>
      <w:tr>
        <w:tc>
          <w:tcPr>
            <w:tcW w:type="dxa" w:w="2835"/>
            <w:shd w:fill="EAF2F4" w:val="clear"/>
          </w:tcPr>
          <w:p>
            <w:pPr>
              <w:spacing w:after="0"/>
            </w:pPr>
            <w:r>
              <w:rPr>
                <w:rFonts w:ascii="Calibri" w:hAnsi="Calibri" w:eastAsia="Calibri"/>
                <w:color w:val="1D2A33"/>
                <w:sz w:val="19"/>
              </w:rPr>
              <w:t>Leitprinzip</w:t>
            </w:r>
          </w:p>
        </w:tc>
        <w:tc>
          <w:tcPr>
            <w:tcW w:type="dxa" w:w="6350"/>
            <w:shd w:fill="EAF2F4" w:val="clear"/>
          </w:tcPr>
          <w:p>
            <w:pPr>
              <w:spacing w:after="0"/>
            </w:pPr>
            <w:r>
              <w:rPr>
                <w:rFonts w:ascii="Calibri" w:hAnsi="Calibri" w:eastAsia="Calibri"/>
                <w:color w:val="1D2A33"/>
                <w:sz w:val="19"/>
              </w:rPr>
              <w:t>Das interne Datenmodell der neuen Anwendung bleibt führend.</w:t>
            </w:r>
          </w:p>
        </w:tc>
      </w:tr>
      <w:tr>
        <w:tc>
          <w:tcPr>
            <w:tcW w:type="dxa" w:w="2835"/>
            <w:shd w:fill="F8FBFC" w:val="clear"/>
          </w:tcPr>
          <w:p>
            <w:pPr>
              <w:spacing w:after="0"/>
            </w:pPr>
            <w:r>
              <w:rPr>
                <w:rFonts w:ascii="Calibri" w:hAnsi="Calibri" w:eastAsia="Calibri"/>
                <w:color w:val="1D2A33"/>
                <w:sz w:val="19"/>
              </w:rPr>
              <w:t>V1</w:t>
            </w:r>
          </w:p>
        </w:tc>
        <w:tc>
          <w:tcPr>
            <w:tcW w:type="dxa" w:w="6350"/>
            <w:shd w:fill="F8FBFC" w:val="clear"/>
          </w:tcPr>
          <w:p>
            <w:pPr>
              <w:spacing w:after="0"/>
            </w:pPr>
            <w:r>
              <w:rPr>
                <w:rFonts w:ascii="Calibri" w:hAnsi="Calibri" w:eastAsia="Calibri"/>
                <w:color w:val="1D2A33"/>
                <w:sz w:val="19"/>
              </w:rPr>
              <w:t>Import aus .psafe3 in einen internen Tresor mit transparenter Feldabbildung.</w:t>
            </w:r>
          </w:p>
        </w:tc>
      </w:tr>
      <w:tr>
        <w:tc>
          <w:tcPr>
            <w:tcW w:type="dxa" w:w="2835"/>
            <w:shd w:fill="EAF2F4" w:val="clear"/>
          </w:tcPr>
          <w:p>
            <w:pPr>
              <w:spacing w:after="0"/>
            </w:pPr>
            <w:r>
              <w:rPr>
                <w:rFonts w:ascii="Calibri" w:hAnsi="Calibri" w:eastAsia="Calibri"/>
                <w:color w:val="1D2A33"/>
                <w:sz w:val="19"/>
              </w:rPr>
              <w:t>V1.x</w:t>
            </w:r>
          </w:p>
        </w:tc>
        <w:tc>
          <w:tcPr>
            <w:tcW w:type="dxa" w:w="6350"/>
            <w:shd w:fill="EAF2F4" w:val="clear"/>
          </w:tcPr>
          <w:p>
            <w:pPr>
              <w:spacing w:after="0"/>
            </w:pPr>
            <w:r>
              <w:rPr>
                <w:rFonts w:ascii="Calibri" w:hAnsi="Calibri" w:eastAsia="Calibri"/>
                <w:color w:val="1D2A33"/>
                <w:sz w:val="19"/>
              </w:rPr>
              <w:t>Export des sauber abbildbaren Teils nach .psafe3, ergänzt um einen Bericht über Genauigkeit und etwaige Verluste.</w:t>
            </w:r>
          </w:p>
        </w:tc>
      </w:tr>
      <w:tr>
        <w:tc>
          <w:tcPr>
            <w:tcW w:type="dxa" w:w="2835"/>
            <w:shd w:fill="F8FBFC" w:val="clear"/>
          </w:tcPr>
          <w:p>
            <w:pPr>
              <w:spacing w:after="0"/>
            </w:pPr>
            <w:r>
              <w:rPr>
                <w:rFonts w:ascii="Calibri" w:hAnsi="Calibri" w:eastAsia="Calibri"/>
                <w:color w:val="1D2A33"/>
                <w:sz w:val="19"/>
              </w:rPr>
              <w:t>V2.0</w:t>
            </w:r>
          </w:p>
        </w:tc>
        <w:tc>
          <w:tcPr>
            <w:tcW w:type="dxa" w:w="6350"/>
            <w:shd w:fill="F8FBFC" w:val="clear"/>
          </w:tcPr>
          <w:p>
            <w:pPr>
              <w:spacing w:after="0"/>
            </w:pPr>
            <w:r>
              <w:rPr>
                <w:rFonts w:ascii="Calibri" w:hAnsi="Calibri" w:eastAsia="Calibri"/>
                <w:color w:val="1D2A33"/>
                <w:sz w:val="19"/>
              </w:rPr>
              <w:t>Optional engerer Kompatibilitätsmodus für weitergehende Roundtrip-Szenarien.</w:t>
            </w:r>
          </w:p>
        </w:tc>
      </w:tr>
      <w:tr>
        <w:tc>
          <w:tcPr>
            <w:tcW w:type="dxa" w:w="2835"/>
            <w:shd w:fill="EAF2F4" w:val="clear"/>
          </w:tcPr>
          <w:p>
            <w:pPr>
              <w:spacing w:after="0"/>
            </w:pPr>
            <w:r>
              <w:rPr>
                <w:rFonts w:ascii="Calibri" w:hAnsi="Calibri" w:eastAsia="Calibri"/>
                <w:color w:val="1D2A33"/>
                <w:sz w:val="19"/>
              </w:rPr>
              <w:t>Wesentliche Regel</w:t>
            </w:r>
          </w:p>
        </w:tc>
        <w:tc>
          <w:tcPr>
            <w:tcW w:type="dxa" w:w="6350"/>
            <w:shd w:fill="EAF2F4" w:val="clear"/>
          </w:tcPr>
          <w:p>
            <w:pPr>
              <w:spacing w:after="0"/>
            </w:pPr>
            <w:r>
              <w:rPr>
                <w:rFonts w:ascii="Calibri" w:hAnsi="Calibri" w:eastAsia="Calibri"/>
                <w:color w:val="1D2A33"/>
                <w:sz w:val="19"/>
              </w:rPr>
              <w:t>Keine stillschweigende Verwerfung unbekannter oder nicht abbildbarer Informationen.</w:t>
            </w:r>
          </w:p>
        </w:tc>
      </w:tr>
    </w:tbl>
    <w:p>
      <w:pPr>
        <w:spacing w:after="40"/>
      </w:pPr>
    </w:p>
    <w:p>
      <w:pPr>
        <w:spacing w:after="100" w:before="0"/>
      </w:pPr>
      <w:r>
        <w:rPr>
          <w:rFonts w:ascii="Calibri" w:hAnsi="Calibri" w:eastAsia="Calibri"/>
          <w:color w:val="1D2A33"/>
        </w:rPr>
        <w:t>Diese Strategie verhindert, dass wertvolle interne Funktionen wie strukturierte Zusatzfelder, Tags oder mehrdeutige technische Kontexte wegen Interoperabilität künstlich beschnitten werden. Gleichzeitig bleibt der Übergang von oder zu Password Safe möglich.</w:t>
      </w:r>
    </w:p>
    <w:tbl>
      <w:tblPr>
        <w:tblW w:type="auto" w:w="0"/>
        <w:jc w:val="center"/>
        <w:tblLayout w:type="autofit"/>
        <w:tblLook w:firstColumn="1" w:firstRow="1" w:lastColumn="0" w:lastRow="0" w:noHBand="0" w:noVBand="1" w:val="04A0"/>
      </w:tblPr>
      <w:tblGrid>
        <w:gridCol w:w="9524"/>
      </w:tblGrid>
      <w:tr>
        <w:tc>
          <w:tcPr>
            <w:tcW w:type="dxa" w:w="9524"/>
            <w:shd w:fill="EAF2F4" w:val="clear"/>
            <w:tcBorders>
              <w:left w:val="single" w:sz="10" w:color="2D6F73"/>
              <w:top w:val="single" w:sz="10" w:color="2D6F73"/>
              <w:right w:val="single" w:sz="10" w:color="2D6F73"/>
              <w:bottom w:val="single" w:sz="10" w:color="2D6F73"/>
            </w:tcBorders>
          </w:tcPr>
          <w:p>
            <w:pPr>
              <w:spacing w:after="40"/>
            </w:pPr>
            <w:r>
              <w:rPr>
                <w:rFonts w:ascii="Calibri" w:hAnsi="Calibri" w:eastAsia="Calibri"/>
                <w:b/>
                <w:color w:val="183A57"/>
                <w:sz w:val="23"/>
              </w:rPr>
              <w:t>Interop in einem Satz</w:t>
            </w:r>
          </w:p>
          <w:p>
            <w:pPr>
              <w:spacing w:after="0"/>
            </w:pPr>
            <w:r>
              <w:rPr>
                <w:rFonts w:ascii="Calibri" w:hAnsi="Calibri" w:eastAsia="Calibri"/>
                <w:color w:val="1D2A33"/>
                <w:sz w:val="21"/>
              </w:rPr>
              <w:t>Password Safe wird zusätzlich unterstützt, aber das eigene Produktmodell wird nicht vom Fremdformat regiert.</w:t>
            </w:r>
          </w:p>
        </w:tc>
      </w:tr>
    </w:tbl>
    <w:p>
      <w:pPr>
        <w:spacing w:after="40"/>
      </w:pPr>
    </w:p>
    <w:p>
      <w:pPr>
        <w:pStyle w:val="Heading1"/>
        <w:spacing w:before="280" w:after="120"/>
      </w:pPr>
      <w:r>
        <w:rPr>
          <w:rFonts w:ascii="Calibri" w:hAnsi="Calibri" w:eastAsia="Calibri"/>
          <w:color w:val="183A57"/>
        </w:rPr>
        <w:t>13. Abnahmekriterien</w:t>
      </w:r>
    </w:p>
    <w:p>
      <w:pPr>
        <w:spacing w:after="100" w:before="0"/>
      </w:pPr>
      <w:r>
        <w:rPr>
          <w:rFonts w:ascii="Calibri" w:hAnsi="Calibri" w:eastAsia="Calibri"/>
          <w:color w:val="1D2A33"/>
        </w:rPr>
        <w:t>Die Abnahme von V1 erfolgt nicht allein nach Vorhandensein einzelner Menüpunkte, sondern nach prüfbaren Ergebnissen. Das Produkt gilt für V1 als fachlich abnahmefähig, wenn die folgenden Punkte erfüllt sind:</w:t>
      </w:r>
    </w:p>
    <w:p>
      <w:pPr>
        <w:pStyle w:val="ListBullet"/>
        <w:spacing w:after="40"/>
        <w:ind w:left="340"/>
      </w:pPr>
      <w:r>
        <w:rPr>
          <w:rFonts w:ascii="Calibri" w:hAnsi="Calibri" w:eastAsia="Calibri"/>
          <w:color w:val="1D2A33"/>
          <w:sz w:val="21"/>
        </w:rPr>
        <w:t>Es kann mindestens ein neuer Tresor erstellt, geschlossen, erneut geöffnet und ohne Datenverlust gespeichert werden.</w:t>
      </w:r>
    </w:p>
    <w:p>
      <w:pPr>
        <w:pStyle w:val="ListBullet"/>
        <w:spacing w:after="40"/>
        <w:ind w:left="340"/>
      </w:pPr>
      <w:r>
        <w:rPr>
          <w:rFonts w:ascii="Calibri" w:hAnsi="Calibri" w:eastAsia="Calibri"/>
          <w:color w:val="1D2A33"/>
          <w:sz w:val="21"/>
        </w:rPr>
        <w:t>Es können mehrere voneinander getrennte Tresore geführt werden, ohne dass ihre Inhalte vermischt werden.</w:t>
      </w:r>
    </w:p>
    <w:p>
      <w:pPr>
        <w:pStyle w:val="ListBullet"/>
        <w:spacing w:after="40"/>
        <w:ind w:left="340"/>
      </w:pPr>
      <w:r>
        <w:rPr>
          <w:rFonts w:ascii="Calibri" w:hAnsi="Calibri" w:eastAsia="Calibri"/>
          <w:color w:val="1D2A33"/>
          <w:sz w:val="21"/>
        </w:rPr>
        <w:t>Einträge lassen sich mit Gruppen, Tags, Eintragstypen und Zusatzfeldern sinnvoll erfassen und wiederfinden.</w:t>
      </w:r>
    </w:p>
    <w:p>
      <w:pPr>
        <w:pStyle w:val="ListBullet"/>
        <w:spacing w:after="40"/>
        <w:ind w:left="340"/>
      </w:pPr>
      <w:r>
        <w:rPr>
          <w:rFonts w:ascii="Calibri" w:hAnsi="Calibri" w:eastAsia="Calibri"/>
          <w:color w:val="1D2A33"/>
          <w:sz w:val="21"/>
        </w:rPr>
        <w:t>Typische technische Informationen wie Host, Port, Datenbankname, Mail-Server oder API-Endpunkt lassen sich strukturiert ablegen.</w:t>
      </w:r>
    </w:p>
    <w:p>
      <w:pPr>
        <w:pStyle w:val="ListBullet"/>
        <w:spacing w:after="40"/>
        <w:ind w:left="340"/>
      </w:pPr>
      <w:r>
        <w:rPr>
          <w:rFonts w:ascii="Calibri" w:hAnsi="Calibri" w:eastAsia="Calibri"/>
          <w:color w:val="1D2A33"/>
          <w:sz w:val="21"/>
        </w:rPr>
        <w:t>Suche und Filter ermöglichen ein praxistaugliches Auffinden der Daten im aktiven Tresor.</w:t>
      </w:r>
    </w:p>
    <w:p>
      <w:pPr>
        <w:pStyle w:val="ListBullet"/>
        <w:spacing w:after="40"/>
        <w:ind w:left="340"/>
      </w:pPr>
      <w:r>
        <w:rPr>
          <w:rFonts w:ascii="Calibri" w:hAnsi="Calibri" w:eastAsia="Calibri"/>
          <w:color w:val="1D2A33"/>
          <w:sz w:val="21"/>
        </w:rPr>
        <w:t>Geheime Werte werden standardmäßig verborgen, bei Bedarf kopiert und aus der Zwischenablage wieder entfernt.</w:t>
      </w:r>
    </w:p>
    <w:p>
      <w:pPr>
        <w:pStyle w:val="ListBullet"/>
        <w:spacing w:after="40"/>
        <w:ind w:left="340"/>
      </w:pPr>
      <w:r>
        <w:rPr>
          <w:rFonts w:ascii="Calibri" w:hAnsi="Calibri" w:eastAsia="Calibri"/>
          <w:color w:val="1D2A33"/>
          <w:sz w:val="21"/>
        </w:rPr>
        <w:t>Die Anwendung sperrt sich nach Inaktivität und verlangt danach erneut das Master-Passwort des aktiven Tresors.</w:t>
      </w:r>
    </w:p>
    <w:p>
      <w:pPr>
        <w:pStyle w:val="ListBullet"/>
        <w:spacing w:after="40"/>
        <w:ind w:left="340"/>
      </w:pPr>
      <w:r>
        <w:rPr>
          <w:rFonts w:ascii="Calibri" w:hAnsi="Calibri" w:eastAsia="Calibri"/>
          <w:color w:val="1D2A33"/>
          <w:sz w:val="21"/>
        </w:rPr>
        <w:t>Ein Import aus einer .psafe3-Datei ist möglich und weist nicht sauber abbildbare Informationen sichtbar aus.</w:t>
      </w:r>
    </w:p>
    <w:p>
      <w:pPr>
        <w:pStyle w:val="ListBullet"/>
        <w:spacing w:after="40"/>
        <w:ind w:left="340"/>
      </w:pPr>
      <w:r>
        <w:rPr>
          <w:rFonts w:ascii="Calibri" w:hAnsi="Calibri" w:eastAsia="Calibri"/>
          <w:color w:val="1D2A33"/>
          <w:sz w:val="21"/>
        </w:rPr>
        <w:t>Lokale Einstellungen enthalten keine geheimen Nutzdaten und keine Master-Passwörter.</w:t>
      </w:r>
    </w:p>
    <w:p>
      <w:pPr>
        <w:pStyle w:val="Heading1"/>
        <w:spacing w:before="280" w:after="120"/>
      </w:pPr>
      <w:r>
        <w:rPr>
          <w:rFonts w:ascii="Calibri" w:hAnsi="Calibri" w:eastAsia="Calibri"/>
          <w:color w:val="183A57"/>
        </w:rPr>
        <w:t>14. Risiken, Annahmen und bewusste Abgrenzungen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shd w:fill="183A57" w:val="clear"/>
          </w:tcPr>
          <w:p>
            <w:pPr>
              <w:spacing w:after="0"/>
            </w:pPr>
            <w:r>
              <w:rPr>
                <w:rFonts w:ascii="Calibri" w:hAnsi="Calibri" w:eastAsia="Calibri"/>
                <w:b/>
                <w:color w:val="FFFFFF"/>
                <w:sz w:val="20"/>
              </w:rPr>
              <w:t>Punkt</w:t>
            </w:r>
          </w:p>
        </w:tc>
        <w:tc>
          <w:tcPr>
            <w:tcW w:type="dxa" w:w="6350"/>
            <w:shd w:fill="183A57" w:val="clear"/>
          </w:tcPr>
          <w:p>
            <w:pPr>
              <w:spacing w:after="0"/>
            </w:pPr>
            <w:r>
              <w:rPr>
                <w:rFonts w:ascii="Calibri" w:hAnsi="Calibri" w:eastAsia="Calibri"/>
                <w:b/>
                <w:color w:val="FFFFFF"/>
                <w:sz w:val="20"/>
              </w:rPr>
              <w:t>Bewertung / Festlegung</w:t>
            </w:r>
          </w:p>
        </w:tc>
      </w:tr>
      <w:tr>
        <w:tc>
          <w:tcPr>
            <w:tcW w:type="dxa" w:w="2835"/>
            <w:shd w:fill="EAF2F4" w:val="clear"/>
          </w:tcPr>
          <w:p>
            <w:pPr>
              <w:spacing w:after="0"/>
            </w:pPr>
            <w:r>
              <w:rPr>
                <w:rFonts w:ascii="Calibri" w:hAnsi="Calibri" w:eastAsia="Calibri"/>
                <w:color w:val="1D2A33"/>
                <w:sz w:val="19"/>
              </w:rPr>
              <w:t>Bewusst nicht in V1</w:t>
            </w:r>
          </w:p>
        </w:tc>
        <w:tc>
          <w:tcPr>
            <w:tcW w:type="dxa" w:w="6350"/>
            <w:shd w:fill="EAF2F4" w:val="clear"/>
          </w:tcPr>
          <w:p>
            <w:pPr>
              <w:spacing w:after="0"/>
            </w:pPr>
            <w:r>
              <w:rPr>
                <w:rFonts w:ascii="Calibri" w:hAnsi="Calibri" w:eastAsia="Calibri"/>
                <w:color w:val="1D2A33"/>
                <w:sz w:val="19"/>
              </w:rPr>
              <w:t>Cloud-Sync, Team-Sharing, Browser-Autofill, mobile Clients, Anhänge, globale Multitresor-Suche.</w:t>
            </w:r>
          </w:p>
        </w:tc>
      </w:tr>
      <w:tr>
        <w:tc>
          <w:tcPr>
            <w:tcW w:type="dxa" w:w="2835"/>
            <w:shd w:fill="F8FBFC" w:val="clear"/>
          </w:tcPr>
          <w:p>
            <w:pPr>
              <w:spacing w:after="0"/>
            </w:pPr>
            <w:r>
              <w:rPr>
                <w:rFonts w:ascii="Calibri" w:hAnsi="Calibri" w:eastAsia="Calibri"/>
                <w:color w:val="1D2A33"/>
                <w:sz w:val="19"/>
              </w:rPr>
              <w:t>Interop-Risiko</w:t>
            </w:r>
          </w:p>
        </w:tc>
        <w:tc>
          <w:tcPr>
            <w:tcW w:type="dxa" w:w="6350"/>
            <w:shd w:fill="F8FBFC" w:val="clear"/>
          </w:tcPr>
          <w:p>
            <w:pPr>
              <w:spacing w:after="0"/>
            </w:pPr>
            <w:r>
              <w:rPr>
                <w:rFonts w:ascii="Calibri" w:hAnsi="Calibri" w:eastAsia="Calibri"/>
                <w:color w:val="1D2A33"/>
                <w:sz w:val="19"/>
              </w:rPr>
              <w:t>Reiche interne Datenmodelle lassen sich nicht in jedem Fall verlustfrei nach .psafe3 abbilden.</w:t>
            </w:r>
          </w:p>
        </w:tc>
      </w:tr>
      <w:tr>
        <w:tc>
          <w:tcPr>
            <w:tcW w:type="dxa" w:w="2835"/>
            <w:shd w:fill="EAF2F4" w:val="clear"/>
          </w:tcPr>
          <w:p>
            <w:pPr>
              <w:spacing w:after="0"/>
            </w:pPr>
            <w:r>
              <w:rPr>
                <w:rFonts w:ascii="Calibri" w:hAnsi="Calibri" w:eastAsia="Calibri"/>
                <w:color w:val="1D2A33"/>
                <w:sz w:val="19"/>
              </w:rPr>
              <w:t>Sicherheitsannahme</w:t>
            </w:r>
          </w:p>
        </w:tc>
        <w:tc>
          <w:tcPr>
            <w:tcW w:type="dxa" w:w="6350"/>
            <w:shd w:fill="EAF2F4" w:val="clear"/>
          </w:tcPr>
          <w:p>
            <w:pPr>
              <w:spacing w:after="0"/>
            </w:pPr>
            <w:r>
              <w:rPr>
                <w:rFonts w:ascii="Calibri" w:hAnsi="Calibri" w:eastAsia="Calibri"/>
                <w:color w:val="1D2A33"/>
                <w:sz w:val="19"/>
              </w:rPr>
              <w:t>Das Betriebssystem des Nutzers gilt grundsätzlich als vertrauenswürdig; kompromittierte Systeme liegen außerhalb des garantierten Schutzbereichs.</w:t>
            </w:r>
          </w:p>
        </w:tc>
      </w:tr>
      <w:tr>
        <w:tc>
          <w:tcPr>
            <w:tcW w:type="dxa" w:w="2835"/>
            <w:shd w:fill="F8FBFC" w:val="clear"/>
          </w:tcPr>
          <w:p>
            <w:pPr>
              <w:spacing w:after="0"/>
            </w:pPr>
            <w:r>
              <w:rPr>
                <w:rFonts w:ascii="Calibri" w:hAnsi="Calibri" w:eastAsia="Calibri"/>
                <w:color w:val="1D2A33"/>
                <w:sz w:val="19"/>
              </w:rPr>
              <w:t>Dokumentationsannahme</w:t>
            </w:r>
          </w:p>
        </w:tc>
        <w:tc>
          <w:tcPr>
            <w:tcW w:type="dxa" w:w="6350"/>
            <w:shd w:fill="F8FBFC" w:val="clear"/>
          </w:tcPr>
          <w:p>
            <w:pPr>
              <w:spacing w:after="0"/>
            </w:pPr>
            <w:r>
              <w:rPr>
                <w:rFonts w:ascii="Calibri" w:hAnsi="Calibri" w:eastAsia="Calibri"/>
                <w:color w:val="1D2A33"/>
                <w:sz w:val="19"/>
              </w:rPr>
              <w:t>Das spätere Pflichtenheft konkretisiert die technische Umsetzung, ohne die hier festgelegten fachlichen Grenzen zu verletzen.</w:t>
            </w:r>
          </w:p>
        </w:tc>
      </w:tr>
    </w:tbl>
    <w:p>
      <w:pPr>
        <w:spacing w:after="40"/>
      </w:pPr>
    </w:p>
    <w:p>
      <w:pPr>
        <w:pStyle w:val="Heading1"/>
        <w:spacing w:before="280" w:after="120"/>
      </w:pPr>
      <w:r>
        <w:rPr>
          <w:rFonts w:ascii="Calibri" w:hAnsi="Calibri" w:eastAsia="Calibri"/>
          <w:color w:val="183A57"/>
        </w:rPr>
        <w:t>15. Schlussbemerkung</w:t>
      </w:r>
    </w:p>
    <w:p>
      <w:pPr>
        <w:spacing w:after="100" w:before="0"/>
      </w:pPr>
      <w:r>
        <w:rPr>
          <w:rFonts w:ascii="Calibri" w:hAnsi="Calibri" w:eastAsia="Calibri"/>
          <w:color w:val="1D2A33"/>
        </w:rPr>
        <w:t>Dieses Lastenheft definiert den fachlichen Rahmen für eine runde, erweiterbare und zugleich realistische Desktop-Anwendung. Es stellt klar, dass der Kernnutzen in der sicheren und gut strukturierten Verwaltung von Secrets liegt, während Komfort- und Interop-Funktionen bewusst gestuft eingeführt werden. Auf Basis dieses Dokuments kann anschließend ein Pflichtenheft erstellt werden, das die konkrete technische Architektur, Dateiformate, Teststrategie, Klassen- und Modulstruktur sowie die genaue Implementierung beschreibt.</w:t>
      </w:r>
    </w:p>
    <w:tbl>
      <w:tblPr>
        <w:tblW w:type="auto" w:w="0"/>
        <w:jc w:val="center"/>
        <w:tblLayout w:type="autofit"/>
        <w:tblLook w:firstColumn="1" w:firstRow="1" w:lastColumn="0" w:lastRow="0" w:noHBand="0" w:noVBand="1" w:val="04A0"/>
      </w:tblPr>
      <w:tblGrid>
        <w:gridCol w:w="9524"/>
      </w:tblGrid>
      <w:tr>
        <w:tc>
          <w:tcPr>
            <w:tcW w:type="dxa" w:w="9524"/>
            <w:shd w:fill="EAF2F4" w:val="clear"/>
            <w:tcBorders>
              <w:left w:val="single" w:sz="10" w:color="2D6F73"/>
              <w:top w:val="single" w:sz="10" w:color="2D6F73"/>
              <w:right w:val="single" w:sz="10" w:color="2D6F73"/>
              <w:bottom w:val="single" w:sz="10" w:color="2D6F73"/>
            </w:tcBorders>
          </w:tcPr>
          <w:p>
            <w:pPr>
              <w:spacing w:after="40"/>
            </w:pPr>
            <w:r>
              <w:rPr>
                <w:rFonts w:ascii="Calibri" w:hAnsi="Calibri" w:eastAsia="Calibri"/>
                <w:b/>
                <w:color w:val="183A57"/>
                <w:sz w:val="23"/>
              </w:rPr>
              <w:t>Weiterer Projektschritt</w:t>
            </w:r>
          </w:p>
          <w:p>
            <w:pPr>
              <w:spacing w:after="0"/>
            </w:pPr>
            <w:r>
              <w:rPr>
                <w:rFonts w:ascii="Calibri" w:hAnsi="Calibri" w:eastAsia="Calibri"/>
                <w:color w:val="1D2A33"/>
                <w:sz w:val="21"/>
              </w:rPr>
              <w:t>Nach Freigabe dieses Lastenhefts sollte ein Pflichtenheft abgeleitet werden, das die technische Umsetzung für V1 und die Ausbaustufen V1.x / V2.0 verbindlich beschreibt.</w:t>
            </w:r>
          </w:p>
        </w:tc>
      </w:tr>
    </w:tbl>
    <w:p>
      <w:pPr>
        <w:spacing w:after="40"/>
      </w:pPr>
    </w:p>
    <w:sectPr w:rsidR="00FC693F" w:rsidRPr="0006063C" w:rsidSect="00034616">
      <w:footerReference w:type="default" r:id="rId9"/>
      <w:pgSz w:w="11906" w:h="16838"/>
      <w:pgMar w:top="1020" w:right="1191" w:bottom="964"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175"/>
      <w:gridCol w:w="3175"/>
      <w:gridCol w:w="3175"/>
    </w:tblGrid>
    <w:tr>
      <w:tc>
        <w:tcPr>
          <w:tcW w:type="dxa" w:w="3175"/>
          <w:vAlign w:val="center"/>
        </w:tcPr>
        <w:p>
          <w:pPr>
            <w:jc w:val="left"/>
          </w:pPr>
          <w:r/>
          <w:r>
            <w:rPr>
              <w:rFonts w:ascii="Calibri" w:hAnsi="Calibri" w:eastAsia="Calibri"/>
              <w:color w:val="5B6A72"/>
              <w:sz w:val="17"/>
            </w:rPr>
            <w:t>Lastenheft - Desktop Secret Manager</w:t>
          </w:r>
        </w:p>
      </w:tc>
      <w:tc>
        <w:tcPr>
          <w:tcW w:type="dxa" w:w="3175"/>
          <w:vAlign w:val="center"/>
        </w:tcPr>
        <w:p>
          <w:pPr>
            <w:jc w:val="center"/>
          </w:pPr>
          <w:r>
            <w:rPr>
              <w:rFonts w:ascii="Calibri" w:hAnsi="Calibri" w:eastAsia="Calibri"/>
              <w:color w:val="5B6A72"/>
              <w:sz w:val="17"/>
            </w:rPr>
            <w:t>Version 0.9 - Arbeitsfassung</w:t>
          </w:r>
        </w:p>
      </w:tc>
      <w:tc>
        <w:tcPr>
          <w:tcW w:type="dxa" w:w="3175"/>
          <w:vAlign w:val="center"/>
        </w:tcPr>
        <w:p>
          <w:pPr>
            <w:jc w:val="right"/>
          </w:pPr>
          <w:r>
            <w:rPr>
              <w:rFonts w:ascii="Calibri" w:hAnsi="Calibri" w:eastAsia="Calibri"/>
              <w:color w:val="5B6A72"/>
              <w:sz w:val="17"/>
            </w:rPr>
            <w:t xml:space="preserve">Seite </w:t>
          </w:r>
          <w:r>
            <w:fldChar w:fldCharType="begin"/>
            <w:instrText xml:space="preserve"> PAGE </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A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A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A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Lastenheft - Desktop Secret Manager</dc:title>
  <dc:subject>Anforderungsbeschreibung</dc:subject>
  <dc:creator>OpenAI im Auftrag des Nutzers</dc:creator>
  <cp:keywords/>
  <dc:description>Lastenheft als Grundlage für das spätere Pflichtenheft.</dc:description>
  <cp:lastModifiedBy/>
  <cp:revision>1</cp:revision>
  <dcterms:created xsi:type="dcterms:W3CDTF">2013-12-23T23:15:00Z</dcterms:created>
  <dcterms:modified xsi:type="dcterms:W3CDTF">2013-12-23T23:15:00Z</dcterms:modified>
  <cp:category/>
</cp:coreProperties>
</file>