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keepLines/>
      </w:pPr>
      <w:r>
        <w:rPr>
          <w:b/>
          <w:color w:val="BD4C3C"/>
          <w:sz w:val="36"/>
        </w:rPr>
        <w:t>SASD</w:t>
      </w:r>
    </w:p>
    <w:p>
      <w:pPr>
        <w:pStyle w:val="Title"/>
        <w:jc w:val="center"/>
        <w:keepLines/>
      </w:pPr>
      <w:r>
        <w:t>Mail Workbench</w:t>
      </w:r>
    </w:p>
    <w:p>
      <w:pPr>
        <w:pStyle w:val="Title"/>
        <w:jc w:val="center"/>
        <w:keepLines/>
      </w:pPr>
      <w:r>
        <w:rPr>
          <w:sz w:val="46"/>
        </w:rPr>
        <w:t>Pflichtenheft Version 1.1</w:t>
      </w:r>
    </w:p>
    <w:p>
      <w:pPr>
        <w:pStyle w:val="Subtitle"/>
        <w:jc w:val="center"/>
        <w:keepLines/>
      </w:pPr>
      <w:r>
        <w:t>Technische Realisierung des POP3-zentrierten Desktop-Mailclients</w:t>
        <w:br/>
        <w:t>mit lokalem Warnsystem, Scientific Foundation und austauschbarer Oberfläche</w:t>
      </w:r>
    </w:p>
    <w:p>
      <w:pPr>
        <w:keepLines/>
      </w:pPr>
    </w:p>
    <w:p>
      <w:pPr>
        <w:keepLines/>
      </w:pPr>
      <w:r>
        <w:drawing>
          <wp:inline xmlns:a="http://schemas.openxmlformats.org/drawingml/2006/main" xmlns:pic="http://schemas.openxmlformats.org/drawingml/2006/picture">
            <wp:extent cx="5940000" cy="3534591"/>
            <wp:docPr id="1" name="Picture 1" descr="Image: image1.png"/>
            <wp:cNvGraphicFramePr>
              <a:graphicFrameLocks noChangeAspect="1"/>
            </wp:cNvGraphicFramePr>
            <a:graphic>
              <a:graphicData uri="http://schemas.openxmlformats.org/drawingml/2006/picture">
                <pic:pic>
                  <pic:nvPicPr>
                    <pic:cNvPr id="0" name="solution_architecture.png"/>
                    <pic:cNvPicPr/>
                  </pic:nvPicPr>
                  <pic:blipFill>
                    <a:blip r:embed="rId11"/>
                    <a:stretch>
                      <a:fillRect/>
                    </a:stretch>
                  </pic:blipFill>
                  <pic:spPr>
                    <a:xfrm>
                      <a:off x="0" y="0"/>
                      <a:ext cx="5940000" cy="3534591"/>
                    </a:xfrm>
                    <a:prstGeom prst="rect"/>
                  </pic:spPr>
                </pic:pic>
              </a:graphicData>
            </a:graphic>
          </wp:inline>
        </w:drawing>
      </w:r>
    </w:p>
    <w:p>
      <w:pPr>
        <w:pStyle w:val="Caption"/>
        <w:jc w:val="center"/>
        <w:keepLines/>
      </w:pPr>
      <w:r>
        <w:t>Abbildung 1: Zielarchitektur der Version 1.0</w:t>
      </w:r>
    </w:p>
    <w:p>
      <w:pPr>
        <w:jc w:val="center"/>
        <w:keepLines/>
      </w:pPr>
      <w:r>
        <w:t>Auftraggeber / Product Owner: SASD-GmbH</w:t>
      </w:r>
    </w:p>
    <w:p>
      <w:pPr>
        <w:jc w:val="center"/>
        <w:keepLines/>
      </w:pPr>
      <w:r>
        <w:t>Dokumentversion: 1.0 - vollständiger technischer Entwurf</w:t>
      </w:r>
    </w:p>
    <w:p>
      <w:pPr>
        <w:jc w:val="center"/>
        <w:keepLines/>
      </w:pPr>
      <w:r>
        <w:t>Zielsoftware: SASD Mail Workbench 1.0.0</w:t>
      </w:r>
    </w:p>
    <w:p>
      <w:pPr>
        <w:jc w:val="center"/>
        <w:keepLines/>
      </w:pPr>
      <w:r>
        <w:t>Ausgangsbasis: Lastenheft Version 1.0 und Projektstand 0.3.0</w:t>
      </w:r>
    </w:p>
    <w:p>
      <w:pPr>
        <w:jc w:val="center"/>
        <w:keepLines/>
      </w:pPr>
      <w:r>
        <w:t>Stand: 12. Juli 2026</w:t>
      </w:r>
    </w:p>
    <w:p>
      <w:pPr>
        <w:jc w:val="center"/>
        <w:keepLines/>
      </w:pPr>
      <w:r>
        <w:t>Status: Zur technischen Prüfung und Freigabe</w:t>
      </w:r>
    </w:p>
    <w:p>
      <w:pPr>
        <w:keepLines/>
      </w:pPr>
      <w:r>
        <w:br w:type="page"/>
      </w:r>
    </w:p>
    <w:p>
      <w:pPr>
        <w:pStyle w:val="Heading1"/>
        <w:keepNext/>
        <w:keepLines/>
      </w:pPr>
      <w:r>
        <w:t>Dokumentenlenkung</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381"/>
            <w:shd w:fill="244A5A"/>
            <w:vAlign w:val="center"/>
            <w:tcMar>
              <w:top w:w="60" w:type="dxa"/>
              <w:left w:w="80" w:type="dxa"/>
              <w:bottom w:w="60" w:type="dxa"/>
              <w:right w:w="80" w:type="dxa"/>
            </w:tcMar>
          </w:tcPr>
          <w:p>
            <w:pPr>
              <w:jc w:val="center"/>
            </w:pPr>
            <w:r>
              <w:rPr>
                <w:b/>
                <w:color w:val="FFFFFF"/>
                <w:sz w:val="18"/>
              </w:rPr>
              <w:t>Feld</w:t>
            </w:r>
          </w:p>
        </w:tc>
        <w:tc>
          <w:tcPr>
            <w:tcW w:type="dxa" w:w="7087"/>
            <w:shd w:fill="244A5A"/>
            <w:vAlign w:val="center"/>
            <w:tcMar>
              <w:top w:w="60" w:type="dxa"/>
              <w:left w:w="80" w:type="dxa"/>
              <w:bottom w:w="60" w:type="dxa"/>
              <w:right w:w="80" w:type="dxa"/>
            </w:tcMar>
          </w:tcPr>
          <w:p>
            <w:pPr>
              <w:jc w:val="center"/>
            </w:pPr>
            <w:r>
              <w:rPr>
                <w:b/>
                <w:color w:val="FFFFFF"/>
                <w:sz w:val="18"/>
              </w:rPr>
              <w:t>Festlegung</w:t>
            </w:r>
          </w:p>
        </w:tc>
      </w:tr>
      <w:tr>
        <w:trPr>
          <w:cantSplit/>
        </w:trPr>
        <w:tc>
          <w:tcPr>
            <w:tcW w:type="dxa" w:w="2381"/>
            <w:vAlign w:val="top"/>
            <w:shd w:fill="F4F7F8"/>
            <w:tcMar>
              <w:top w:w="60" w:type="dxa"/>
              <w:left w:w="80" w:type="dxa"/>
              <w:bottom w:w="60" w:type="dxa"/>
              <w:right w:w="80" w:type="dxa"/>
            </w:tcMar>
          </w:tcPr>
          <w:p>
            <w:pPr>
              <w:spacing w:after="40"/>
            </w:pPr>
            <w:r>
              <w:rPr>
                <w:sz w:val="18"/>
              </w:rPr>
              <w:t>Dokument</w:t>
            </w:r>
          </w:p>
        </w:tc>
        <w:tc>
          <w:tcPr>
            <w:tcW w:type="dxa" w:w="7087"/>
            <w:vAlign w:val="top"/>
            <w:shd w:fill="F4F7F8"/>
            <w:tcMar>
              <w:top w:w="60" w:type="dxa"/>
              <w:left w:w="80" w:type="dxa"/>
              <w:bottom w:w="60" w:type="dxa"/>
              <w:right w:w="80" w:type="dxa"/>
            </w:tcMar>
          </w:tcPr>
          <w:p>
            <w:pPr>
              <w:spacing w:after="40"/>
            </w:pPr>
            <w:r>
              <w:rPr>
                <w:sz w:val="18"/>
              </w:rPr>
              <w:t>SASD Mail Workbench - Pflichtenheft Version 1.1</w:t>
            </w:r>
          </w:p>
        </w:tc>
      </w:tr>
      <w:tr>
        <w:trPr>
          <w:cantSplit/>
        </w:trPr>
        <w:tc>
          <w:tcPr>
            <w:tcW w:type="dxa" w:w="2381"/>
            <w:vAlign w:val="top"/>
            <w:tcMar>
              <w:top w:w="60" w:type="dxa"/>
              <w:left w:w="80" w:type="dxa"/>
              <w:bottom w:w="60" w:type="dxa"/>
              <w:right w:w="80" w:type="dxa"/>
            </w:tcMar>
          </w:tcPr>
          <w:p>
            <w:pPr>
              <w:spacing w:after="40"/>
            </w:pPr>
            <w:r>
              <w:rPr>
                <w:sz w:val="18"/>
              </w:rPr>
              <w:t>Dokumentversion</w:t>
            </w:r>
          </w:p>
        </w:tc>
        <w:tc>
          <w:tcPr>
            <w:tcW w:type="dxa" w:w="7087"/>
            <w:vAlign w:val="top"/>
            <w:tcMar>
              <w:top w:w="60" w:type="dxa"/>
              <w:left w:w="80" w:type="dxa"/>
              <w:bottom w:w="60" w:type="dxa"/>
              <w:right w:w="80" w:type="dxa"/>
            </w:tcMar>
          </w:tcPr>
          <w:p>
            <w:pPr>
              <w:spacing w:after="40"/>
            </w:pPr>
            <w:r>
              <w:rPr>
                <w:sz w:val="18"/>
              </w:rPr>
              <w:t>1.0</w:t>
            </w:r>
          </w:p>
        </w:tc>
      </w:tr>
      <w:tr>
        <w:trPr>
          <w:cantSplit/>
        </w:trPr>
        <w:tc>
          <w:tcPr>
            <w:tcW w:type="dxa" w:w="2381"/>
            <w:vAlign w:val="top"/>
            <w:shd w:fill="F4F7F8"/>
            <w:tcMar>
              <w:top w:w="60" w:type="dxa"/>
              <w:left w:w="80" w:type="dxa"/>
              <w:bottom w:w="60" w:type="dxa"/>
              <w:right w:w="80" w:type="dxa"/>
            </w:tcMar>
          </w:tcPr>
          <w:p>
            <w:pPr>
              <w:spacing w:after="40"/>
            </w:pPr>
            <w:r>
              <w:rPr>
                <w:sz w:val="18"/>
              </w:rPr>
              <w:t>Zielrelease</w:t>
            </w:r>
          </w:p>
        </w:tc>
        <w:tc>
          <w:tcPr>
            <w:tcW w:type="dxa" w:w="7087"/>
            <w:vAlign w:val="top"/>
            <w:shd w:fill="F4F7F8"/>
            <w:tcMar>
              <w:top w:w="60" w:type="dxa"/>
              <w:left w:w="80" w:type="dxa"/>
              <w:bottom w:w="60" w:type="dxa"/>
              <w:right w:w="80" w:type="dxa"/>
            </w:tcMar>
          </w:tcPr>
          <w:p>
            <w:pPr>
              <w:spacing w:after="40"/>
            </w:pPr>
            <w:r>
              <w:rPr>
                <w:sz w:val="18"/>
              </w:rPr>
              <w:t>1.0.0</w:t>
            </w:r>
          </w:p>
        </w:tc>
      </w:tr>
      <w:tr>
        <w:trPr>
          <w:cantSplit/>
        </w:trPr>
        <w:tc>
          <w:tcPr>
            <w:tcW w:type="dxa" w:w="2381"/>
            <w:vAlign w:val="top"/>
            <w:tcMar>
              <w:top w:w="60" w:type="dxa"/>
              <w:left w:w="80" w:type="dxa"/>
              <w:bottom w:w="60" w:type="dxa"/>
              <w:right w:w="80" w:type="dxa"/>
            </w:tcMar>
          </w:tcPr>
          <w:p>
            <w:pPr>
              <w:spacing w:after="40"/>
            </w:pPr>
            <w:r>
              <w:rPr>
                <w:sz w:val="18"/>
              </w:rPr>
              <w:t>Ausgangsdokument</w:t>
            </w:r>
          </w:p>
        </w:tc>
        <w:tc>
          <w:tcPr>
            <w:tcW w:type="dxa" w:w="7087"/>
            <w:vAlign w:val="top"/>
            <w:tcMar>
              <w:top w:w="60" w:type="dxa"/>
              <w:left w:w="80" w:type="dxa"/>
              <w:bottom w:w="60" w:type="dxa"/>
              <w:right w:w="80" w:type="dxa"/>
            </w:tcMar>
          </w:tcPr>
          <w:p>
            <w:pPr>
              <w:spacing w:after="40"/>
            </w:pPr>
            <w:r>
              <w:rPr>
                <w:sz w:val="18"/>
              </w:rPr>
              <w:t>SASD Mail Workbench - Lastenheft Version 1.0</w:t>
            </w:r>
          </w:p>
        </w:tc>
      </w:tr>
      <w:tr>
        <w:trPr>
          <w:cantSplit/>
        </w:trPr>
        <w:tc>
          <w:tcPr>
            <w:tcW w:type="dxa" w:w="2381"/>
            <w:vAlign w:val="top"/>
            <w:shd w:fill="F4F7F8"/>
            <w:tcMar>
              <w:top w:w="60" w:type="dxa"/>
              <w:left w:w="80" w:type="dxa"/>
              <w:bottom w:w="60" w:type="dxa"/>
              <w:right w:w="80" w:type="dxa"/>
            </w:tcMar>
          </w:tcPr>
          <w:p>
            <w:pPr>
              <w:spacing w:after="40"/>
            </w:pPr>
            <w:r>
              <w:rPr>
                <w:sz w:val="18"/>
              </w:rPr>
              <w:t>Implementierter Ausgangsstand</w:t>
            </w:r>
          </w:p>
        </w:tc>
        <w:tc>
          <w:tcPr>
            <w:tcW w:type="dxa" w:w="7087"/>
            <w:vAlign w:val="top"/>
            <w:shd w:fill="F4F7F8"/>
            <w:tcMar>
              <w:top w:w="60" w:type="dxa"/>
              <w:left w:w="80" w:type="dxa"/>
              <w:bottom w:w="60" w:type="dxa"/>
              <w:right w:w="80" w:type="dxa"/>
            </w:tcMar>
          </w:tcPr>
          <w:p>
            <w:pPr>
              <w:spacing w:after="40"/>
            </w:pPr>
            <w:r>
              <w:rPr>
                <w:sz w:val="18"/>
              </w:rPr>
              <w:t>v0.3.0: Domain/Application-Grundgerüst, SQLite-Katalog, Rohmail-Store, Demo und Testprojekt</w:t>
            </w:r>
          </w:p>
        </w:tc>
      </w:tr>
      <w:tr>
        <w:trPr>
          <w:cantSplit/>
        </w:trPr>
        <w:tc>
          <w:tcPr>
            <w:tcW w:type="dxa" w:w="2381"/>
            <w:vAlign w:val="top"/>
            <w:tcMar>
              <w:top w:w="60" w:type="dxa"/>
              <w:left w:w="80" w:type="dxa"/>
              <w:bottom w:w="60" w:type="dxa"/>
              <w:right w:w="80" w:type="dxa"/>
            </w:tcMar>
          </w:tcPr>
          <w:p>
            <w:pPr>
              <w:spacing w:after="40"/>
            </w:pPr>
            <w:r>
              <w:rPr>
                <w:sz w:val="18"/>
              </w:rPr>
              <w:t>Technologischer Zielstand</w:t>
            </w:r>
          </w:p>
        </w:tc>
        <w:tc>
          <w:tcPr>
            <w:tcW w:type="dxa" w:w="7087"/>
            <w:vAlign w:val="top"/>
            <w:tcMar>
              <w:top w:w="60" w:type="dxa"/>
              <w:left w:w="80" w:type="dxa"/>
              <w:bottom w:w="60" w:type="dxa"/>
              <w:right w:w="80" w:type="dxa"/>
            </w:tcMar>
          </w:tcPr>
          <w:p>
            <w:r>
              <w:t>C# 12, .NET 8 für 0.3.1/0.4.0; Migration auf .NET 10 LTS vor Produktrelease; Windows Forms, MailKit/MimeKit, Microsoft.Data.Sqlite</w:t>
            </w:r>
          </w:p>
        </w:tc>
      </w:tr>
      <w:tr>
        <w:trPr>
          <w:cantSplit/>
        </w:trPr>
        <w:tc>
          <w:tcPr>
            <w:tcW w:type="dxa" w:w="2381"/>
            <w:vAlign w:val="top"/>
            <w:shd w:fill="F4F7F8"/>
            <w:tcMar>
              <w:top w:w="60" w:type="dxa"/>
              <w:left w:w="80" w:type="dxa"/>
              <w:bottom w:w="60" w:type="dxa"/>
              <w:right w:w="80" w:type="dxa"/>
            </w:tcMar>
          </w:tcPr>
          <w:p>
            <w:pPr>
              <w:spacing w:after="40"/>
            </w:pPr>
            <w:r>
              <w:rPr>
                <w:sz w:val="18"/>
              </w:rPr>
              <w:t>Verbindlichkeit</w:t>
            </w:r>
          </w:p>
        </w:tc>
        <w:tc>
          <w:tcPr>
            <w:tcW w:type="dxa" w:w="7087"/>
            <w:vAlign w:val="top"/>
            <w:shd w:fill="F4F7F8"/>
            <w:tcMar>
              <w:top w:w="60" w:type="dxa"/>
              <w:left w:w="80" w:type="dxa"/>
              <w:bottom w:w="60" w:type="dxa"/>
              <w:right w:w="80" w:type="dxa"/>
            </w:tcMar>
          </w:tcPr>
          <w:p>
            <w:pPr>
              <w:spacing w:after="40"/>
            </w:pPr>
            <w:r>
              <w:rPr>
                <w:sz w:val="18"/>
              </w:rPr>
              <w:t>Dieses Dokument konkretisiert die Realisierung. Abweichungen benötigen ADR, Auswirkungsanalyse und Freigabe.</w:t>
            </w:r>
          </w:p>
        </w:tc>
      </w:tr>
      <w:tr>
        <w:trPr>
          <w:cantSplit/>
        </w:trPr>
        <w:tc>
          <w:tcPr>
            <w:tcW w:type="dxa" w:w="2381"/>
            <w:vAlign w:val="top"/>
            <w:tcMar>
              <w:top w:w="60" w:type="dxa"/>
              <w:left w:w="80" w:type="dxa"/>
              <w:bottom w:w="60" w:type="dxa"/>
              <w:right w:w="80" w:type="dxa"/>
            </w:tcMar>
          </w:tcPr>
          <w:p>
            <w:pPr>
              <w:spacing w:after="40"/>
            </w:pPr>
            <w:r>
              <w:rPr>
                <w:sz w:val="18"/>
              </w:rPr>
              <w:t>Anforderungsumfang</w:t>
            </w:r>
          </w:p>
        </w:tc>
        <w:tc>
          <w:tcPr>
            <w:tcW w:type="dxa" w:w="7087"/>
            <w:vAlign w:val="top"/>
            <w:tcMar>
              <w:top w:w="60" w:type="dxa"/>
              <w:left w:w="80" w:type="dxa"/>
              <w:bottom w:w="60" w:type="dxa"/>
              <w:right w:w="80" w:type="dxa"/>
            </w:tcMar>
          </w:tcPr>
          <w:p>
            <w:pPr>
              <w:spacing w:after="40"/>
            </w:pPr>
            <w:r>
              <w:rPr>
                <w:sz w:val="18"/>
              </w:rPr>
              <w:t>131 funktionale und 20 nichtfunktionale Anforderungen sowie 17 Abnahmeszenarien.</w:t>
            </w:r>
          </w:p>
        </w:tc>
      </w:tr>
    </w:tbl>
    <w:p>
      <w:pPr>
        <w:keepLines/>
      </w:pPr>
    </w:p>
    <w:p>
      <w:pPr>
        <w:pStyle w:val="Heading2"/>
        <w:keepNext/>
        <w:keepLines/>
      </w:pPr>
      <w:r>
        <w:t>Änderungshistorie</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1134"/>
            <w:shd w:fill="244A5A"/>
            <w:vAlign w:val="center"/>
            <w:tcMar>
              <w:top w:w="60" w:type="dxa"/>
              <w:left w:w="80" w:type="dxa"/>
              <w:bottom w:w="60" w:type="dxa"/>
              <w:right w:w="80" w:type="dxa"/>
            </w:tcMar>
          </w:tcPr>
          <w:p>
            <w:pPr>
              <w:jc w:val="center"/>
            </w:pPr>
            <w:r>
              <w:rPr>
                <w:b/>
                <w:color w:val="FFFFFF"/>
                <w:sz w:val="17"/>
              </w:rPr>
              <w:t>Version</w:t>
            </w:r>
          </w:p>
        </w:tc>
        <w:tc>
          <w:tcPr>
            <w:tcW w:type="dxa" w:w="1701"/>
            <w:shd w:fill="244A5A"/>
            <w:vAlign w:val="center"/>
            <w:tcMar>
              <w:top w:w="60" w:type="dxa"/>
              <w:left w:w="80" w:type="dxa"/>
              <w:bottom w:w="60" w:type="dxa"/>
              <w:right w:w="80" w:type="dxa"/>
            </w:tcMar>
          </w:tcPr>
          <w:p>
            <w:pPr>
              <w:jc w:val="center"/>
            </w:pPr>
            <w:r>
              <w:rPr>
                <w:b/>
                <w:color w:val="FFFFFF"/>
                <w:sz w:val="17"/>
              </w:rPr>
              <w:t>Datum</w:t>
            </w:r>
          </w:p>
        </w:tc>
        <w:tc>
          <w:tcPr>
            <w:tcW w:type="dxa" w:w="5102"/>
            <w:shd w:fill="244A5A"/>
            <w:vAlign w:val="center"/>
            <w:tcMar>
              <w:top w:w="60" w:type="dxa"/>
              <w:left w:w="80" w:type="dxa"/>
              <w:bottom w:w="60" w:type="dxa"/>
              <w:right w:w="80" w:type="dxa"/>
            </w:tcMar>
          </w:tcPr>
          <w:p>
            <w:pPr>
              <w:jc w:val="center"/>
            </w:pPr>
            <w:r>
              <w:rPr>
                <w:b/>
                <w:color w:val="FFFFFF"/>
                <w:sz w:val="17"/>
              </w:rPr>
              <w:t>Änderung</w:t>
            </w:r>
          </w:p>
        </w:tc>
        <w:tc>
          <w:tcPr>
            <w:tcW w:type="dxa" w:w="1701"/>
            <w:shd w:fill="244A5A"/>
            <w:vAlign w:val="center"/>
            <w:tcMar>
              <w:top w:w="60" w:type="dxa"/>
              <w:left w:w="80" w:type="dxa"/>
              <w:bottom w:w="60" w:type="dxa"/>
              <w:right w:w="80" w:type="dxa"/>
            </w:tcMar>
          </w:tcPr>
          <w:p>
            <w:pPr>
              <w:jc w:val="center"/>
            </w:pPr>
            <w:r>
              <w:rPr>
                <w:b/>
                <w:color w:val="FFFFFF"/>
                <w:sz w:val="17"/>
              </w:rPr>
              <w:t>Status</w:t>
            </w:r>
          </w:p>
        </w:tc>
      </w:tr>
      <w:tr>
        <w:trPr>
          <w:cantSplit/>
        </w:trPr>
        <w:tc>
          <w:tcPr>
            <w:tcW w:type="dxa" w:w="1134"/>
            <w:vAlign w:val="top"/>
            <w:shd w:fill="F4F7F8"/>
            <w:tcMar>
              <w:top w:w="60" w:type="dxa"/>
              <w:left w:w="80" w:type="dxa"/>
              <w:bottom w:w="60" w:type="dxa"/>
              <w:right w:w="80" w:type="dxa"/>
            </w:tcMar>
          </w:tcPr>
          <w:p>
            <w:pPr>
              <w:spacing w:after="40"/>
            </w:pPr>
            <w:r>
              <w:rPr>
                <w:sz w:val="17"/>
              </w:rPr>
              <w:t>0.1</w:t>
            </w:r>
          </w:p>
        </w:tc>
        <w:tc>
          <w:tcPr>
            <w:tcW w:type="dxa" w:w="1701"/>
            <w:vAlign w:val="top"/>
            <w:shd w:fill="F4F7F8"/>
            <w:tcMar>
              <w:top w:w="60" w:type="dxa"/>
              <w:left w:w="80" w:type="dxa"/>
              <w:bottom w:w="60" w:type="dxa"/>
              <w:right w:w="80" w:type="dxa"/>
            </w:tcMar>
          </w:tcPr>
          <w:p>
            <w:pPr>
              <w:spacing w:after="40"/>
            </w:pPr>
            <w:r>
              <w:rPr>
                <w:sz w:val="17"/>
              </w:rPr>
              <w:t>frühere Projektphase</w:t>
            </w:r>
          </w:p>
        </w:tc>
        <w:tc>
          <w:tcPr>
            <w:tcW w:type="dxa" w:w="5102"/>
            <w:vAlign w:val="top"/>
            <w:shd w:fill="F4F7F8"/>
            <w:tcMar>
              <w:top w:w="60" w:type="dxa"/>
              <w:left w:w="80" w:type="dxa"/>
              <w:bottom w:w="60" w:type="dxa"/>
              <w:right w:w="80" w:type="dxa"/>
            </w:tcMar>
          </w:tcPr>
          <w:p>
            <w:pPr>
              <w:spacing w:after="40"/>
            </w:pPr>
            <w:r>
              <w:rPr>
                <w:sz w:val="17"/>
              </w:rPr>
              <w:t>Architektur- und Projektstartentwürfe</w:t>
            </w:r>
          </w:p>
        </w:tc>
        <w:tc>
          <w:tcPr>
            <w:tcW w:type="dxa" w:w="1701"/>
            <w:vAlign w:val="top"/>
            <w:shd w:fill="F4F7F8"/>
            <w:tcMar>
              <w:top w:w="60" w:type="dxa"/>
              <w:left w:w="80" w:type="dxa"/>
              <w:bottom w:w="60" w:type="dxa"/>
              <w:right w:w="80" w:type="dxa"/>
            </w:tcMar>
          </w:tcPr>
          <w:p>
            <w:pPr>
              <w:spacing w:after="40"/>
            </w:pPr>
            <w:r>
              <w:rPr>
                <w:sz w:val="17"/>
              </w:rPr>
              <w:t>historisch</w:t>
            </w:r>
          </w:p>
        </w:tc>
      </w:tr>
      <w:tr>
        <w:trPr>
          <w:cantSplit/>
        </w:trPr>
        <w:tc>
          <w:tcPr>
            <w:tcW w:type="dxa" w:w="1134"/>
            <w:vAlign w:val="top"/>
            <w:tcMar>
              <w:top w:w="60" w:type="dxa"/>
              <w:left w:w="80" w:type="dxa"/>
              <w:bottom w:w="60" w:type="dxa"/>
              <w:right w:w="80" w:type="dxa"/>
            </w:tcMar>
          </w:tcPr>
          <w:p>
            <w:pPr>
              <w:spacing w:after="40"/>
            </w:pPr>
            <w:r>
              <w:rPr>
                <w:sz w:val="17"/>
              </w:rPr>
              <w:t>0.3.0</w:t>
            </w:r>
          </w:p>
        </w:tc>
        <w:tc>
          <w:tcPr>
            <w:tcW w:type="dxa" w:w="1701"/>
            <w:vAlign w:val="top"/>
            <w:tcMar>
              <w:top w:w="60" w:type="dxa"/>
              <w:left w:w="80" w:type="dxa"/>
              <w:bottom w:w="60" w:type="dxa"/>
              <w:right w:w="80" w:type="dxa"/>
            </w:tcMar>
          </w:tcPr>
          <w:p>
            <w:pPr>
              <w:spacing w:after="40"/>
            </w:pPr>
            <w:r>
              <w:rPr>
                <w:sz w:val="17"/>
              </w:rPr>
              <w:t>vor diesem Dokument</w:t>
            </w:r>
          </w:p>
        </w:tc>
        <w:tc>
          <w:tcPr>
            <w:tcW w:type="dxa" w:w="5102"/>
            <w:vAlign w:val="top"/>
            <w:tcMar>
              <w:top w:w="60" w:type="dxa"/>
              <w:left w:w="80" w:type="dxa"/>
              <w:bottom w:w="60" w:type="dxa"/>
              <w:right w:w="80" w:type="dxa"/>
            </w:tcMar>
          </w:tcPr>
          <w:p>
            <w:pPr>
              <w:spacing w:after="40"/>
            </w:pPr>
            <w:r>
              <w:rPr>
                <w:sz w:val="17"/>
              </w:rPr>
              <w:t>SQLite-Persistenz statt JSON, lokaler Verarbeitungskern, Testprojekt</w:t>
            </w:r>
          </w:p>
        </w:tc>
        <w:tc>
          <w:tcPr>
            <w:tcW w:type="dxa" w:w="1701"/>
            <w:vAlign w:val="top"/>
            <w:tcMar>
              <w:top w:w="60" w:type="dxa"/>
              <w:left w:w="80" w:type="dxa"/>
              <w:bottom w:w="60" w:type="dxa"/>
              <w:right w:w="80" w:type="dxa"/>
            </w:tcMar>
          </w:tcPr>
          <w:p>
            <w:pPr>
              <w:spacing w:after="40"/>
            </w:pPr>
            <w:r>
              <w:rPr>
                <w:sz w:val="17"/>
              </w:rPr>
              <w:t>implementierter Ausgangsstand</w:t>
            </w:r>
          </w:p>
        </w:tc>
      </w:tr>
      <w:tr>
        <w:trPr>
          <w:cantSplit/>
        </w:trPr>
        <w:tc>
          <w:tcPr>
            <w:tcW w:type="dxa" w:w="1134"/>
            <w:vAlign w:val="top"/>
            <w:shd w:fill="F4F7F8"/>
            <w:tcMar>
              <w:top w:w="60" w:type="dxa"/>
              <w:left w:w="80" w:type="dxa"/>
              <w:bottom w:w="60" w:type="dxa"/>
              <w:right w:w="80" w:type="dxa"/>
            </w:tcMar>
          </w:tcPr>
          <w:p>
            <w:pPr>
              <w:spacing w:after="40"/>
            </w:pPr>
            <w:r>
              <w:rPr>
                <w:sz w:val="17"/>
              </w:rPr>
              <w:t>1.0</w:t>
            </w:r>
          </w:p>
        </w:tc>
        <w:tc>
          <w:tcPr>
            <w:tcW w:type="dxa" w:w="1701"/>
            <w:vAlign w:val="top"/>
            <w:shd w:fill="F4F7F8"/>
            <w:tcMar>
              <w:top w:w="60" w:type="dxa"/>
              <w:left w:w="80" w:type="dxa"/>
              <w:bottom w:w="60" w:type="dxa"/>
              <w:right w:w="80" w:type="dxa"/>
            </w:tcMar>
          </w:tcPr>
          <w:p>
            <w:pPr>
              <w:spacing w:after="40"/>
            </w:pPr>
            <w:r>
              <w:rPr>
                <w:sz w:val="17"/>
              </w:rPr>
              <w:t>12.07.2026</w:t>
            </w:r>
          </w:p>
        </w:tc>
        <w:tc>
          <w:tcPr>
            <w:tcW w:type="dxa" w:w="5102"/>
            <w:vAlign w:val="top"/>
            <w:shd w:fill="F4F7F8"/>
            <w:tcMar>
              <w:top w:w="60" w:type="dxa"/>
              <w:left w:w="80" w:type="dxa"/>
              <w:bottom w:w="60" w:type="dxa"/>
              <w:right w:w="80" w:type="dxa"/>
            </w:tcMar>
          </w:tcPr>
          <w:p>
            <w:pPr>
              <w:spacing w:after="40"/>
            </w:pPr>
            <w:r>
              <w:rPr>
                <w:sz w:val="17"/>
              </w:rPr>
              <w:t>Vollständige technische Umsetzung des Lastenhefts; Upgradeziel .NET 10; WinForms, Mailprotokolle, Warnsystem, Scientific Foundation</w:t>
            </w:r>
          </w:p>
        </w:tc>
        <w:tc>
          <w:tcPr>
            <w:tcW w:type="dxa" w:w="1701"/>
            <w:vAlign w:val="top"/>
            <w:shd w:fill="F4F7F8"/>
            <w:tcMar>
              <w:top w:w="60" w:type="dxa"/>
              <w:left w:w="80" w:type="dxa"/>
              <w:bottom w:w="60" w:type="dxa"/>
              <w:right w:w="80" w:type="dxa"/>
            </w:tcMar>
          </w:tcPr>
          <w:p>
            <w:pPr>
              <w:spacing w:after="40"/>
            </w:pPr>
            <w:r>
              <w:rPr>
                <w:sz w:val="17"/>
              </w:rPr>
              <w:t>Entwurf</w:t>
            </w:r>
          </w:p>
        </w:tc>
      </w:tr>
      <w:tr>
        <w:tc>
          <w:tcPr>
            <w:tcW w:type="dxa" w:w="2507"/>
          </w:tcPr>
          <w:p>
            <w:r>
              <w:t>1.1</w:t>
            </w:r>
          </w:p>
        </w:tc>
        <w:tc>
          <w:tcPr>
            <w:tcW w:type="dxa" w:w="2507"/>
          </w:tcPr>
          <w:p>
            <w:r>
              <w:t>12.07.2026</w:t>
            </w:r>
          </w:p>
        </w:tc>
        <w:tc>
          <w:tcPr>
            <w:tcW w:type="dxa" w:w="2507"/>
          </w:tcPr>
          <w:p>
            <w:r>
              <w:t>Gestufte Runtime-Strategie und Stabilisierungsauflagen</w:t>
            </w:r>
          </w:p>
        </w:tc>
        <w:tc>
          <w:tcPr>
            <w:tcW w:type="dxa" w:w="2507"/>
          </w:tcPr>
          <w:p>
            <w:r>
              <w:t>Verbindliche Arbeitsgrundlage</w:t>
            </w:r>
          </w:p>
        </w:tc>
      </w:tr>
    </w:tbl>
    <w:p>
      <w:pPr>
        <w:keepLines/>
      </w:pP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FFF3E6"/>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Wichtige technische Aktualisierung</w:t>
            </w:r>
            <w:r>
              <w:br/>
              <w:t>Der vorhandene Prototyp zielt auf .NET 8. Für die produktive Version 1.0 wird net10.0-windows festgelegt. .NET 8 befindet sich 2026 bereits in der letzten Supportphase; die Migration wird deshalb als erstes technisches Arbeitspaket durchgeführt. Alle nicht UI-bezogenen Projekte targeten net10.0, das WinForms-Projekt net10.0-windows.</w:t>
            </w:r>
          </w:p>
        </w:tc>
      </w:tr>
    </w:tbl>
    <w:p>
      <w:pPr>
        <w:keepLines/>
      </w:pPr>
    </w:p>
    <w:p>
      <w:pPr>
        <w:pStyle w:val="Heading1"/>
        <w:keepNext/>
        <w:keepLines/>
      </w:pPr>
      <w:r>
        <w:t>Inhaltsverzeichnis</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134"/>
            <w:shd w:fill="244A5A"/>
            <w:vAlign w:val="center"/>
            <w:tcMar>
              <w:top w:w="60" w:type="dxa"/>
              <w:left w:w="80" w:type="dxa"/>
              <w:bottom w:w="60" w:type="dxa"/>
              <w:right w:w="80" w:type="dxa"/>
            </w:tcMar>
          </w:tcPr>
          <w:p>
            <w:pPr>
              <w:jc w:val="center"/>
            </w:pPr>
            <w:r>
              <w:rPr>
                <w:b/>
                <w:color w:val="FFFFFF"/>
                <w:sz w:val="18"/>
              </w:rPr>
              <w:t>Kapitel</w:t>
            </w:r>
          </w:p>
        </w:tc>
        <w:tc>
          <w:tcPr>
            <w:tcW w:type="dxa" w:w="7937"/>
            <w:shd w:fill="244A5A"/>
            <w:vAlign w:val="center"/>
            <w:tcMar>
              <w:top w:w="60" w:type="dxa"/>
              <w:left w:w="80" w:type="dxa"/>
              <w:bottom w:w="60" w:type="dxa"/>
              <w:right w:w="80" w:type="dxa"/>
            </w:tcMar>
          </w:tcPr>
          <w:p>
            <w:pPr>
              <w:jc w:val="center"/>
            </w:pPr>
            <w:r>
              <w:rPr>
                <w:b/>
                <w:color w:val="FFFFFF"/>
                <w:sz w:val="18"/>
              </w:rPr>
              <w:t>Inhalt</w:t>
            </w:r>
          </w:p>
        </w:tc>
      </w:tr>
      <w:tr>
        <w:trPr>
          <w:cantSplit/>
        </w:trPr>
        <w:tc>
          <w:tcPr>
            <w:tcW w:type="dxa" w:w="1134"/>
            <w:vAlign w:val="top"/>
            <w:shd w:fill="F4F7F8"/>
            <w:tcMar>
              <w:top w:w="60" w:type="dxa"/>
              <w:left w:w="80" w:type="dxa"/>
              <w:bottom w:w="60" w:type="dxa"/>
              <w:right w:w="80" w:type="dxa"/>
            </w:tcMar>
          </w:tcPr>
          <w:p>
            <w:pPr>
              <w:spacing w:after="40"/>
            </w:pPr>
            <w:r>
              <w:rPr>
                <w:sz w:val="18"/>
              </w:rPr>
              <w:t>0</w:t>
            </w:r>
          </w:p>
        </w:tc>
        <w:tc>
          <w:tcPr>
            <w:tcW w:type="dxa" w:w="7937"/>
            <w:vAlign w:val="top"/>
            <w:shd w:fill="F4F7F8"/>
            <w:tcMar>
              <w:top w:w="60" w:type="dxa"/>
              <w:left w:w="80" w:type="dxa"/>
              <w:bottom w:w="60" w:type="dxa"/>
              <w:right w:w="80" w:type="dxa"/>
            </w:tcMar>
          </w:tcPr>
          <w:p>
            <w:pPr>
              <w:spacing w:after="40"/>
            </w:pPr>
            <w:r>
              <w:rPr>
                <w:sz w:val="18"/>
              </w:rPr>
              <w:t>Management Summary</w:t>
            </w:r>
          </w:p>
        </w:tc>
      </w:tr>
      <w:tr>
        <w:trPr>
          <w:cantSplit/>
        </w:trPr>
        <w:tc>
          <w:tcPr>
            <w:tcW w:type="dxa" w:w="1134"/>
            <w:vAlign w:val="top"/>
            <w:tcMar>
              <w:top w:w="60" w:type="dxa"/>
              <w:left w:w="80" w:type="dxa"/>
              <w:bottom w:w="60" w:type="dxa"/>
              <w:right w:w="80" w:type="dxa"/>
            </w:tcMar>
          </w:tcPr>
          <w:p>
            <w:pPr>
              <w:spacing w:after="40"/>
            </w:pPr>
            <w:r>
              <w:rPr>
                <w:sz w:val="18"/>
              </w:rPr>
              <w:t>1</w:t>
            </w:r>
          </w:p>
        </w:tc>
        <w:tc>
          <w:tcPr>
            <w:tcW w:type="dxa" w:w="7937"/>
            <w:vAlign w:val="top"/>
            <w:tcMar>
              <w:top w:w="60" w:type="dxa"/>
              <w:left w:w="80" w:type="dxa"/>
              <w:bottom w:w="60" w:type="dxa"/>
              <w:right w:w="80" w:type="dxa"/>
            </w:tcMar>
          </w:tcPr>
          <w:p>
            <w:pPr>
              <w:spacing w:after="40"/>
            </w:pPr>
            <w:r>
              <w:rPr>
                <w:sz w:val="18"/>
              </w:rPr>
              <w:t>Geltungsbereich, Annahmen und Abgrenzung</w:t>
            </w:r>
          </w:p>
        </w:tc>
      </w:tr>
      <w:tr>
        <w:trPr>
          <w:cantSplit/>
        </w:trPr>
        <w:tc>
          <w:tcPr>
            <w:tcW w:type="dxa" w:w="1134"/>
            <w:vAlign w:val="top"/>
            <w:shd w:fill="F4F7F8"/>
            <w:tcMar>
              <w:top w:w="60" w:type="dxa"/>
              <w:left w:w="80" w:type="dxa"/>
              <w:bottom w:w="60" w:type="dxa"/>
              <w:right w:w="80" w:type="dxa"/>
            </w:tcMar>
          </w:tcPr>
          <w:p>
            <w:pPr>
              <w:spacing w:after="40"/>
            </w:pPr>
            <w:r>
              <w:rPr>
                <w:sz w:val="18"/>
              </w:rPr>
              <w:t>2</w:t>
            </w:r>
          </w:p>
        </w:tc>
        <w:tc>
          <w:tcPr>
            <w:tcW w:type="dxa" w:w="7937"/>
            <w:vAlign w:val="top"/>
            <w:shd w:fill="F4F7F8"/>
            <w:tcMar>
              <w:top w:w="60" w:type="dxa"/>
              <w:left w:w="80" w:type="dxa"/>
              <w:bottom w:w="60" w:type="dxa"/>
              <w:right w:w="80" w:type="dxa"/>
            </w:tcMar>
          </w:tcPr>
          <w:p>
            <w:pPr>
              <w:spacing w:after="40"/>
            </w:pPr>
            <w:r>
              <w:rPr>
                <w:sz w:val="18"/>
              </w:rPr>
              <w:t>Technologie- und Architekturentscheidungen</w:t>
            </w:r>
          </w:p>
        </w:tc>
      </w:tr>
      <w:tr>
        <w:trPr>
          <w:cantSplit/>
        </w:trPr>
        <w:tc>
          <w:tcPr>
            <w:tcW w:type="dxa" w:w="1134"/>
            <w:vAlign w:val="top"/>
            <w:tcMar>
              <w:top w:w="60" w:type="dxa"/>
              <w:left w:w="80" w:type="dxa"/>
              <w:bottom w:w="60" w:type="dxa"/>
              <w:right w:w="80" w:type="dxa"/>
            </w:tcMar>
          </w:tcPr>
          <w:p>
            <w:pPr>
              <w:spacing w:after="40"/>
            </w:pPr>
            <w:r>
              <w:rPr>
                <w:sz w:val="18"/>
              </w:rPr>
              <w:t>3</w:t>
            </w:r>
          </w:p>
        </w:tc>
        <w:tc>
          <w:tcPr>
            <w:tcW w:type="dxa" w:w="7937"/>
            <w:vAlign w:val="top"/>
            <w:tcMar>
              <w:top w:w="60" w:type="dxa"/>
              <w:left w:w="80" w:type="dxa"/>
              <w:bottom w:w="60" w:type="dxa"/>
              <w:right w:w="80" w:type="dxa"/>
            </w:tcMar>
          </w:tcPr>
          <w:p>
            <w:pPr>
              <w:spacing w:after="40"/>
            </w:pPr>
            <w:r>
              <w:rPr>
                <w:sz w:val="18"/>
              </w:rPr>
              <w:t>Solution-, Projekt- und Abhängigkeitsstruktur</w:t>
            </w:r>
          </w:p>
        </w:tc>
      </w:tr>
      <w:tr>
        <w:trPr>
          <w:cantSplit/>
        </w:trPr>
        <w:tc>
          <w:tcPr>
            <w:tcW w:type="dxa" w:w="1134"/>
            <w:vAlign w:val="top"/>
            <w:shd w:fill="F4F7F8"/>
            <w:tcMar>
              <w:top w:w="60" w:type="dxa"/>
              <w:left w:w="80" w:type="dxa"/>
              <w:bottom w:w="60" w:type="dxa"/>
              <w:right w:w="80" w:type="dxa"/>
            </w:tcMar>
          </w:tcPr>
          <w:p>
            <w:pPr>
              <w:spacing w:after="40"/>
            </w:pPr>
            <w:r>
              <w:rPr>
                <w:sz w:val="18"/>
              </w:rPr>
              <w:t>4</w:t>
            </w:r>
          </w:p>
        </w:tc>
        <w:tc>
          <w:tcPr>
            <w:tcW w:type="dxa" w:w="7937"/>
            <w:vAlign w:val="top"/>
            <w:shd w:fill="F4F7F8"/>
            <w:tcMar>
              <w:top w:w="60" w:type="dxa"/>
              <w:left w:w="80" w:type="dxa"/>
              <w:bottom w:w="60" w:type="dxa"/>
              <w:right w:w="80" w:type="dxa"/>
            </w:tcMar>
          </w:tcPr>
          <w:p>
            <w:pPr>
              <w:spacing w:after="40"/>
            </w:pPr>
            <w:r>
              <w:rPr>
                <w:sz w:val="18"/>
              </w:rPr>
              <w:t>Laufzeit-, Installations- und Datenverzeichnisstruktur</w:t>
            </w:r>
          </w:p>
        </w:tc>
      </w:tr>
      <w:tr>
        <w:trPr>
          <w:cantSplit/>
        </w:trPr>
        <w:tc>
          <w:tcPr>
            <w:tcW w:type="dxa" w:w="1134"/>
            <w:vAlign w:val="top"/>
            <w:tcMar>
              <w:top w:w="60" w:type="dxa"/>
              <w:left w:w="80" w:type="dxa"/>
              <w:bottom w:w="60" w:type="dxa"/>
              <w:right w:w="80" w:type="dxa"/>
            </w:tcMar>
          </w:tcPr>
          <w:p>
            <w:pPr>
              <w:spacing w:after="40"/>
            </w:pPr>
            <w:r>
              <w:rPr>
                <w:sz w:val="18"/>
              </w:rPr>
              <w:t>5</w:t>
            </w:r>
          </w:p>
        </w:tc>
        <w:tc>
          <w:tcPr>
            <w:tcW w:type="dxa" w:w="7937"/>
            <w:vAlign w:val="top"/>
            <w:tcMar>
              <w:top w:w="60" w:type="dxa"/>
              <w:left w:w="80" w:type="dxa"/>
              <w:bottom w:w="60" w:type="dxa"/>
              <w:right w:w="80" w:type="dxa"/>
            </w:tcMar>
          </w:tcPr>
          <w:p>
            <w:pPr>
              <w:spacing w:after="40"/>
            </w:pPr>
            <w:r>
              <w:rPr>
                <w:sz w:val="18"/>
              </w:rPr>
              <w:t>Domänenmodell und Zustandsautomaten</w:t>
            </w:r>
          </w:p>
        </w:tc>
      </w:tr>
      <w:tr>
        <w:trPr>
          <w:cantSplit/>
        </w:trPr>
        <w:tc>
          <w:tcPr>
            <w:tcW w:type="dxa" w:w="1134"/>
            <w:vAlign w:val="top"/>
            <w:shd w:fill="F4F7F8"/>
            <w:tcMar>
              <w:top w:w="60" w:type="dxa"/>
              <w:left w:w="80" w:type="dxa"/>
              <w:bottom w:w="60" w:type="dxa"/>
              <w:right w:w="80" w:type="dxa"/>
            </w:tcMar>
          </w:tcPr>
          <w:p>
            <w:pPr>
              <w:spacing w:after="40"/>
            </w:pPr>
            <w:r>
              <w:rPr>
                <w:sz w:val="18"/>
              </w:rPr>
              <w:t>6</w:t>
            </w:r>
          </w:p>
        </w:tc>
        <w:tc>
          <w:tcPr>
            <w:tcW w:type="dxa" w:w="7937"/>
            <w:vAlign w:val="top"/>
            <w:shd w:fill="F4F7F8"/>
            <w:tcMar>
              <w:top w:w="60" w:type="dxa"/>
              <w:left w:w="80" w:type="dxa"/>
              <w:bottom w:w="60" w:type="dxa"/>
              <w:right w:w="80" w:type="dxa"/>
            </w:tcMar>
          </w:tcPr>
          <w:p>
            <w:pPr>
              <w:spacing w:after="40"/>
            </w:pPr>
            <w:r>
              <w:rPr>
                <w:sz w:val="18"/>
              </w:rPr>
              <w:t>Persistenz, Datenbankschema und Migrationen</w:t>
            </w:r>
          </w:p>
        </w:tc>
      </w:tr>
      <w:tr>
        <w:trPr>
          <w:cantSplit/>
        </w:trPr>
        <w:tc>
          <w:tcPr>
            <w:tcW w:type="dxa" w:w="1134"/>
            <w:vAlign w:val="top"/>
            <w:tcMar>
              <w:top w:w="60" w:type="dxa"/>
              <w:left w:w="80" w:type="dxa"/>
              <w:bottom w:w="60" w:type="dxa"/>
              <w:right w:w="80" w:type="dxa"/>
            </w:tcMar>
          </w:tcPr>
          <w:p>
            <w:pPr>
              <w:spacing w:after="40"/>
            </w:pPr>
            <w:r>
              <w:rPr>
                <w:sz w:val="18"/>
              </w:rPr>
              <w:t>7</w:t>
            </w:r>
          </w:p>
        </w:tc>
        <w:tc>
          <w:tcPr>
            <w:tcW w:type="dxa" w:w="7937"/>
            <w:vAlign w:val="top"/>
            <w:tcMar>
              <w:top w:w="60" w:type="dxa"/>
              <w:left w:w="80" w:type="dxa"/>
              <w:bottom w:w="60" w:type="dxa"/>
              <w:right w:w="80" w:type="dxa"/>
            </w:tcMar>
          </w:tcPr>
          <w:p>
            <w:pPr>
              <w:spacing w:after="40"/>
            </w:pPr>
            <w:r>
              <w:rPr>
                <w:sz w:val="18"/>
              </w:rPr>
              <w:t>Konten, Providerprofile und Secret-Verwaltung</w:t>
            </w:r>
          </w:p>
        </w:tc>
      </w:tr>
      <w:tr>
        <w:trPr>
          <w:cantSplit/>
        </w:trPr>
        <w:tc>
          <w:tcPr>
            <w:tcW w:type="dxa" w:w="1134"/>
            <w:vAlign w:val="top"/>
            <w:shd w:fill="F4F7F8"/>
            <w:tcMar>
              <w:top w:w="60" w:type="dxa"/>
              <w:left w:w="80" w:type="dxa"/>
              <w:bottom w:w="60" w:type="dxa"/>
              <w:right w:w="80" w:type="dxa"/>
            </w:tcMar>
          </w:tcPr>
          <w:p>
            <w:pPr>
              <w:spacing w:after="40"/>
            </w:pPr>
            <w:r>
              <w:rPr>
                <w:sz w:val="18"/>
              </w:rPr>
              <w:t>8</w:t>
            </w:r>
          </w:p>
        </w:tc>
        <w:tc>
          <w:tcPr>
            <w:tcW w:type="dxa" w:w="7937"/>
            <w:vAlign w:val="top"/>
            <w:shd w:fill="F4F7F8"/>
            <w:tcMar>
              <w:top w:w="60" w:type="dxa"/>
              <w:left w:w="80" w:type="dxa"/>
              <w:bottom w:w="60" w:type="dxa"/>
              <w:right w:w="80" w:type="dxa"/>
            </w:tcMar>
          </w:tcPr>
          <w:p>
            <w:pPr>
              <w:spacing w:after="40"/>
            </w:pPr>
            <w:r>
              <w:rPr>
                <w:sz w:val="18"/>
              </w:rPr>
              <w:t>POP3-Abruf und „Get all“</w:t>
            </w:r>
          </w:p>
        </w:tc>
      </w:tr>
      <w:tr>
        <w:trPr>
          <w:cantSplit/>
        </w:trPr>
        <w:tc>
          <w:tcPr>
            <w:tcW w:type="dxa" w:w="1134"/>
            <w:vAlign w:val="top"/>
            <w:tcMar>
              <w:top w:w="60" w:type="dxa"/>
              <w:left w:w="80" w:type="dxa"/>
              <w:bottom w:w="60" w:type="dxa"/>
              <w:right w:w="80" w:type="dxa"/>
            </w:tcMar>
          </w:tcPr>
          <w:p>
            <w:pPr>
              <w:spacing w:after="40"/>
            </w:pPr>
            <w:r>
              <w:rPr>
                <w:sz w:val="18"/>
              </w:rPr>
              <w:t>9</w:t>
            </w:r>
          </w:p>
        </w:tc>
        <w:tc>
          <w:tcPr>
            <w:tcW w:type="dxa" w:w="7937"/>
            <w:vAlign w:val="top"/>
            <w:tcMar>
              <w:top w:w="60" w:type="dxa"/>
              <w:left w:w="80" w:type="dxa"/>
              <w:bottom w:w="60" w:type="dxa"/>
              <w:right w:w="80" w:type="dxa"/>
            </w:tcMar>
          </w:tcPr>
          <w:p>
            <w:pPr>
              <w:spacing w:after="40"/>
            </w:pPr>
            <w:r>
              <w:rPr>
                <w:sz w:val="18"/>
              </w:rPr>
              <w:t>Hash-Deduplizierung und Bestandsprüfung</w:t>
            </w:r>
          </w:p>
        </w:tc>
      </w:tr>
      <w:tr>
        <w:trPr>
          <w:cantSplit/>
        </w:trPr>
        <w:tc>
          <w:tcPr>
            <w:tcW w:type="dxa" w:w="1134"/>
            <w:vAlign w:val="top"/>
            <w:shd w:fill="F4F7F8"/>
            <w:tcMar>
              <w:top w:w="60" w:type="dxa"/>
              <w:left w:w="80" w:type="dxa"/>
              <w:bottom w:w="60" w:type="dxa"/>
              <w:right w:w="80" w:type="dxa"/>
            </w:tcMar>
          </w:tcPr>
          <w:p>
            <w:pPr>
              <w:spacing w:after="40"/>
            </w:pPr>
            <w:r>
              <w:rPr>
                <w:sz w:val="18"/>
              </w:rPr>
              <w:t>10</w:t>
            </w:r>
          </w:p>
        </w:tc>
        <w:tc>
          <w:tcPr>
            <w:tcW w:type="dxa" w:w="7937"/>
            <w:vAlign w:val="top"/>
            <w:shd w:fill="F4F7F8"/>
            <w:tcMar>
              <w:top w:w="60" w:type="dxa"/>
              <w:left w:w="80" w:type="dxa"/>
              <w:bottom w:w="60" w:type="dxa"/>
              <w:right w:w="80" w:type="dxa"/>
            </w:tcMar>
          </w:tcPr>
          <w:p>
            <w:pPr>
              <w:spacing w:after="40"/>
            </w:pPr>
            <w:r>
              <w:rPr>
                <w:sz w:val="18"/>
              </w:rPr>
              <w:t>MIME-Parsing, HTML-Sicherheit und Darstellung</w:t>
            </w:r>
          </w:p>
        </w:tc>
      </w:tr>
      <w:tr>
        <w:trPr>
          <w:cantSplit/>
        </w:trPr>
        <w:tc>
          <w:tcPr>
            <w:tcW w:type="dxa" w:w="1134"/>
            <w:vAlign w:val="top"/>
            <w:tcMar>
              <w:top w:w="60" w:type="dxa"/>
              <w:left w:w="80" w:type="dxa"/>
              <w:bottom w:w="60" w:type="dxa"/>
              <w:right w:w="80" w:type="dxa"/>
            </w:tcMar>
          </w:tcPr>
          <w:p>
            <w:pPr>
              <w:spacing w:after="40"/>
            </w:pPr>
            <w:r>
              <w:rPr>
                <w:sz w:val="18"/>
              </w:rPr>
              <w:t>11</w:t>
            </w:r>
          </w:p>
        </w:tc>
        <w:tc>
          <w:tcPr>
            <w:tcW w:type="dxa" w:w="7937"/>
            <w:vAlign w:val="top"/>
            <w:tcMar>
              <w:top w:w="60" w:type="dxa"/>
              <w:left w:w="80" w:type="dxa"/>
              <w:bottom w:w="60" w:type="dxa"/>
              <w:right w:w="80" w:type="dxa"/>
            </w:tcMar>
          </w:tcPr>
          <w:p>
            <w:pPr>
              <w:spacing w:after="40"/>
            </w:pPr>
            <w:r>
              <w:rPr>
                <w:sz w:val="18"/>
              </w:rPr>
              <w:t>Lokales Warnsystem und Markenprofile</w:t>
            </w:r>
          </w:p>
        </w:tc>
      </w:tr>
      <w:tr>
        <w:trPr>
          <w:cantSplit/>
        </w:trPr>
        <w:tc>
          <w:tcPr>
            <w:tcW w:type="dxa" w:w="1134"/>
            <w:vAlign w:val="top"/>
            <w:shd w:fill="F4F7F8"/>
            <w:tcMar>
              <w:top w:w="60" w:type="dxa"/>
              <w:left w:w="80" w:type="dxa"/>
              <w:bottom w:w="60" w:type="dxa"/>
              <w:right w:w="80" w:type="dxa"/>
            </w:tcMar>
          </w:tcPr>
          <w:p>
            <w:pPr>
              <w:spacing w:after="40"/>
            </w:pPr>
            <w:r>
              <w:rPr>
                <w:sz w:val="18"/>
              </w:rPr>
              <w:t>12</w:t>
            </w:r>
          </w:p>
        </w:tc>
        <w:tc>
          <w:tcPr>
            <w:tcW w:type="dxa" w:w="7937"/>
            <w:vAlign w:val="top"/>
            <w:shd w:fill="F4F7F8"/>
            <w:tcMar>
              <w:top w:w="60" w:type="dxa"/>
              <w:left w:w="80" w:type="dxa"/>
              <w:bottom w:w="60" w:type="dxa"/>
              <w:right w:w="80" w:type="dxa"/>
            </w:tcMar>
          </w:tcPr>
          <w:p>
            <w:pPr>
              <w:spacing w:after="40"/>
            </w:pPr>
            <w:r>
              <w:rPr>
                <w:sz w:val="18"/>
              </w:rPr>
              <w:t>Verfassen, Outbox, SMTP und IMAP-Gesendet-Upload</w:t>
            </w:r>
          </w:p>
        </w:tc>
      </w:tr>
      <w:tr>
        <w:trPr>
          <w:cantSplit/>
        </w:trPr>
        <w:tc>
          <w:tcPr>
            <w:tcW w:type="dxa" w:w="1134"/>
            <w:vAlign w:val="top"/>
            <w:tcMar>
              <w:top w:w="60" w:type="dxa"/>
              <w:left w:w="80" w:type="dxa"/>
              <w:bottom w:w="60" w:type="dxa"/>
              <w:right w:w="80" w:type="dxa"/>
            </w:tcMar>
          </w:tcPr>
          <w:p>
            <w:pPr>
              <w:spacing w:after="40"/>
            </w:pPr>
            <w:r>
              <w:rPr>
                <w:sz w:val="18"/>
              </w:rPr>
              <w:t>13</w:t>
            </w:r>
          </w:p>
        </w:tc>
        <w:tc>
          <w:tcPr>
            <w:tcW w:type="dxa" w:w="7937"/>
            <w:vAlign w:val="top"/>
            <w:tcMar>
              <w:top w:w="60" w:type="dxa"/>
              <w:left w:w="80" w:type="dxa"/>
              <w:bottom w:w="60" w:type="dxa"/>
              <w:right w:w="80" w:type="dxa"/>
            </w:tcMar>
          </w:tcPr>
          <w:p>
            <w:pPr>
              <w:spacing w:after="40"/>
            </w:pPr>
            <w:r>
              <w:rPr>
                <w:sz w:val="18"/>
              </w:rPr>
              <w:t>Organisation, Suche, Regeln und Anhänge</w:t>
            </w:r>
          </w:p>
        </w:tc>
      </w:tr>
      <w:tr>
        <w:trPr>
          <w:cantSplit/>
        </w:trPr>
        <w:tc>
          <w:tcPr>
            <w:tcW w:type="dxa" w:w="1134"/>
            <w:vAlign w:val="top"/>
            <w:shd w:fill="F4F7F8"/>
            <w:tcMar>
              <w:top w:w="60" w:type="dxa"/>
              <w:left w:w="80" w:type="dxa"/>
              <w:bottom w:w="60" w:type="dxa"/>
              <w:right w:w="80" w:type="dxa"/>
            </w:tcMar>
          </w:tcPr>
          <w:p>
            <w:pPr>
              <w:spacing w:after="40"/>
            </w:pPr>
            <w:r>
              <w:rPr>
                <w:sz w:val="18"/>
              </w:rPr>
              <w:t>14</w:t>
            </w:r>
          </w:p>
        </w:tc>
        <w:tc>
          <w:tcPr>
            <w:tcW w:type="dxa" w:w="7937"/>
            <w:vAlign w:val="top"/>
            <w:shd w:fill="F4F7F8"/>
            <w:tcMar>
              <w:top w:w="60" w:type="dxa"/>
              <w:left w:w="80" w:type="dxa"/>
              <w:bottom w:w="60" w:type="dxa"/>
              <w:right w:w="80" w:type="dxa"/>
            </w:tcMar>
          </w:tcPr>
          <w:p>
            <w:pPr>
              <w:spacing w:after="40"/>
            </w:pPr>
            <w:r>
              <w:rPr>
                <w:sz w:val="18"/>
              </w:rPr>
              <w:t>Scientific Foundation und Message Laboratory</w:t>
            </w:r>
          </w:p>
        </w:tc>
      </w:tr>
      <w:tr>
        <w:trPr>
          <w:cantSplit/>
        </w:trPr>
        <w:tc>
          <w:tcPr>
            <w:tcW w:type="dxa" w:w="1134"/>
            <w:vAlign w:val="top"/>
            <w:tcMar>
              <w:top w:w="60" w:type="dxa"/>
              <w:left w:w="80" w:type="dxa"/>
              <w:bottom w:w="60" w:type="dxa"/>
              <w:right w:w="80" w:type="dxa"/>
            </w:tcMar>
          </w:tcPr>
          <w:p>
            <w:pPr>
              <w:spacing w:after="40"/>
            </w:pPr>
            <w:r>
              <w:rPr>
                <w:sz w:val="18"/>
              </w:rPr>
              <w:t>15</w:t>
            </w:r>
          </w:p>
        </w:tc>
        <w:tc>
          <w:tcPr>
            <w:tcW w:type="dxa" w:w="7937"/>
            <w:vAlign w:val="top"/>
            <w:tcMar>
              <w:top w:w="60" w:type="dxa"/>
              <w:left w:w="80" w:type="dxa"/>
              <w:bottom w:w="60" w:type="dxa"/>
              <w:right w:w="80" w:type="dxa"/>
            </w:tcMar>
          </w:tcPr>
          <w:p>
            <w:pPr>
              <w:spacing w:after="40"/>
            </w:pPr>
            <w:r>
              <w:rPr>
                <w:sz w:val="18"/>
              </w:rPr>
              <w:t>Extension Model und Plugin-Vorbereitung</w:t>
            </w:r>
          </w:p>
        </w:tc>
      </w:tr>
      <w:tr>
        <w:trPr>
          <w:cantSplit/>
        </w:trPr>
        <w:tc>
          <w:tcPr>
            <w:tcW w:type="dxa" w:w="1134"/>
            <w:vAlign w:val="top"/>
            <w:shd w:fill="F4F7F8"/>
            <w:tcMar>
              <w:top w:w="60" w:type="dxa"/>
              <w:left w:w="80" w:type="dxa"/>
              <w:bottom w:w="60" w:type="dxa"/>
              <w:right w:w="80" w:type="dxa"/>
            </w:tcMar>
          </w:tcPr>
          <w:p>
            <w:pPr>
              <w:spacing w:after="40"/>
            </w:pPr>
            <w:r>
              <w:rPr>
                <w:sz w:val="18"/>
              </w:rPr>
              <w:t>16</w:t>
            </w:r>
          </w:p>
        </w:tc>
        <w:tc>
          <w:tcPr>
            <w:tcW w:type="dxa" w:w="7937"/>
            <w:vAlign w:val="top"/>
            <w:shd w:fill="F4F7F8"/>
            <w:tcMar>
              <w:top w:w="60" w:type="dxa"/>
              <w:left w:w="80" w:type="dxa"/>
              <w:bottom w:w="60" w:type="dxa"/>
              <w:right w:w="80" w:type="dxa"/>
            </w:tcMar>
          </w:tcPr>
          <w:p>
            <w:pPr>
              <w:spacing w:after="40"/>
            </w:pPr>
            <w:r>
              <w:rPr>
                <w:sz w:val="18"/>
              </w:rPr>
              <w:t>Presentation Core und WinForms-Oberfläche</w:t>
            </w:r>
          </w:p>
        </w:tc>
      </w:tr>
      <w:tr>
        <w:trPr>
          <w:cantSplit/>
        </w:trPr>
        <w:tc>
          <w:tcPr>
            <w:tcW w:type="dxa" w:w="1134"/>
            <w:vAlign w:val="top"/>
            <w:tcMar>
              <w:top w:w="60" w:type="dxa"/>
              <w:left w:w="80" w:type="dxa"/>
              <w:bottom w:w="60" w:type="dxa"/>
              <w:right w:w="80" w:type="dxa"/>
            </w:tcMar>
          </w:tcPr>
          <w:p>
            <w:pPr>
              <w:spacing w:after="40"/>
            </w:pPr>
            <w:r>
              <w:rPr>
                <w:sz w:val="18"/>
              </w:rPr>
              <w:t>17</w:t>
            </w:r>
          </w:p>
        </w:tc>
        <w:tc>
          <w:tcPr>
            <w:tcW w:type="dxa" w:w="7937"/>
            <w:vAlign w:val="top"/>
            <w:tcMar>
              <w:top w:w="60" w:type="dxa"/>
              <w:left w:w="80" w:type="dxa"/>
              <w:bottom w:w="60" w:type="dxa"/>
              <w:right w:w="80" w:type="dxa"/>
            </w:tcMar>
          </w:tcPr>
          <w:p>
            <w:pPr>
              <w:spacing w:after="40"/>
            </w:pPr>
            <w:r>
              <w:rPr>
                <w:sz w:val="18"/>
              </w:rPr>
              <w:t>Logging, Diagnose, Backup und Wiederherstellung</w:t>
            </w:r>
          </w:p>
        </w:tc>
      </w:tr>
      <w:tr>
        <w:trPr>
          <w:cantSplit/>
        </w:trPr>
        <w:tc>
          <w:tcPr>
            <w:tcW w:type="dxa" w:w="1134"/>
            <w:vAlign w:val="top"/>
            <w:shd w:fill="F4F7F8"/>
            <w:tcMar>
              <w:top w:w="60" w:type="dxa"/>
              <w:left w:w="80" w:type="dxa"/>
              <w:bottom w:w="60" w:type="dxa"/>
              <w:right w:w="80" w:type="dxa"/>
            </w:tcMar>
          </w:tcPr>
          <w:p>
            <w:pPr>
              <w:spacing w:after="40"/>
            </w:pPr>
            <w:r>
              <w:rPr>
                <w:sz w:val="18"/>
              </w:rPr>
              <w:t>18</w:t>
            </w:r>
          </w:p>
        </w:tc>
        <w:tc>
          <w:tcPr>
            <w:tcW w:type="dxa" w:w="7937"/>
            <w:vAlign w:val="top"/>
            <w:shd w:fill="F4F7F8"/>
            <w:tcMar>
              <w:top w:w="60" w:type="dxa"/>
              <w:left w:w="80" w:type="dxa"/>
              <w:bottom w:w="60" w:type="dxa"/>
              <w:right w:w="80" w:type="dxa"/>
            </w:tcMar>
          </w:tcPr>
          <w:p>
            <w:pPr>
              <w:spacing w:after="40"/>
            </w:pPr>
            <w:r>
              <w:rPr>
                <w:sz w:val="18"/>
              </w:rPr>
              <w:t>Fehlerbehandlung, Wiederanlauf und Parallelität</w:t>
            </w:r>
          </w:p>
        </w:tc>
      </w:tr>
      <w:tr>
        <w:trPr>
          <w:cantSplit/>
        </w:trPr>
        <w:tc>
          <w:tcPr>
            <w:tcW w:type="dxa" w:w="1134"/>
            <w:vAlign w:val="top"/>
            <w:tcMar>
              <w:top w:w="60" w:type="dxa"/>
              <w:left w:w="80" w:type="dxa"/>
              <w:bottom w:w="60" w:type="dxa"/>
              <w:right w:w="80" w:type="dxa"/>
            </w:tcMar>
          </w:tcPr>
          <w:p>
            <w:pPr>
              <w:spacing w:after="40"/>
            </w:pPr>
            <w:r>
              <w:rPr>
                <w:sz w:val="18"/>
              </w:rPr>
              <w:t>19</w:t>
            </w:r>
          </w:p>
        </w:tc>
        <w:tc>
          <w:tcPr>
            <w:tcW w:type="dxa" w:w="7937"/>
            <w:vAlign w:val="top"/>
            <w:tcMar>
              <w:top w:w="60" w:type="dxa"/>
              <w:left w:w="80" w:type="dxa"/>
              <w:bottom w:w="60" w:type="dxa"/>
              <w:right w:w="80" w:type="dxa"/>
            </w:tcMar>
          </w:tcPr>
          <w:p>
            <w:pPr>
              <w:spacing w:after="40"/>
            </w:pPr>
            <w:r>
              <w:rPr>
                <w:sz w:val="18"/>
              </w:rPr>
              <w:t>Nichtfunktionale Umsetzung und Qualitätsziele</w:t>
            </w:r>
          </w:p>
        </w:tc>
      </w:tr>
      <w:tr>
        <w:trPr>
          <w:cantSplit/>
        </w:trPr>
        <w:tc>
          <w:tcPr>
            <w:tcW w:type="dxa" w:w="1134"/>
            <w:vAlign w:val="top"/>
            <w:shd w:fill="F4F7F8"/>
            <w:tcMar>
              <w:top w:w="60" w:type="dxa"/>
              <w:left w:w="80" w:type="dxa"/>
              <w:bottom w:w="60" w:type="dxa"/>
              <w:right w:w="80" w:type="dxa"/>
            </w:tcMar>
          </w:tcPr>
          <w:p>
            <w:pPr>
              <w:spacing w:after="40"/>
            </w:pPr>
            <w:r>
              <w:rPr>
                <w:sz w:val="18"/>
              </w:rPr>
              <w:t>20</w:t>
            </w:r>
          </w:p>
        </w:tc>
        <w:tc>
          <w:tcPr>
            <w:tcW w:type="dxa" w:w="7937"/>
            <w:vAlign w:val="top"/>
            <w:shd w:fill="F4F7F8"/>
            <w:tcMar>
              <w:top w:w="60" w:type="dxa"/>
              <w:left w:w="80" w:type="dxa"/>
              <w:bottom w:w="60" w:type="dxa"/>
              <w:right w:w="80" w:type="dxa"/>
            </w:tcMar>
          </w:tcPr>
          <w:p>
            <w:pPr>
              <w:spacing w:after="40"/>
            </w:pPr>
            <w:r>
              <w:rPr>
                <w:sz w:val="18"/>
              </w:rPr>
              <w:t>Teststrategie und Abnahme</w:t>
            </w:r>
          </w:p>
        </w:tc>
      </w:tr>
      <w:tr>
        <w:trPr>
          <w:cantSplit/>
        </w:trPr>
        <w:tc>
          <w:tcPr>
            <w:tcW w:type="dxa" w:w="1134"/>
            <w:vAlign w:val="top"/>
            <w:tcMar>
              <w:top w:w="60" w:type="dxa"/>
              <w:left w:w="80" w:type="dxa"/>
              <w:bottom w:w="60" w:type="dxa"/>
              <w:right w:w="80" w:type="dxa"/>
            </w:tcMar>
          </w:tcPr>
          <w:p>
            <w:pPr>
              <w:spacing w:after="40"/>
            </w:pPr>
            <w:r>
              <w:rPr>
                <w:sz w:val="18"/>
              </w:rPr>
              <w:t>21</w:t>
            </w:r>
          </w:p>
        </w:tc>
        <w:tc>
          <w:tcPr>
            <w:tcW w:type="dxa" w:w="7937"/>
            <w:vAlign w:val="top"/>
            <w:tcMar>
              <w:top w:w="60" w:type="dxa"/>
              <w:left w:w="80" w:type="dxa"/>
              <w:bottom w:w="60" w:type="dxa"/>
              <w:right w:w="80" w:type="dxa"/>
            </w:tcMar>
          </w:tcPr>
          <w:p>
            <w:pPr>
              <w:spacing w:after="40"/>
            </w:pPr>
            <w:r>
              <w:rPr>
                <w:sz w:val="18"/>
              </w:rPr>
              <w:t>Build, Deployment und Betrieb</w:t>
            </w:r>
          </w:p>
        </w:tc>
      </w:tr>
      <w:tr>
        <w:trPr>
          <w:cantSplit/>
        </w:trPr>
        <w:tc>
          <w:tcPr>
            <w:tcW w:type="dxa" w:w="1134"/>
            <w:vAlign w:val="top"/>
            <w:shd w:fill="F4F7F8"/>
            <w:tcMar>
              <w:top w:w="60" w:type="dxa"/>
              <w:left w:w="80" w:type="dxa"/>
              <w:bottom w:w="60" w:type="dxa"/>
              <w:right w:w="80" w:type="dxa"/>
            </w:tcMar>
          </w:tcPr>
          <w:p>
            <w:pPr>
              <w:spacing w:after="40"/>
            </w:pPr>
            <w:r>
              <w:rPr>
                <w:sz w:val="18"/>
              </w:rPr>
              <w:t>22</w:t>
            </w:r>
          </w:p>
        </w:tc>
        <w:tc>
          <w:tcPr>
            <w:tcW w:type="dxa" w:w="7937"/>
            <w:vAlign w:val="top"/>
            <w:shd w:fill="F4F7F8"/>
            <w:tcMar>
              <w:top w:w="60" w:type="dxa"/>
              <w:left w:w="80" w:type="dxa"/>
              <w:bottom w:w="60" w:type="dxa"/>
              <w:right w:w="80" w:type="dxa"/>
            </w:tcMar>
          </w:tcPr>
          <w:p>
            <w:pPr>
              <w:spacing w:after="40"/>
            </w:pPr>
            <w:r>
              <w:rPr>
                <w:sz w:val="18"/>
              </w:rPr>
              <w:t>Umsetzungsplan bis Version 1.0.0</w:t>
            </w:r>
          </w:p>
        </w:tc>
      </w:tr>
      <w:tr>
        <w:trPr>
          <w:cantSplit/>
        </w:trPr>
        <w:tc>
          <w:tcPr>
            <w:tcW w:type="dxa" w:w="1134"/>
            <w:vAlign w:val="top"/>
            <w:tcMar>
              <w:top w:w="60" w:type="dxa"/>
              <w:left w:w="80" w:type="dxa"/>
              <w:bottom w:w="60" w:type="dxa"/>
              <w:right w:w="80" w:type="dxa"/>
            </w:tcMar>
          </w:tcPr>
          <w:p>
            <w:pPr>
              <w:spacing w:after="40"/>
            </w:pPr>
            <w:r>
              <w:rPr>
                <w:sz w:val="18"/>
              </w:rPr>
              <w:t>23</w:t>
            </w:r>
          </w:p>
        </w:tc>
        <w:tc>
          <w:tcPr>
            <w:tcW w:type="dxa" w:w="7937"/>
            <w:vAlign w:val="top"/>
            <w:tcMar>
              <w:top w:w="60" w:type="dxa"/>
              <w:left w:w="80" w:type="dxa"/>
              <w:bottom w:w="60" w:type="dxa"/>
              <w:right w:w="80" w:type="dxa"/>
            </w:tcMar>
          </w:tcPr>
          <w:p>
            <w:pPr>
              <w:spacing w:after="40"/>
            </w:pPr>
            <w:r>
              <w:rPr>
                <w:sz w:val="18"/>
              </w:rPr>
              <w:t>Rückverfolgbarkeit aller Anforderungen</w:t>
            </w:r>
          </w:p>
        </w:tc>
      </w:tr>
      <w:tr>
        <w:trPr>
          <w:cantSplit/>
        </w:trPr>
        <w:tc>
          <w:tcPr>
            <w:tcW w:type="dxa" w:w="1134"/>
            <w:vAlign w:val="top"/>
            <w:shd w:fill="F4F7F8"/>
            <w:tcMar>
              <w:top w:w="60" w:type="dxa"/>
              <w:left w:w="80" w:type="dxa"/>
              <w:bottom w:w="60" w:type="dxa"/>
              <w:right w:w="80" w:type="dxa"/>
            </w:tcMar>
          </w:tcPr>
          <w:p>
            <w:pPr>
              <w:spacing w:after="40"/>
            </w:pPr>
            <w:r>
              <w:rPr>
                <w:sz w:val="18"/>
              </w:rPr>
              <w:t>A</w:t>
            </w:r>
          </w:p>
        </w:tc>
        <w:tc>
          <w:tcPr>
            <w:tcW w:type="dxa" w:w="7937"/>
            <w:vAlign w:val="top"/>
            <w:shd w:fill="F4F7F8"/>
            <w:tcMar>
              <w:top w:w="60" w:type="dxa"/>
              <w:left w:w="80" w:type="dxa"/>
              <w:bottom w:w="60" w:type="dxa"/>
              <w:right w:w="80" w:type="dxa"/>
            </w:tcMar>
          </w:tcPr>
          <w:p>
            <w:pPr>
              <w:spacing w:after="40"/>
            </w:pPr>
            <w:r>
              <w:rPr>
                <w:sz w:val="18"/>
              </w:rPr>
              <w:t>Datenbankschema</w:t>
            </w:r>
          </w:p>
        </w:tc>
      </w:tr>
      <w:tr>
        <w:trPr>
          <w:cantSplit/>
        </w:trPr>
        <w:tc>
          <w:tcPr>
            <w:tcW w:type="dxa" w:w="1134"/>
            <w:vAlign w:val="top"/>
            <w:tcMar>
              <w:top w:w="60" w:type="dxa"/>
              <w:left w:w="80" w:type="dxa"/>
              <w:bottom w:w="60" w:type="dxa"/>
              <w:right w:w="80" w:type="dxa"/>
            </w:tcMar>
          </w:tcPr>
          <w:p>
            <w:pPr>
              <w:spacing w:after="40"/>
            </w:pPr>
            <w:r>
              <w:rPr>
                <w:sz w:val="18"/>
              </w:rPr>
              <w:t>B</w:t>
            </w:r>
          </w:p>
        </w:tc>
        <w:tc>
          <w:tcPr>
            <w:tcW w:type="dxa" w:w="7937"/>
            <w:vAlign w:val="top"/>
            <w:tcMar>
              <w:top w:w="60" w:type="dxa"/>
              <w:left w:w="80" w:type="dxa"/>
              <w:bottom w:w="60" w:type="dxa"/>
              <w:right w:w="80" w:type="dxa"/>
            </w:tcMar>
          </w:tcPr>
          <w:p>
            <w:pPr>
              <w:spacing w:after="40"/>
            </w:pPr>
            <w:r>
              <w:rPr>
                <w:sz w:val="18"/>
              </w:rPr>
              <w:t>Schnittstellenkatalog</w:t>
            </w:r>
          </w:p>
        </w:tc>
      </w:tr>
      <w:tr>
        <w:trPr>
          <w:cantSplit/>
        </w:trPr>
        <w:tc>
          <w:tcPr>
            <w:tcW w:type="dxa" w:w="1134"/>
            <w:vAlign w:val="top"/>
            <w:shd w:fill="F4F7F8"/>
            <w:tcMar>
              <w:top w:w="60" w:type="dxa"/>
              <w:left w:w="80" w:type="dxa"/>
              <w:bottom w:w="60" w:type="dxa"/>
              <w:right w:w="80" w:type="dxa"/>
            </w:tcMar>
          </w:tcPr>
          <w:p>
            <w:pPr>
              <w:spacing w:after="40"/>
            </w:pPr>
            <w:r>
              <w:rPr>
                <w:sz w:val="18"/>
              </w:rPr>
              <w:t>C</w:t>
            </w:r>
          </w:p>
        </w:tc>
        <w:tc>
          <w:tcPr>
            <w:tcW w:type="dxa" w:w="7937"/>
            <w:vAlign w:val="top"/>
            <w:shd w:fill="F4F7F8"/>
            <w:tcMar>
              <w:top w:w="60" w:type="dxa"/>
              <w:left w:w="80" w:type="dxa"/>
              <w:bottom w:w="60" w:type="dxa"/>
              <w:right w:w="80" w:type="dxa"/>
            </w:tcMar>
          </w:tcPr>
          <w:p>
            <w:pPr>
              <w:spacing w:after="40"/>
            </w:pPr>
            <w:r>
              <w:rPr>
                <w:sz w:val="18"/>
              </w:rPr>
              <w:t>Glossar und technische Referenzen</w:t>
            </w:r>
          </w:p>
        </w:tc>
      </w:tr>
      <w:tr>
        <w:trPr>
          <w:cantSplit/>
        </w:trPr>
        <w:tc>
          <w:tcPr>
            <w:tcW w:type="dxa" w:w="1134"/>
            <w:vAlign w:val="top"/>
            <w:tcMar>
              <w:top w:w="60" w:type="dxa"/>
              <w:left w:w="80" w:type="dxa"/>
              <w:bottom w:w="60" w:type="dxa"/>
              <w:right w:w="80" w:type="dxa"/>
            </w:tcMar>
          </w:tcPr>
          <w:p>
            <w:pPr>
              <w:spacing w:after="40"/>
            </w:pPr>
            <w:r>
              <w:rPr>
                <w:sz w:val="18"/>
              </w:rPr>
              <w:t>D</w:t>
            </w:r>
          </w:p>
        </w:tc>
        <w:tc>
          <w:tcPr>
            <w:tcW w:type="dxa" w:w="7937"/>
            <w:vAlign w:val="top"/>
            <w:tcMar>
              <w:top w:w="60" w:type="dxa"/>
              <w:left w:w="80" w:type="dxa"/>
              <w:bottom w:w="60" w:type="dxa"/>
              <w:right w:w="80" w:type="dxa"/>
            </w:tcMar>
          </w:tcPr>
          <w:p>
            <w:pPr>
              <w:spacing w:after="40"/>
            </w:pPr>
            <w:r>
              <w:rPr>
                <w:sz w:val="18"/>
              </w:rPr>
              <w:t>Freigabe</w:t>
            </w:r>
          </w:p>
        </w:tc>
      </w:tr>
    </w:tbl>
    <w:p>
      <w:pPr>
        <w:keepLines/>
      </w:pP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F4F7F8"/>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Hinweis zum Inhaltsverzeichnis</w:t>
            </w:r>
            <w:r>
              <w:br/>
              <w:t>Die Word-Fassung verwendet eine statische, kontrollierte Kapitelübersicht. In Microsoft Word kann zusätzlich über Referenzen &gt; Inhaltsverzeichnis ein dynamisches Verzeichnis aus den Überschriften eingefügt oder aktualisiert werden.</w:t>
            </w:r>
          </w:p>
        </w:tc>
      </w:tr>
    </w:tbl>
    <w:p>
      <w:pPr>
        <w:keepLines/>
      </w:pPr>
    </w:p>
    <w:p>
      <w:pPr>
        <w:pStyle w:val="Heading1"/>
        <w:keepNext/>
        <w:keepLines/>
      </w:pPr>
      <w:r>
        <w:t>0. Management Summary</w:t>
      </w:r>
    </w:p>
    <w:p>
      <w:pPr>
        <w:pStyle w:val="BodyText"/>
        <w:keepLines/>
      </w:pPr>
      <w:r>
        <w:t>Dieses Pflichtenheft beschreibt die konkrete technische Realisierung des fachlich freigegebenen Lastenhefts für SASD Mail Workbench 1.0. Es ist zugleich Technical Design Document, Implementierungsrahmen und Rückverfolgbarkeitsbasis für Entwicklung, Test und Abnahme.</w:t>
      </w:r>
    </w:p>
    <w:p>
      <w:pPr>
        <w:pStyle w:val="BodyText"/>
        <w:keepLines/>
      </w:pPr>
      <w:r>
        <w:t>Der Client wird als Windows-Desktopanwendung mit austauschbarer WinForms-Oberfläche implementiert. Der fachliche Kern ist strikt von MailKit, SQLite und WinForms getrennt. Die erste Version verwendet POP3 für den Eingang, SMTP für den Versand und eine eng begrenzte IMAP-Funktion zum Hochladen versendeter Nachrichten in den serverseitigen Gesendet-Ordner.</w:t>
      </w:r>
    </w:p>
    <w:p>
      <w:pPr>
        <w:pStyle w:val="BodyText"/>
        <w:keepLines/>
      </w:pPr>
      <w:r>
        <w:t>Die besondere Vollständigkeitsfunktion „Alle Mails abrufen“ lädt jeden noch sichtbaren POP3-Eintrag erneut in einen temporären Stream, bildet einen SHA-256-Hash über die unveränderten Originalbytes und übernimmt nur bislang unbekannte Rohmails. Exakte Duplikate werden bereits vor der kanonischen Speicherung verworfen; bestehende lokale Originale und Servermails bleiben unangetastet.</w:t>
      </w:r>
    </w:p>
    <w:p>
      <w:pPr>
        <w:pStyle w:val="BodyText"/>
        <w:keepLines/>
      </w:pPr>
      <w:r>
        <w:t>Das lokale Warnsystem analysiert Header, Absenderidentitäten, Linktexte, tatsächliche Ziele, IDN/Punycode, Authentication-Results, Markenprofile und Anhänge. Es erzeugt erklärbare Einzelbefunde und Warnstufen, ohne eine nicht belegbare Sicherheitsgarantie auszugeben oder Mailinhalte standardmäßig an externe Dienste zu übertragen.</w:t>
      </w:r>
    </w:p>
    <w:p>
      <w:pPr>
        <w:pStyle w:val="BodyText"/>
        <w:keepLines/>
      </w:pPr>
      <w:r>
        <w:t>Die Scientific Foundation bewahrt Provenienz, Rohdatenhashes, Analyzer-Versionen und versionierte Analyseläufe. Das Message Laboratory zeigt Nachricht, Analyse, Rohdaten und Historie. Dadurch werden technische Untersuchungen reproduzierbar und später um Datensätze, Statistik und Berichte erweiterbar.</w:t>
      </w: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E8F1F5"/>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Abnahmeprinzip</w:t>
            </w:r>
            <w:r>
              <w:br/>
              <w:t>Version 1.0 ist nur abnahmefähig, wenn jede MUSS-Anforderung des Lastenhefts einer konkreten Komponente, einem gespeicherten Zustand und mindestens einem automatisierten oder dokumentierten Prüfverfahren zugeordnet ist. Diese Zuordnung befindet sich in Kapitel 23.</w:t>
            </w:r>
          </w:p>
        </w:tc>
      </w:tr>
    </w:tbl>
    <w:p>
      <w:pPr>
        <w:keepLines/>
      </w:pPr>
    </w:p>
    <w:p>
      <w:pPr>
        <w:pStyle w:val="Heading1"/>
        <w:keepNext/>
        <w:keepLines/>
      </w:pPr>
      <w:r>
        <w:t>1. Geltungsbereich, Annahmen und Abgrenzung</w:t>
      </w:r>
    </w:p>
    <w:p>
      <w:pPr>
        <w:pStyle w:val="Heading2"/>
        <w:keepNext/>
        <w:keepLines/>
      </w:pPr>
      <w:r>
        <w:t>1.1 Geltungsbereich</w:t>
      </w:r>
    </w:p>
    <w:p>
      <w:pPr>
        <w:pStyle w:val="ListBullet"/>
        <w:keepLines/>
      </w:pPr>
      <w:r>
        <w:t>Lokale Windows-Desktopanwendung für einen angemeldeten Benutzer und mehrere Mailkonten.</w:t>
      </w:r>
    </w:p>
    <w:p>
      <w:pPr>
        <w:pStyle w:val="ListBullet"/>
        <w:keepLines/>
      </w:pPr>
      <w:r>
        <w:t>POP3S für den Nachrichteneingang; SMTP mit TLS/STARTTLS für Versand; IMAPS ausschließlich für Ordnerermittlung und APPEND nach Gesendet.</w:t>
      </w:r>
    </w:p>
    <w:p>
      <w:pPr>
        <w:pStyle w:val="ListBullet"/>
        <w:keepLines/>
      </w:pPr>
      <w:r>
        <w:t>Lokale SQLite-Datenbank, lokale unveränderte EML-Rohdateien und geschützte Betriebssystemablage für Secrets.</w:t>
      </w:r>
    </w:p>
    <w:p>
      <w:pPr>
        <w:pStyle w:val="ListBullet"/>
        <w:keepLines/>
      </w:pPr>
      <w:r>
        <w:t>WinForms als erste UI-Technologie; fachliche und Präsentationslogik bleiben wiederverwendbar für spätere WPF- oder MAUI-Adapter.</w:t>
      </w:r>
    </w:p>
    <w:p>
      <w:pPr>
        <w:pStyle w:val="ListBullet"/>
        <w:keepLines/>
      </w:pPr>
      <w:r>
        <w:t>Lokale Analyse-, Warn- und Scientific-Funktionen ohne vorausgesetztes Herstellerkonto oder Cloudservice.</w:t>
      </w:r>
    </w:p>
    <w:p>
      <w:pPr>
        <w:pStyle w:val="Heading2"/>
        <w:keepNext/>
        <w:keepLines/>
      </w:pPr>
      <w:r>
        <w:t>1.2 Nicht Bestandteil von 1.0</w:t>
      </w:r>
    </w:p>
    <w:p>
      <w:pPr>
        <w:pStyle w:val="ListBullet"/>
        <w:keepLines/>
      </w:pPr>
      <w:r>
        <w:t>Vollständige IMAP-Synchronisation eingehender Ordner, Flags und Löschzustände.</w:t>
      </w:r>
    </w:p>
    <w:p>
      <w:pPr>
        <w:pStyle w:val="ListBullet"/>
        <w:keepLines/>
      </w:pPr>
      <w:r>
        <w:t>Exchange, Microsoft Graph, Gmail API, JMAP, CalDAV oder CardDAV.</w:t>
      </w:r>
    </w:p>
    <w:p>
      <w:pPr>
        <w:pStyle w:val="ListBullet"/>
        <w:keepLines/>
      </w:pPr>
      <w:r>
        <w:t>Kalender, gemeinsame Postfächer, Delegation und Groupware.</w:t>
      </w:r>
    </w:p>
    <w:p>
      <w:pPr>
        <w:pStyle w:val="ListBullet"/>
        <w:keepLines/>
      </w:pPr>
      <w:r>
        <w:t>Dynamisches Laden beliebiger Drittanbieter-DLLs oder ein Plugin-Marktplatz.</w:t>
      </w:r>
    </w:p>
    <w:p>
      <w:pPr>
        <w:pStyle w:val="ListBullet"/>
        <w:keepLines/>
      </w:pPr>
      <w:r>
        <w:t>Automatische Online-Reputation, Cloud-KI oder Upload von Mailinhalten und Anhängen.</w:t>
      </w:r>
    </w:p>
    <w:p>
      <w:pPr>
        <w:pStyle w:val="ListBullet"/>
        <w:keepLines/>
      </w:pPr>
      <w:r>
        <w:t>Garantierte Erkennung von Phishing, Malware oder legitimer Absenderidentität.</w:t>
      </w:r>
    </w:p>
    <w:p>
      <w:pPr>
        <w:pStyle w:val="Heading2"/>
        <w:keepNext/>
        <w:keepLines/>
      </w:pPr>
      <w:r>
        <w:t>1.3 Annahmen</w:t>
      </w:r>
    </w:p>
    <w:p>
      <w:pPr>
        <w:pStyle w:val="ListBullet"/>
        <w:keepLines/>
      </w:pPr>
      <w:r>
        <w:t>Der Mailserver unterstützt standardkonforme POP3-UIDL- und TLS-Funktionen; fehlende UIDL wird als eingeschränkter Betriebsmodus behandelt.</w:t>
      </w:r>
    </w:p>
    <w:p>
      <w:pPr>
        <w:pStyle w:val="ListBullet"/>
        <w:keepLines/>
      </w:pPr>
      <w:r>
        <w:t>Ein vollständiger POP3-Abruf kann nur Nachrichten finden, die noch auf dem Server sichtbar sind. Durch andere Clients bereits gelöschte Mails sind nicht rekonstruierbar.</w:t>
      </w:r>
    </w:p>
    <w:p>
      <w:pPr>
        <w:pStyle w:val="ListBullet"/>
        <w:keepLines/>
      </w:pPr>
      <w:r>
        <w:t>Der Nutzer besitzt gültige Zugangsdaten und gegebenenfalls ein App-Passwort; Providerfreischaltungen wie bei GMX sind außerhalb des Clients, werden aber diagnostisch erklärt.</w:t>
      </w:r>
    </w:p>
    <w:p>
      <w:pPr>
        <w:pStyle w:val="ListBullet"/>
        <w:keepLines/>
      </w:pPr>
      <w:r>
        <w:t>Die Anwendung verarbeitet vertrauliche Inhalte lokal und läuft unter dem Windows-Benutzerkonto des Anwenders.</w:t>
      </w:r>
    </w:p>
    <w:p>
      <w:pPr>
        <w:pStyle w:val="Heading1"/>
        <w:keepNext/>
        <w:keepLines/>
      </w:pPr>
      <w:r>
        <w:t>2. Technologie- und Architekturentscheidungen</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814"/>
            <w:shd w:fill="244A5A"/>
            <w:vAlign w:val="center"/>
            <w:tcMar>
              <w:top w:w="60" w:type="dxa"/>
              <w:left w:w="80" w:type="dxa"/>
              <w:bottom w:w="60" w:type="dxa"/>
              <w:right w:w="80" w:type="dxa"/>
            </w:tcMar>
          </w:tcPr>
          <w:p>
            <w:pPr>
              <w:jc w:val="center"/>
            </w:pPr>
            <w:r>
              <w:rPr>
                <w:b/>
                <w:color w:val="FFFFFF"/>
                <w:sz w:val="16"/>
              </w:rPr>
              <w:t>Entscheidung</w:t>
            </w:r>
          </w:p>
        </w:tc>
        <w:tc>
          <w:tcPr>
            <w:tcW w:type="dxa" w:w="2835"/>
            <w:shd w:fill="244A5A"/>
            <w:vAlign w:val="center"/>
            <w:tcMar>
              <w:top w:w="60" w:type="dxa"/>
              <w:left w:w="80" w:type="dxa"/>
              <w:bottom w:w="60" w:type="dxa"/>
              <w:right w:w="80" w:type="dxa"/>
            </w:tcMar>
          </w:tcPr>
          <w:p>
            <w:pPr>
              <w:jc w:val="center"/>
            </w:pPr>
            <w:r>
              <w:rPr>
                <w:b/>
                <w:color w:val="FFFFFF"/>
                <w:sz w:val="16"/>
              </w:rPr>
              <w:t>Festlegung</w:t>
            </w:r>
          </w:p>
        </w:tc>
        <w:tc>
          <w:tcPr>
            <w:tcW w:type="dxa" w:w="4649"/>
            <w:shd w:fill="244A5A"/>
            <w:vAlign w:val="center"/>
            <w:tcMar>
              <w:top w:w="60" w:type="dxa"/>
              <w:left w:w="80" w:type="dxa"/>
              <w:bottom w:w="60" w:type="dxa"/>
              <w:right w:w="80" w:type="dxa"/>
            </w:tcMar>
          </w:tcPr>
          <w:p>
            <w:pPr>
              <w:jc w:val="center"/>
            </w:pPr>
            <w:r>
              <w:rPr>
                <w:b/>
                <w:color w:val="FFFFFF"/>
                <w:sz w:val="16"/>
              </w:rPr>
              <w:t>Begründung</w:t>
            </w:r>
          </w:p>
        </w:tc>
      </w:tr>
      <w:tr>
        <w:trPr>
          <w:cantSplit/>
        </w:trPr>
        <w:tc>
          <w:tcPr>
            <w:tcW w:type="dxa" w:w="1814"/>
            <w:vAlign w:val="top"/>
            <w:shd w:fill="F4F7F8"/>
            <w:tcMar>
              <w:top w:w="60" w:type="dxa"/>
              <w:left w:w="80" w:type="dxa"/>
              <w:bottom w:w="60" w:type="dxa"/>
              <w:right w:w="80" w:type="dxa"/>
            </w:tcMar>
          </w:tcPr>
          <w:p>
            <w:pPr>
              <w:spacing w:after="40"/>
            </w:pPr>
            <w:r>
              <w:rPr>
                <w:sz w:val="16"/>
              </w:rPr>
              <w:t>Programmiersprache</w:t>
            </w:r>
          </w:p>
        </w:tc>
        <w:tc>
          <w:tcPr>
            <w:tcW w:type="dxa" w:w="2835"/>
            <w:vAlign w:val="top"/>
            <w:shd w:fill="F4F7F8"/>
            <w:tcMar>
              <w:top w:w="60" w:type="dxa"/>
              <w:left w:w="80" w:type="dxa"/>
              <w:bottom w:w="60" w:type="dxa"/>
              <w:right w:w="80" w:type="dxa"/>
            </w:tcMar>
          </w:tcPr>
          <w:p>
            <w:pPr>
              <w:spacing w:after="40"/>
            </w:pPr>
            <w:r>
              <w:rPr>
                <w:sz w:val="16"/>
              </w:rPr>
              <w:t>C# 14</w:t>
            </w:r>
          </w:p>
        </w:tc>
        <w:tc>
          <w:tcPr>
            <w:tcW w:type="dxa" w:w="4649"/>
            <w:vAlign w:val="top"/>
            <w:shd w:fill="F4F7F8"/>
            <w:tcMar>
              <w:top w:w="60" w:type="dxa"/>
              <w:left w:w="80" w:type="dxa"/>
              <w:bottom w:w="60" w:type="dxa"/>
              <w:right w:w="80" w:type="dxa"/>
            </w:tcMar>
          </w:tcPr>
          <w:p>
            <w:pPr>
              <w:spacing w:after="40"/>
            </w:pPr>
            <w:r>
              <w:rPr>
                <w:sz w:val="16"/>
              </w:rPr>
              <w:t>Starke Typisierung, asynchrone APIs, gute Windows- und Testunterstützung.</w:t>
            </w:r>
          </w:p>
        </w:tc>
      </w:tr>
      <w:tr>
        <w:trPr>
          <w:cantSplit/>
        </w:trPr>
        <w:tc>
          <w:tcPr>
            <w:tcW w:type="dxa" w:w="1814"/>
            <w:vAlign w:val="top"/>
            <w:tcMar>
              <w:top w:w="60" w:type="dxa"/>
              <w:left w:w="80" w:type="dxa"/>
              <w:bottom w:w="60" w:type="dxa"/>
              <w:right w:w="80" w:type="dxa"/>
            </w:tcMar>
          </w:tcPr>
          <w:p>
            <w:pPr>
              <w:spacing w:after="40"/>
            </w:pPr>
            <w:r>
              <w:rPr>
                <w:sz w:val="16"/>
              </w:rPr>
              <w:t>Runtime</w:t>
            </w:r>
          </w:p>
        </w:tc>
        <w:tc>
          <w:tcPr>
            <w:tcW w:type="dxa" w:w="2835"/>
            <w:vAlign w:val="top"/>
            <w:tcMar>
              <w:top w:w="60" w:type="dxa"/>
              <w:left w:w="80" w:type="dxa"/>
              <w:bottom w:w="60" w:type="dxa"/>
              <w:right w:w="80" w:type="dxa"/>
            </w:tcMar>
          </w:tcPr>
          <w:p>
            <w:r>
              <w:t>.NET 8 für 0.3.1/0.4.0; .NET 10 LTS vor Version 1.0</w:t>
            </w:r>
          </w:p>
        </w:tc>
        <w:tc>
          <w:tcPr>
            <w:tcW w:type="dxa" w:w="4649"/>
            <w:vAlign w:val="top"/>
            <w:tcMar>
              <w:top w:w="60" w:type="dxa"/>
              <w:left w:w="80" w:type="dxa"/>
              <w:bottom w:w="60" w:type="dxa"/>
              <w:right w:w="80" w:type="dxa"/>
            </w:tcMar>
          </w:tcPr>
          <w:p>
            <w:r>
              <w:t>Visual Studio 2022 bleibt zunächst nutzbar. Die Migration ist wegen des Supportendes von .NET 8 ein verbindliches Release-Gate.</w:t>
            </w:r>
          </w:p>
        </w:tc>
      </w:tr>
      <w:tr>
        <w:trPr>
          <w:cantSplit/>
        </w:trPr>
        <w:tc>
          <w:tcPr>
            <w:tcW w:type="dxa" w:w="1814"/>
            <w:vAlign w:val="top"/>
            <w:shd w:fill="F4F7F8"/>
            <w:tcMar>
              <w:top w:w="60" w:type="dxa"/>
              <w:left w:w="80" w:type="dxa"/>
              <w:bottom w:w="60" w:type="dxa"/>
              <w:right w:w="80" w:type="dxa"/>
            </w:tcMar>
          </w:tcPr>
          <w:p>
            <w:pPr>
              <w:spacing w:after="40"/>
            </w:pPr>
            <w:r>
              <w:rPr>
                <w:sz w:val="16"/>
              </w:rPr>
              <w:t>Desktop UI</w:t>
            </w:r>
          </w:p>
        </w:tc>
        <w:tc>
          <w:tcPr>
            <w:tcW w:type="dxa" w:w="2835"/>
            <w:vAlign w:val="top"/>
            <w:shd w:fill="F4F7F8"/>
            <w:tcMar>
              <w:top w:w="60" w:type="dxa"/>
              <w:left w:w="80" w:type="dxa"/>
              <w:bottom w:w="60" w:type="dxa"/>
              <w:right w:w="80" w:type="dxa"/>
            </w:tcMar>
          </w:tcPr>
          <w:p>
            <w:pPr>
              <w:spacing w:after="40"/>
            </w:pPr>
            <w:r>
              <w:rPr>
                <w:sz w:val="16"/>
              </w:rPr>
              <w:t>Windows Forms auf net10.0-windows</w:t>
            </w:r>
          </w:p>
        </w:tc>
        <w:tc>
          <w:tcPr>
            <w:tcW w:type="dxa" w:w="4649"/>
            <w:vAlign w:val="top"/>
            <w:shd w:fill="F4F7F8"/>
            <w:tcMar>
              <w:top w:w="60" w:type="dxa"/>
              <w:left w:w="80" w:type="dxa"/>
              <w:bottom w:w="60" w:type="dxa"/>
              <w:right w:w="80" w:type="dxa"/>
            </w:tcMar>
          </w:tcPr>
          <w:p>
            <w:pPr>
              <w:spacing w:after="40"/>
            </w:pPr>
            <w:r>
              <w:rPr>
                <w:sz w:val="16"/>
              </w:rPr>
              <w:t>Schneller, stabiler visueller Start; UI bleibt austauschbarer Adapter.</w:t>
            </w:r>
          </w:p>
        </w:tc>
      </w:tr>
      <w:tr>
        <w:trPr>
          <w:cantSplit/>
        </w:trPr>
        <w:tc>
          <w:tcPr>
            <w:tcW w:type="dxa" w:w="1814"/>
            <w:vAlign w:val="top"/>
            <w:tcMar>
              <w:top w:w="60" w:type="dxa"/>
              <w:left w:w="80" w:type="dxa"/>
              <w:bottom w:w="60" w:type="dxa"/>
              <w:right w:w="80" w:type="dxa"/>
            </w:tcMar>
          </w:tcPr>
          <w:p>
            <w:pPr>
              <w:spacing w:after="40"/>
            </w:pPr>
            <w:r>
              <w:rPr>
                <w:sz w:val="16"/>
              </w:rPr>
              <w:t>Mailbibliothek</w:t>
            </w:r>
          </w:p>
        </w:tc>
        <w:tc>
          <w:tcPr>
            <w:tcW w:type="dxa" w:w="2835"/>
            <w:vAlign w:val="top"/>
            <w:tcMar>
              <w:top w:w="60" w:type="dxa"/>
              <w:left w:w="80" w:type="dxa"/>
              <w:bottom w:w="60" w:type="dxa"/>
              <w:right w:w="80" w:type="dxa"/>
            </w:tcMar>
          </w:tcPr>
          <w:p>
            <w:pPr>
              <w:spacing w:after="40"/>
            </w:pPr>
            <w:r>
              <w:rPr>
                <w:sz w:val="16"/>
              </w:rPr>
              <w:t>MailKit/MimeKit 4.x, zentral gepinnt</w:t>
            </w:r>
          </w:p>
        </w:tc>
        <w:tc>
          <w:tcPr>
            <w:tcW w:type="dxa" w:w="4649"/>
            <w:vAlign w:val="top"/>
            <w:tcMar>
              <w:top w:w="60" w:type="dxa"/>
              <w:left w:w="80" w:type="dxa"/>
              <w:bottom w:w="60" w:type="dxa"/>
              <w:right w:w="80" w:type="dxa"/>
            </w:tcMar>
          </w:tcPr>
          <w:p>
            <w:pPr>
              <w:spacing w:after="40"/>
            </w:pPr>
            <w:r>
              <w:rPr>
                <w:sz w:val="16"/>
              </w:rPr>
              <w:t>POP3, SMTP, IMAP und MIME in einer gepflegten Bibliothek; alle Typen werden hinter Adaptern gekapselt.</w:t>
            </w:r>
          </w:p>
        </w:tc>
      </w:tr>
      <w:tr>
        <w:trPr>
          <w:cantSplit/>
        </w:trPr>
        <w:tc>
          <w:tcPr>
            <w:tcW w:type="dxa" w:w="1814"/>
            <w:vAlign w:val="top"/>
            <w:shd w:fill="F4F7F8"/>
            <w:tcMar>
              <w:top w:w="60" w:type="dxa"/>
              <w:left w:w="80" w:type="dxa"/>
              <w:bottom w:w="60" w:type="dxa"/>
              <w:right w:w="80" w:type="dxa"/>
            </w:tcMar>
          </w:tcPr>
          <w:p>
            <w:pPr>
              <w:spacing w:after="40"/>
            </w:pPr>
            <w:r>
              <w:rPr>
                <w:sz w:val="16"/>
              </w:rPr>
              <w:t>Persistenz</w:t>
            </w:r>
          </w:p>
        </w:tc>
        <w:tc>
          <w:tcPr>
            <w:tcW w:type="dxa" w:w="2835"/>
            <w:vAlign w:val="top"/>
            <w:shd w:fill="F4F7F8"/>
            <w:tcMar>
              <w:top w:w="60" w:type="dxa"/>
              <w:left w:w="80" w:type="dxa"/>
              <w:bottom w:w="60" w:type="dxa"/>
              <w:right w:w="80" w:type="dxa"/>
            </w:tcMar>
          </w:tcPr>
          <w:p>
            <w:pPr>
              <w:spacing w:after="40"/>
            </w:pPr>
            <w:r>
              <w:rPr>
                <w:sz w:val="16"/>
              </w:rPr>
              <w:t>Microsoft.Data.Sqlite 10.x + SQLite FTS5</w:t>
            </w:r>
          </w:p>
        </w:tc>
        <w:tc>
          <w:tcPr>
            <w:tcW w:type="dxa" w:w="4649"/>
            <w:vAlign w:val="top"/>
            <w:shd w:fill="F4F7F8"/>
            <w:tcMar>
              <w:top w:w="60" w:type="dxa"/>
              <w:left w:w="80" w:type="dxa"/>
              <w:bottom w:w="60" w:type="dxa"/>
              <w:right w:w="80" w:type="dxa"/>
            </w:tcMar>
          </w:tcPr>
          <w:p>
            <w:pPr>
              <w:spacing w:after="40"/>
            </w:pPr>
            <w:r>
              <w:rPr>
                <w:sz w:val="16"/>
              </w:rPr>
              <w:t>Lokale, portable, transaktionale Datenbank; FTS5 für Volltextsuche.</w:t>
            </w:r>
          </w:p>
        </w:tc>
      </w:tr>
      <w:tr>
        <w:trPr>
          <w:cantSplit/>
        </w:trPr>
        <w:tc>
          <w:tcPr>
            <w:tcW w:type="dxa" w:w="1814"/>
            <w:vAlign w:val="top"/>
            <w:tcMar>
              <w:top w:w="60" w:type="dxa"/>
              <w:left w:w="80" w:type="dxa"/>
              <w:bottom w:w="60" w:type="dxa"/>
              <w:right w:w="80" w:type="dxa"/>
            </w:tcMar>
          </w:tcPr>
          <w:p>
            <w:pPr>
              <w:spacing w:after="40"/>
            </w:pPr>
            <w:r>
              <w:rPr>
                <w:sz w:val="16"/>
              </w:rPr>
              <w:t>Rohdaten</w:t>
            </w:r>
          </w:p>
        </w:tc>
        <w:tc>
          <w:tcPr>
            <w:tcW w:type="dxa" w:w="2835"/>
            <w:vAlign w:val="top"/>
            <w:tcMar>
              <w:top w:w="60" w:type="dxa"/>
              <w:left w:w="80" w:type="dxa"/>
              <w:bottom w:w="60" w:type="dxa"/>
              <w:right w:w="80" w:type="dxa"/>
            </w:tcMar>
          </w:tcPr>
          <w:p>
            <w:pPr>
              <w:spacing w:after="40"/>
            </w:pPr>
            <w:r>
              <w:rPr>
                <w:sz w:val="16"/>
              </w:rPr>
              <w:t>Dateisystembasierter EML-Store</w:t>
            </w:r>
          </w:p>
        </w:tc>
        <w:tc>
          <w:tcPr>
            <w:tcW w:type="dxa" w:w="4649"/>
            <w:vAlign w:val="top"/>
            <w:tcMar>
              <w:top w:w="60" w:type="dxa"/>
              <w:left w:w="80" w:type="dxa"/>
              <w:bottom w:w="60" w:type="dxa"/>
              <w:right w:w="80" w:type="dxa"/>
            </w:tcMar>
          </w:tcPr>
          <w:p>
            <w:pPr>
              <w:spacing w:after="40"/>
            </w:pPr>
            <w:r>
              <w:rPr>
                <w:sz w:val="16"/>
              </w:rPr>
              <w:t>Bytegenaue Originale, streambare Verarbeitung, einfache Integritätsprüfung und Backup.</w:t>
            </w:r>
          </w:p>
        </w:tc>
      </w:tr>
      <w:tr>
        <w:trPr>
          <w:cantSplit/>
        </w:trPr>
        <w:tc>
          <w:tcPr>
            <w:tcW w:type="dxa" w:w="1814"/>
            <w:vAlign w:val="top"/>
            <w:shd w:fill="F4F7F8"/>
            <w:tcMar>
              <w:top w:w="60" w:type="dxa"/>
              <w:left w:w="80" w:type="dxa"/>
              <w:bottom w:w="60" w:type="dxa"/>
              <w:right w:w="80" w:type="dxa"/>
            </w:tcMar>
          </w:tcPr>
          <w:p>
            <w:pPr>
              <w:spacing w:after="40"/>
            </w:pPr>
            <w:r>
              <w:rPr>
                <w:sz w:val="16"/>
              </w:rPr>
              <w:t>Dependency Injection</w:t>
            </w:r>
          </w:p>
        </w:tc>
        <w:tc>
          <w:tcPr>
            <w:tcW w:type="dxa" w:w="2835"/>
            <w:vAlign w:val="top"/>
            <w:shd w:fill="F4F7F8"/>
            <w:tcMar>
              <w:top w:w="60" w:type="dxa"/>
              <w:left w:w="80" w:type="dxa"/>
              <w:bottom w:w="60" w:type="dxa"/>
              <w:right w:w="80" w:type="dxa"/>
            </w:tcMar>
          </w:tcPr>
          <w:p>
            <w:pPr>
              <w:spacing w:after="40"/>
            </w:pPr>
            <w:r>
              <w:rPr>
                <w:sz w:val="16"/>
              </w:rPr>
              <w:t>Microsoft.Extensions.DependencyInjection</w:t>
            </w:r>
          </w:p>
        </w:tc>
        <w:tc>
          <w:tcPr>
            <w:tcW w:type="dxa" w:w="4649"/>
            <w:vAlign w:val="top"/>
            <w:shd w:fill="F4F7F8"/>
            <w:tcMar>
              <w:top w:w="60" w:type="dxa"/>
              <w:left w:w="80" w:type="dxa"/>
              <w:bottom w:w="60" w:type="dxa"/>
              <w:right w:w="80" w:type="dxa"/>
            </w:tcMar>
          </w:tcPr>
          <w:p>
            <w:pPr>
              <w:spacing w:after="40"/>
            </w:pPr>
            <w:r>
              <w:rPr>
                <w:sz w:val="16"/>
              </w:rPr>
              <w:t>Klare Composition Root, austauschbare Implementierungen und testbare Use Cases.</w:t>
            </w:r>
          </w:p>
        </w:tc>
      </w:tr>
      <w:tr>
        <w:trPr>
          <w:cantSplit/>
        </w:trPr>
        <w:tc>
          <w:tcPr>
            <w:tcW w:type="dxa" w:w="1814"/>
            <w:vAlign w:val="top"/>
            <w:tcMar>
              <w:top w:w="60" w:type="dxa"/>
              <w:left w:w="80" w:type="dxa"/>
              <w:bottom w:w="60" w:type="dxa"/>
              <w:right w:w="80" w:type="dxa"/>
            </w:tcMar>
          </w:tcPr>
          <w:p>
            <w:pPr>
              <w:spacing w:after="40"/>
            </w:pPr>
            <w:r>
              <w:rPr>
                <w:sz w:val="16"/>
              </w:rPr>
              <w:t>Logging</w:t>
            </w:r>
          </w:p>
        </w:tc>
        <w:tc>
          <w:tcPr>
            <w:tcW w:type="dxa" w:w="2835"/>
            <w:vAlign w:val="top"/>
            <w:tcMar>
              <w:top w:w="60" w:type="dxa"/>
              <w:left w:w="80" w:type="dxa"/>
              <w:bottom w:w="60" w:type="dxa"/>
              <w:right w:w="80" w:type="dxa"/>
            </w:tcMar>
          </w:tcPr>
          <w:p>
            <w:pPr>
              <w:spacing w:after="40"/>
            </w:pPr>
            <w:r>
              <w:rPr>
                <w:sz w:val="16"/>
              </w:rPr>
              <w:t>Microsoft.Extensions.Logging mit strukturierten Properties</w:t>
            </w:r>
          </w:p>
        </w:tc>
        <w:tc>
          <w:tcPr>
            <w:tcW w:type="dxa" w:w="4649"/>
            <w:vAlign w:val="top"/>
            <w:tcMar>
              <w:top w:w="60" w:type="dxa"/>
              <w:left w:w="80" w:type="dxa"/>
              <w:bottom w:w="60" w:type="dxa"/>
              <w:right w:w="80" w:type="dxa"/>
            </w:tcMar>
          </w:tcPr>
          <w:p>
            <w:pPr>
              <w:spacing w:after="40"/>
            </w:pPr>
            <w:r>
              <w:rPr>
                <w:sz w:val="16"/>
              </w:rPr>
              <w:t>Korrelation, Maskierung und flexible lokale Provider.</w:t>
            </w:r>
          </w:p>
        </w:tc>
      </w:tr>
      <w:tr>
        <w:trPr>
          <w:cantSplit/>
        </w:trPr>
        <w:tc>
          <w:tcPr>
            <w:tcW w:type="dxa" w:w="1814"/>
            <w:vAlign w:val="top"/>
            <w:shd w:fill="F4F7F8"/>
            <w:tcMar>
              <w:top w:w="60" w:type="dxa"/>
              <w:left w:w="80" w:type="dxa"/>
              <w:bottom w:w="60" w:type="dxa"/>
              <w:right w:w="80" w:type="dxa"/>
            </w:tcMar>
          </w:tcPr>
          <w:p>
            <w:pPr>
              <w:spacing w:after="40"/>
            </w:pPr>
            <w:r>
              <w:rPr>
                <w:sz w:val="16"/>
              </w:rPr>
              <w:t>Tests</w:t>
            </w:r>
          </w:p>
        </w:tc>
        <w:tc>
          <w:tcPr>
            <w:tcW w:type="dxa" w:w="2835"/>
            <w:vAlign w:val="top"/>
            <w:shd w:fill="F4F7F8"/>
            <w:tcMar>
              <w:top w:w="60" w:type="dxa"/>
              <w:left w:w="80" w:type="dxa"/>
              <w:bottom w:w="60" w:type="dxa"/>
              <w:right w:w="80" w:type="dxa"/>
            </w:tcMar>
          </w:tcPr>
          <w:p>
            <w:pPr>
              <w:spacing w:after="40"/>
            </w:pPr>
            <w:r>
              <w:rPr>
                <w:sz w:val="16"/>
              </w:rPr>
              <w:t>NUnit + kontrollierte Integrationsadapter + Architekturtests</w:t>
            </w:r>
          </w:p>
        </w:tc>
        <w:tc>
          <w:tcPr>
            <w:tcW w:type="dxa" w:w="4649"/>
            <w:vAlign w:val="top"/>
            <w:shd w:fill="F4F7F8"/>
            <w:tcMar>
              <w:top w:w="60" w:type="dxa"/>
              <w:left w:w="80" w:type="dxa"/>
              <w:bottom w:w="60" w:type="dxa"/>
              <w:right w:w="80" w:type="dxa"/>
            </w:tcMar>
          </w:tcPr>
          <w:p>
            <w:pPr>
              <w:spacing w:after="40"/>
            </w:pPr>
            <w:r>
              <w:rPr>
                <w:sz w:val="16"/>
              </w:rPr>
              <w:t>Gute Visual-Studio-Integration und klare Trennung von Unit-, Integrations- und Abnahmetests.</w:t>
            </w:r>
          </w:p>
        </w:tc>
      </w:tr>
      <w:tr>
        <w:trPr>
          <w:cantSplit/>
        </w:trPr>
        <w:tc>
          <w:tcPr>
            <w:tcW w:type="dxa" w:w="1814"/>
            <w:vAlign w:val="top"/>
            <w:tcMar>
              <w:top w:w="60" w:type="dxa"/>
              <w:left w:w="80" w:type="dxa"/>
              <w:bottom w:w="60" w:type="dxa"/>
              <w:right w:w="80" w:type="dxa"/>
            </w:tcMar>
          </w:tcPr>
          <w:p>
            <w:pPr>
              <w:spacing w:after="40"/>
            </w:pPr>
            <w:r>
              <w:rPr>
                <w:sz w:val="16"/>
              </w:rPr>
              <w:t>Paketverwaltung</w:t>
            </w:r>
          </w:p>
        </w:tc>
        <w:tc>
          <w:tcPr>
            <w:tcW w:type="dxa" w:w="2835"/>
            <w:vAlign w:val="top"/>
            <w:tcMar>
              <w:top w:w="60" w:type="dxa"/>
              <w:left w:w="80" w:type="dxa"/>
              <w:bottom w:w="60" w:type="dxa"/>
              <w:right w:w="80" w:type="dxa"/>
            </w:tcMar>
          </w:tcPr>
          <w:p>
            <w:pPr>
              <w:spacing w:after="40"/>
            </w:pPr>
            <w:r>
              <w:rPr>
                <w:sz w:val="16"/>
              </w:rPr>
              <w:t>Central Package Management über Directory.Packages.props</w:t>
            </w:r>
          </w:p>
        </w:tc>
        <w:tc>
          <w:tcPr>
            <w:tcW w:type="dxa" w:w="4649"/>
            <w:vAlign w:val="top"/>
            <w:tcMar>
              <w:top w:w="60" w:type="dxa"/>
              <w:left w:w="80" w:type="dxa"/>
              <w:bottom w:w="60" w:type="dxa"/>
              <w:right w:w="80" w:type="dxa"/>
            </w:tcMar>
          </w:tcPr>
          <w:p>
            <w:pPr>
              <w:spacing w:after="40"/>
            </w:pPr>
            <w:r>
              <w:rPr>
                <w:sz w:val="16"/>
              </w:rPr>
              <w:t>Reproduzierbare, zentral sichtbare Abhängigkeitsversionen.</w:t>
            </w:r>
          </w:p>
        </w:tc>
      </w:tr>
    </w:tbl>
    <w:p>
      <w:pPr>
        <w:keepLines/>
      </w:pPr>
    </w:p>
    <w:p>
      <w:pPr>
        <w:pStyle w:val="Heading2"/>
        <w:keepNext/>
        <w:keepLines/>
      </w:pPr>
      <w:r>
        <w:t>2.1 Architekturprinzipien</w:t>
      </w:r>
    </w:p>
    <w:p>
      <w:pPr>
        <w:pStyle w:val="ListNumber"/>
        <w:keepLines/>
      </w:pPr>
      <w:r>
        <w:t>Abhängigkeiten zeigen nach innen: Domain kennt keine technischen Frameworks; Application kennt nur Ports und Verträge.</w:t>
      </w:r>
    </w:p>
    <w:p>
      <w:pPr>
        <w:pStyle w:val="ListNumber"/>
        <w:keepLines/>
      </w:pPr>
      <w:r>
        <w:t>MailKit-, SQLite- und WinForms-Typen verlassen ihre jeweiligen Adapterprojekte nicht.</w:t>
      </w:r>
    </w:p>
    <w:p>
      <w:pPr>
        <w:pStyle w:val="ListNumber"/>
        <w:keepLines/>
      </w:pPr>
      <w:r>
        <w:t>Rohmails sind unveränderliche Quelldaten; Parsing, Normalisierung und Analyse erzeugen getrennte, versionierte Ableitungen.</w:t>
      </w:r>
    </w:p>
    <w:p>
      <w:pPr>
        <w:pStyle w:val="ListNumber"/>
        <w:keepLines/>
      </w:pPr>
      <w:r>
        <w:t>Jeder lange oder wiederholbare Ablauf ist abbrechbar, idempotent und besitzt explizite Zustände.</w:t>
      </w:r>
    </w:p>
    <w:p>
      <w:pPr>
        <w:pStyle w:val="ListNumber"/>
        <w:keepLines/>
      </w:pPr>
      <w:r>
        <w:t>Sicherheitsentscheidungen sind lokal, erklärbar und protokollierbar; unsichere Standardwerte sind verboten.</w:t>
      </w:r>
    </w:p>
    <w:p>
      <w:pPr>
        <w:pStyle w:val="ListNumber"/>
        <w:keepLines/>
      </w:pPr>
      <w:r>
        <w:t>Kernmodule verwenden bereits die späteren Extension-Verträge, obwohl Version 1 keine fremden DLLs dynamisch lädt.</w:t>
      </w:r>
    </w:p>
    <w:p>
      <w:pPr>
        <w:pStyle w:val="ListNumber"/>
        <w:keepLines/>
      </w:pPr>
      <w:r>
        <w:t>WinForms enthält nur Darstellung und Interaktion; Eventhandler delegieren sofort an Presentation Core oder Application.</w:t>
      </w:r>
    </w:p>
    <w:p>
      <w:pPr>
        <w:pStyle w:val="Heading2"/>
        <w:keepNext/>
        <w:keepLines/>
      </w:pPr>
      <w:r>
        <w:t>2.2 Architecture Decision Records</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247"/>
            <w:shd w:fill="244A5A"/>
            <w:vAlign w:val="center"/>
            <w:tcMar>
              <w:top w:w="60" w:type="dxa"/>
              <w:left w:w="80" w:type="dxa"/>
              <w:bottom w:w="60" w:type="dxa"/>
              <w:right w:w="80" w:type="dxa"/>
            </w:tcMar>
          </w:tcPr>
          <w:p>
            <w:pPr>
              <w:jc w:val="center"/>
            </w:pPr>
            <w:r>
              <w:rPr>
                <w:b/>
                <w:color w:val="FFFFFF"/>
                <w:sz w:val="17"/>
              </w:rPr>
              <w:t>ADR</w:t>
            </w:r>
          </w:p>
        </w:tc>
        <w:tc>
          <w:tcPr>
            <w:tcW w:type="dxa" w:w="6520"/>
            <w:shd w:fill="244A5A"/>
            <w:vAlign w:val="center"/>
            <w:tcMar>
              <w:top w:w="60" w:type="dxa"/>
              <w:left w:w="80" w:type="dxa"/>
              <w:bottom w:w="60" w:type="dxa"/>
              <w:right w:w="80" w:type="dxa"/>
            </w:tcMar>
          </w:tcPr>
          <w:p>
            <w:pPr>
              <w:jc w:val="center"/>
            </w:pPr>
            <w:r>
              <w:rPr>
                <w:b/>
                <w:color w:val="FFFFFF"/>
                <w:sz w:val="17"/>
              </w:rPr>
              <w:t>Titel</w:t>
            </w:r>
          </w:p>
        </w:tc>
        <w:tc>
          <w:tcPr>
            <w:tcW w:type="dxa" w:w="1701"/>
            <w:shd w:fill="244A5A"/>
            <w:vAlign w:val="center"/>
            <w:tcMar>
              <w:top w:w="60" w:type="dxa"/>
              <w:left w:w="80" w:type="dxa"/>
              <w:bottom w:w="60" w:type="dxa"/>
              <w:right w:w="80" w:type="dxa"/>
            </w:tcMar>
          </w:tcPr>
          <w:p>
            <w:pPr>
              <w:jc w:val="center"/>
            </w:pPr>
            <w:r>
              <w:rPr>
                <w:b/>
                <w:color w:val="FFFFFF"/>
                <w:sz w:val="17"/>
              </w:rPr>
              <w:t>Status</w:t>
            </w:r>
          </w:p>
        </w:tc>
      </w:tr>
      <w:tr>
        <w:trPr>
          <w:cantSplit/>
        </w:trPr>
        <w:tc>
          <w:tcPr>
            <w:tcW w:type="dxa" w:w="1247"/>
            <w:vAlign w:val="top"/>
            <w:shd w:fill="F4F7F8"/>
            <w:tcMar>
              <w:top w:w="60" w:type="dxa"/>
              <w:left w:w="80" w:type="dxa"/>
              <w:bottom w:w="60" w:type="dxa"/>
              <w:right w:w="80" w:type="dxa"/>
            </w:tcMar>
          </w:tcPr>
          <w:p>
            <w:pPr>
              <w:spacing w:after="40"/>
            </w:pPr>
            <w:r>
              <w:rPr>
                <w:sz w:val="17"/>
              </w:rPr>
              <w:t>ADR-001</w:t>
            </w:r>
          </w:p>
        </w:tc>
        <w:tc>
          <w:tcPr>
            <w:tcW w:type="dxa" w:w="6520"/>
            <w:vAlign w:val="top"/>
            <w:shd w:fill="F4F7F8"/>
            <w:tcMar>
              <w:top w:w="60" w:type="dxa"/>
              <w:left w:w="80" w:type="dxa"/>
              <w:bottom w:w="60" w:type="dxa"/>
              <w:right w:w="80" w:type="dxa"/>
            </w:tcMar>
          </w:tcPr>
          <w:p>
            <w:pPr>
              <w:spacing w:after="40"/>
            </w:pPr>
            <w:r>
              <w:rPr>
                <w:sz w:val="17"/>
              </w:rPr>
              <w:t>WinForms als erster austauschbarer UI-Adapter</w:t>
            </w:r>
          </w:p>
        </w:tc>
        <w:tc>
          <w:tcPr>
            <w:tcW w:type="dxa" w:w="1701"/>
            <w:vAlign w:val="top"/>
            <w:shd w:fill="F4F7F8"/>
            <w:tcMar>
              <w:top w:w="60" w:type="dxa"/>
              <w:left w:w="80" w:type="dxa"/>
              <w:bottom w:w="60" w:type="dxa"/>
              <w:right w:w="80" w:type="dxa"/>
            </w:tcMar>
          </w:tcPr>
          <w:p>
            <w:pPr>
              <w:spacing w:after="40"/>
            </w:pPr>
            <w:r>
              <w:rPr>
                <w:sz w:val="17"/>
              </w:rPr>
              <w:t>accepted</w:t>
            </w:r>
          </w:p>
        </w:tc>
      </w:tr>
      <w:tr>
        <w:trPr>
          <w:cantSplit/>
        </w:trPr>
        <w:tc>
          <w:tcPr>
            <w:tcW w:type="dxa" w:w="1247"/>
            <w:vAlign w:val="top"/>
            <w:tcMar>
              <w:top w:w="60" w:type="dxa"/>
              <w:left w:w="80" w:type="dxa"/>
              <w:bottom w:w="60" w:type="dxa"/>
              <w:right w:w="80" w:type="dxa"/>
            </w:tcMar>
          </w:tcPr>
          <w:p>
            <w:pPr>
              <w:spacing w:after="40"/>
            </w:pPr>
            <w:r>
              <w:rPr>
                <w:sz w:val="17"/>
              </w:rPr>
              <w:t>ADR-002</w:t>
            </w:r>
          </w:p>
        </w:tc>
        <w:tc>
          <w:tcPr>
            <w:tcW w:type="dxa" w:w="6520"/>
            <w:vAlign w:val="top"/>
            <w:tcMar>
              <w:top w:w="60" w:type="dxa"/>
              <w:left w:w="80" w:type="dxa"/>
              <w:bottom w:w="60" w:type="dxa"/>
              <w:right w:w="80" w:type="dxa"/>
            </w:tcMar>
          </w:tcPr>
          <w:p>
            <w:pPr>
              <w:spacing w:after="40"/>
            </w:pPr>
            <w:r>
              <w:rPr>
                <w:sz w:val="17"/>
              </w:rPr>
              <w:t>POP3-zentrierter Eingang mit vollständigem Get-all</w:t>
            </w:r>
          </w:p>
        </w:tc>
        <w:tc>
          <w:tcPr>
            <w:tcW w:type="dxa" w:w="1701"/>
            <w:vAlign w:val="top"/>
            <w:tcMar>
              <w:top w:w="60" w:type="dxa"/>
              <w:left w:w="80" w:type="dxa"/>
              <w:bottom w:w="60" w:type="dxa"/>
              <w:right w:w="80" w:type="dxa"/>
            </w:tcMar>
          </w:tcPr>
          <w:p>
            <w:pPr>
              <w:spacing w:after="40"/>
            </w:pPr>
            <w:r>
              <w:rPr>
                <w:sz w:val="17"/>
              </w:rPr>
              <w:t>accepted</w:t>
            </w:r>
          </w:p>
        </w:tc>
      </w:tr>
      <w:tr>
        <w:trPr>
          <w:cantSplit/>
        </w:trPr>
        <w:tc>
          <w:tcPr>
            <w:tcW w:type="dxa" w:w="1247"/>
            <w:vAlign w:val="top"/>
            <w:shd w:fill="F4F7F8"/>
            <w:tcMar>
              <w:top w:w="60" w:type="dxa"/>
              <w:left w:w="80" w:type="dxa"/>
              <w:bottom w:w="60" w:type="dxa"/>
              <w:right w:w="80" w:type="dxa"/>
            </w:tcMar>
          </w:tcPr>
          <w:p>
            <w:pPr>
              <w:spacing w:after="40"/>
            </w:pPr>
            <w:r>
              <w:rPr>
                <w:sz w:val="17"/>
              </w:rPr>
              <w:t>ADR-003</w:t>
            </w:r>
          </w:p>
        </w:tc>
        <w:tc>
          <w:tcPr>
            <w:tcW w:type="dxa" w:w="6520"/>
            <w:vAlign w:val="top"/>
            <w:shd w:fill="F4F7F8"/>
            <w:tcMar>
              <w:top w:w="60" w:type="dxa"/>
              <w:left w:w="80" w:type="dxa"/>
              <w:bottom w:w="60" w:type="dxa"/>
              <w:right w:w="80" w:type="dxa"/>
            </w:tcMar>
          </w:tcPr>
          <w:p>
            <w:pPr>
              <w:spacing w:after="40"/>
            </w:pPr>
            <w:r>
              <w:rPr>
                <w:sz w:val="17"/>
              </w:rPr>
              <w:t>SHA-256-Deduplizierung über unveränderte Rohbytes</w:t>
            </w:r>
          </w:p>
        </w:tc>
        <w:tc>
          <w:tcPr>
            <w:tcW w:type="dxa" w:w="1701"/>
            <w:vAlign w:val="top"/>
            <w:shd w:fill="F4F7F8"/>
            <w:tcMar>
              <w:top w:w="60" w:type="dxa"/>
              <w:left w:w="80" w:type="dxa"/>
              <w:bottom w:w="60" w:type="dxa"/>
              <w:right w:w="80" w:type="dxa"/>
            </w:tcMar>
          </w:tcPr>
          <w:p>
            <w:pPr>
              <w:spacing w:after="40"/>
            </w:pPr>
            <w:r>
              <w:rPr>
                <w:sz w:val="17"/>
              </w:rPr>
              <w:t>accepted</w:t>
            </w:r>
          </w:p>
        </w:tc>
      </w:tr>
      <w:tr>
        <w:trPr>
          <w:cantSplit/>
        </w:trPr>
        <w:tc>
          <w:tcPr>
            <w:tcW w:type="dxa" w:w="1247"/>
            <w:vAlign w:val="top"/>
            <w:tcMar>
              <w:top w:w="60" w:type="dxa"/>
              <w:left w:w="80" w:type="dxa"/>
              <w:bottom w:w="60" w:type="dxa"/>
              <w:right w:w="80" w:type="dxa"/>
            </w:tcMar>
          </w:tcPr>
          <w:p>
            <w:pPr>
              <w:spacing w:after="40"/>
            </w:pPr>
            <w:r>
              <w:rPr>
                <w:sz w:val="17"/>
              </w:rPr>
              <w:t>ADR-004</w:t>
            </w:r>
          </w:p>
        </w:tc>
        <w:tc>
          <w:tcPr>
            <w:tcW w:type="dxa" w:w="6520"/>
            <w:vAlign w:val="top"/>
            <w:tcMar>
              <w:top w:w="60" w:type="dxa"/>
              <w:left w:w="80" w:type="dxa"/>
              <w:bottom w:w="60" w:type="dxa"/>
              <w:right w:w="80" w:type="dxa"/>
            </w:tcMar>
          </w:tcPr>
          <w:p>
            <w:pPr>
              <w:spacing w:after="40"/>
            </w:pPr>
            <w:r>
              <w:rPr>
                <w:sz w:val="17"/>
              </w:rPr>
              <w:t>SMTP-Versand plus begrenzter IMAP-APPEND</w:t>
            </w:r>
          </w:p>
        </w:tc>
        <w:tc>
          <w:tcPr>
            <w:tcW w:type="dxa" w:w="1701"/>
            <w:vAlign w:val="top"/>
            <w:tcMar>
              <w:top w:w="60" w:type="dxa"/>
              <w:left w:w="80" w:type="dxa"/>
              <w:bottom w:w="60" w:type="dxa"/>
              <w:right w:w="80" w:type="dxa"/>
            </w:tcMar>
          </w:tcPr>
          <w:p>
            <w:pPr>
              <w:spacing w:after="40"/>
            </w:pPr>
            <w:r>
              <w:rPr>
                <w:sz w:val="17"/>
              </w:rPr>
              <w:t>accepted</w:t>
            </w:r>
          </w:p>
        </w:tc>
      </w:tr>
      <w:tr>
        <w:trPr>
          <w:cantSplit/>
        </w:trPr>
        <w:tc>
          <w:tcPr>
            <w:tcW w:type="dxa" w:w="1247"/>
            <w:vAlign w:val="top"/>
            <w:shd w:fill="F4F7F8"/>
            <w:tcMar>
              <w:top w:w="60" w:type="dxa"/>
              <w:left w:w="80" w:type="dxa"/>
              <w:bottom w:w="60" w:type="dxa"/>
              <w:right w:w="80" w:type="dxa"/>
            </w:tcMar>
          </w:tcPr>
          <w:p>
            <w:pPr>
              <w:spacing w:after="40"/>
            </w:pPr>
            <w:r>
              <w:rPr>
                <w:sz w:val="17"/>
              </w:rPr>
              <w:t>ADR-005</w:t>
            </w:r>
          </w:p>
        </w:tc>
        <w:tc>
          <w:tcPr>
            <w:tcW w:type="dxa" w:w="6520"/>
            <w:vAlign w:val="top"/>
            <w:shd w:fill="F4F7F8"/>
            <w:tcMar>
              <w:top w:w="60" w:type="dxa"/>
              <w:left w:w="80" w:type="dxa"/>
              <w:bottom w:w="60" w:type="dxa"/>
              <w:right w:w="80" w:type="dxa"/>
            </w:tcMar>
          </w:tcPr>
          <w:p>
            <w:pPr>
              <w:spacing w:after="40"/>
            </w:pPr>
            <w:r>
              <w:rPr>
                <w:sz w:val="17"/>
              </w:rPr>
              <w:t>Rohdateien im Dateisystem, Metadaten in SQLite</w:t>
            </w:r>
          </w:p>
        </w:tc>
        <w:tc>
          <w:tcPr>
            <w:tcW w:type="dxa" w:w="1701"/>
            <w:vAlign w:val="top"/>
            <w:shd w:fill="F4F7F8"/>
            <w:tcMar>
              <w:top w:w="60" w:type="dxa"/>
              <w:left w:w="80" w:type="dxa"/>
              <w:bottom w:w="60" w:type="dxa"/>
              <w:right w:w="80" w:type="dxa"/>
            </w:tcMar>
          </w:tcPr>
          <w:p>
            <w:pPr>
              <w:spacing w:after="40"/>
            </w:pPr>
            <w:r>
              <w:rPr>
                <w:sz w:val="17"/>
              </w:rPr>
              <w:t>accepted</w:t>
            </w:r>
          </w:p>
        </w:tc>
      </w:tr>
      <w:tr>
        <w:trPr>
          <w:cantSplit/>
        </w:trPr>
        <w:tc>
          <w:tcPr>
            <w:tcW w:type="dxa" w:w="1247"/>
            <w:vAlign w:val="top"/>
            <w:tcMar>
              <w:top w:w="60" w:type="dxa"/>
              <w:left w:w="80" w:type="dxa"/>
              <w:bottom w:w="60" w:type="dxa"/>
              <w:right w:w="80" w:type="dxa"/>
            </w:tcMar>
          </w:tcPr>
          <w:p>
            <w:pPr>
              <w:spacing w:after="40"/>
            </w:pPr>
            <w:r>
              <w:rPr>
                <w:sz w:val="17"/>
              </w:rPr>
              <w:t>ADR-006</w:t>
            </w:r>
          </w:p>
        </w:tc>
        <w:tc>
          <w:tcPr>
            <w:tcW w:type="dxa" w:w="6520"/>
            <w:vAlign w:val="top"/>
            <w:tcMar>
              <w:top w:w="60" w:type="dxa"/>
              <w:left w:w="80" w:type="dxa"/>
              <w:bottom w:w="60" w:type="dxa"/>
              <w:right w:w="80" w:type="dxa"/>
            </w:tcMar>
          </w:tcPr>
          <w:p>
            <w:pPr>
              <w:spacing w:after="40"/>
            </w:pPr>
            <w:r>
              <w:rPr>
                <w:sz w:val="17"/>
              </w:rPr>
              <w:t>Lokales erklärbares Warnsystem ohne verpflichtende Clouddienste</w:t>
            </w:r>
          </w:p>
        </w:tc>
        <w:tc>
          <w:tcPr>
            <w:tcW w:type="dxa" w:w="1701"/>
            <w:vAlign w:val="top"/>
            <w:tcMar>
              <w:top w:w="60" w:type="dxa"/>
              <w:left w:w="80" w:type="dxa"/>
              <w:bottom w:w="60" w:type="dxa"/>
              <w:right w:w="80" w:type="dxa"/>
            </w:tcMar>
          </w:tcPr>
          <w:p>
            <w:pPr>
              <w:spacing w:after="40"/>
            </w:pPr>
            <w:r>
              <w:rPr>
                <w:sz w:val="17"/>
              </w:rPr>
              <w:t>accepted</w:t>
            </w:r>
          </w:p>
        </w:tc>
      </w:tr>
      <w:tr>
        <w:trPr>
          <w:cantSplit/>
        </w:trPr>
        <w:tc>
          <w:tcPr>
            <w:tcW w:type="dxa" w:w="1247"/>
            <w:vAlign w:val="top"/>
            <w:shd w:fill="F4F7F8"/>
            <w:tcMar>
              <w:top w:w="60" w:type="dxa"/>
              <w:left w:w="80" w:type="dxa"/>
              <w:bottom w:w="60" w:type="dxa"/>
              <w:right w:w="80" w:type="dxa"/>
            </w:tcMar>
          </w:tcPr>
          <w:p>
            <w:pPr>
              <w:spacing w:after="40"/>
            </w:pPr>
            <w:r>
              <w:rPr>
                <w:sz w:val="17"/>
              </w:rPr>
              <w:t>ADR-007</w:t>
            </w:r>
          </w:p>
        </w:tc>
        <w:tc>
          <w:tcPr>
            <w:tcW w:type="dxa" w:w="6520"/>
            <w:vAlign w:val="top"/>
            <w:shd w:fill="F4F7F8"/>
            <w:tcMar>
              <w:top w:w="60" w:type="dxa"/>
              <w:left w:w="80" w:type="dxa"/>
              <w:bottom w:w="60" w:type="dxa"/>
              <w:right w:w="80" w:type="dxa"/>
            </w:tcMar>
          </w:tcPr>
          <w:p>
            <w:pPr>
              <w:spacing w:after="40"/>
            </w:pPr>
            <w:r>
              <w:rPr>
                <w:sz w:val="17"/>
              </w:rPr>
              <w:t>Scientific Foundation mit versionierten Analysis Runs</w:t>
            </w:r>
          </w:p>
        </w:tc>
        <w:tc>
          <w:tcPr>
            <w:tcW w:type="dxa" w:w="1701"/>
            <w:vAlign w:val="top"/>
            <w:shd w:fill="F4F7F8"/>
            <w:tcMar>
              <w:top w:w="60" w:type="dxa"/>
              <w:left w:w="80" w:type="dxa"/>
              <w:bottom w:w="60" w:type="dxa"/>
              <w:right w:w="80" w:type="dxa"/>
            </w:tcMar>
          </w:tcPr>
          <w:p>
            <w:pPr>
              <w:spacing w:after="40"/>
            </w:pPr>
            <w:r>
              <w:rPr>
                <w:sz w:val="17"/>
              </w:rPr>
              <w:t>accepted</w:t>
            </w:r>
          </w:p>
        </w:tc>
      </w:tr>
      <w:tr>
        <w:trPr>
          <w:cantSplit/>
        </w:trPr>
        <w:tc>
          <w:tcPr>
            <w:tcW w:type="dxa" w:w="1247"/>
            <w:vAlign w:val="top"/>
            <w:tcMar>
              <w:top w:w="60" w:type="dxa"/>
              <w:left w:w="80" w:type="dxa"/>
              <w:bottom w:w="60" w:type="dxa"/>
              <w:right w:w="80" w:type="dxa"/>
            </w:tcMar>
          </w:tcPr>
          <w:p>
            <w:pPr>
              <w:spacing w:after="40"/>
            </w:pPr>
            <w:r>
              <w:rPr>
                <w:sz w:val="17"/>
              </w:rPr>
              <w:t>ADR-008</w:t>
            </w:r>
          </w:p>
        </w:tc>
        <w:tc>
          <w:tcPr>
            <w:tcW w:type="dxa" w:w="6520"/>
            <w:vAlign w:val="top"/>
            <w:tcMar>
              <w:top w:w="60" w:type="dxa"/>
              <w:left w:w="80" w:type="dxa"/>
              <w:bottom w:w="60" w:type="dxa"/>
              <w:right w:w="80" w:type="dxa"/>
            </w:tcMar>
          </w:tcPr>
          <w:p>
            <w:pPr>
              <w:spacing w:after="40"/>
            </w:pPr>
            <w:r>
              <w:rPr>
                <w:sz w:val="17"/>
              </w:rPr>
              <w:t>Extension Model vorbereiten, dynamische Plugins verschieben</w:t>
            </w:r>
          </w:p>
        </w:tc>
        <w:tc>
          <w:tcPr>
            <w:tcW w:type="dxa" w:w="1701"/>
            <w:vAlign w:val="top"/>
            <w:tcMar>
              <w:top w:w="60" w:type="dxa"/>
              <w:left w:w="80" w:type="dxa"/>
              <w:bottom w:w="60" w:type="dxa"/>
              <w:right w:w="80" w:type="dxa"/>
            </w:tcMar>
          </w:tcPr>
          <w:p>
            <w:pPr>
              <w:spacing w:after="40"/>
            </w:pPr>
            <w:r>
              <w:rPr>
                <w:sz w:val="17"/>
              </w:rPr>
              <w:t>accepted</w:t>
            </w:r>
          </w:p>
        </w:tc>
      </w:tr>
      <w:tr>
        <w:trPr>
          <w:cantSplit/>
        </w:trPr>
        <w:tc>
          <w:tcPr>
            <w:tcW w:type="dxa" w:w="1247"/>
            <w:vAlign w:val="top"/>
            <w:shd w:fill="F4F7F8"/>
            <w:tcMar>
              <w:top w:w="60" w:type="dxa"/>
              <w:left w:w="80" w:type="dxa"/>
              <w:bottom w:w="60" w:type="dxa"/>
              <w:right w:w="80" w:type="dxa"/>
            </w:tcMar>
          </w:tcPr>
          <w:p>
            <w:pPr>
              <w:spacing w:after="40"/>
            </w:pPr>
            <w:r>
              <w:rPr>
                <w:sz w:val="17"/>
              </w:rPr>
              <w:t>ADR-009</w:t>
            </w:r>
          </w:p>
        </w:tc>
        <w:tc>
          <w:tcPr>
            <w:tcW w:type="dxa" w:w="6520"/>
            <w:vAlign w:val="top"/>
            <w:shd w:fill="F4F7F8"/>
            <w:tcMar>
              <w:top w:w="60" w:type="dxa"/>
              <w:left w:w="80" w:type="dxa"/>
              <w:bottom w:w="60" w:type="dxa"/>
              <w:right w:w="80" w:type="dxa"/>
            </w:tcMar>
          </w:tcPr>
          <w:p>
            <w:r>
              <w:t>Gestufte Runtime-Strategie</w:t>
            </w:r>
          </w:p>
        </w:tc>
        <w:tc>
          <w:tcPr>
            <w:tcW w:type="dxa" w:w="1701"/>
            <w:vAlign w:val="top"/>
            <w:shd w:fill="F4F7F8"/>
            <w:tcMar>
              <w:top w:w="60" w:type="dxa"/>
              <w:left w:w="80" w:type="dxa"/>
              <w:bottom w:w="60" w:type="dxa"/>
              <w:right w:w="80" w:type="dxa"/>
            </w:tcMar>
          </w:tcPr>
          <w:p>
            <w:r>
              <w:t>accepted / Version 1.1</w:t>
            </w:r>
          </w:p>
        </w:tc>
      </w:tr>
    </w:tbl>
    <w:p>
      <w:pPr>
        <w:keepLines/>
      </w:pPr>
    </w:p>
    <w:p>
      <w:pPr>
        <w:pStyle w:val="Heading1"/>
        <w:keepNext/>
        <w:keepLines/>
      </w:pPr>
      <w:r>
        <w:t>3. Solution-, Projekt- und Abhängigkeitsstruktur</w:t>
      </w:r>
    </w:p>
    <w:p>
      <w:pPr>
        <w:keepLines/>
      </w:pPr>
      <w:r>
        <w:drawing>
          <wp:inline xmlns:a="http://schemas.openxmlformats.org/drawingml/2006/main" xmlns:pic="http://schemas.openxmlformats.org/drawingml/2006/picture">
            <wp:extent cx="5832000" cy="3470326"/>
            <wp:docPr id="2" name="Picture 2" descr="Image: image1.png"/>
            <wp:cNvGraphicFramePr>
              <a:graphicFrameLocks noChangeAspect="1"/>
            </wp:cNvGraphicFramePr>
            <a:graphic>
              <a:graphicData uri="http://schemas.openxmlformats.org/drawingml/2006/picture">
                <pic:pic>
                  <pic:nvPicPr>
                    <pic:cNvPr id="0" name="solution_architecture.png"/>
                    <pic:cNvPicPr/>
                  </pic:nvPicPr>
                  <pic:blipFill>
                    <a:blip r:embed="rId11"/>
                    <a:stretch>
                      <a:fillRect/>
                    </a:stretch>
                  </pic:blipFill>
                  <pic:spPr>
                    <a:xfrm>
                      <a:off x="0" y="0"/>
                      <a:ext cx="5832000" cy="3470326"/>
                    </a:xfrm>
                    <a:prstGeom prst="rect"/>
                  </pic:spPr>
                </pic:pic>
              </a:graphicData>
            </a:graphic>
          </wp:inline>
        </w:drawing>
      </w:r>
    </w:p>
    <w:p>
      <w:pPr>
        <w:pStyle w:val="Caption"/>
        <w:jc w:val="center"/>
        <w:keepLines/>
      </w:pPr>
      <w:r>
        <w:t>Abbildung 2: Projekte und Referenzrichtung</w:t>
      </w:r>
    </w:p>
    <w:tbl>
      <w:tblPr>
        <w:tblStyle w:val="TableGrid"/>
        <w:tblW w:type="auto" w:w="0"/>
        <w:tblLook w:firstColumn="1" w:firstRow="1" w:lastColumn="0" w:lastRow="0" w:noHBand="0" w:noVBand="1" w:val="04A0"/>
      </w:tblPr>
      <w:tblGrid>
        <w:gridCol w:w="10029"/>
      </w:tblGrid>
      <w:tr>
        <w:trPr>
          <w:cantSplit/>
          <w:tblHeader/>
        </w:trPr>
        <w:tc>
          <w:tcPr>
            <w:tcW w:type="dxa" w:w="10029"/>
            <w:shd w:fill="F1F3F4"/>
            <w:tcMar>
              <w:top w:w="60" w:type="dxa"/>
              <w:left w:w="80" w:type="dxa"/>
              <w:bottom w:w="60" w:type="dxa"/>
              <w:right w:w="80" w:type="dxa"/>
            </w:tcMar>
          </w:tcPr>
          <w:p>
            <w:pPr>
              <w:spacing w:after="0"/>
            </w:pPr>
            <w:r>
              <w:rPr>
                <w:rFonts w:ascii="Consolas" w:hAnsi="Consolas"/>
                <w:sz w:val="17"/>
              </w:rPr>
              <w:t>Sasd.MailWorkbench.sln</w:t>
              <w:br/>
              <w:t>├─ src/</w:t>
              <w:br/>
              <w:t>│  ├─ Sasd.MailWorkbench.Domain</w:t>
              <w:br/>
              <w:t>│  ├─ Sasd.MailWorkbench.Application.Contracts</w:t>
              <w:br/>
              <w:t>│  ├─ Sasd.MailWorkbench.Application</w:t>
              <w:br/>
              <w:t>│  ├─ Sasd.MailWorkbench.Mail.Abstractions</w:t>
              <w:br/>
              <w:t>│  ├─ Sasd.MailWorkbench.Mail.MailKit</w:t>
              <w:br/>
              <w:t>│  ├─ Sasd.MailWorkbench.Persistence.Abstractions</w:t>
              <w:br/>
              <w:t>│  ├─ Sasd.MailWorkbench.Persistence.Sqlite</w:t>
              <w:br/>
              <w:t>│  ├─ Sasd.MailWorkbench.Security</w:t>
              <w:br/>
              <w:t>│  ├─ Sasd.MailWorkbench.Analysis.Contracts</w:t>
              <w:br/>
              <w:t>│  ├─ Sasd.MailWorkbench.Analysis.Core</w:t>
              <w:br/>
              <w:t>│  ├─ Sasd.MailWorkbench.ExtensionModel</w:t>
              <w:br/>
              <w:t>│  ├─ Sasd.MailWorkbench.Presentation.Core</w:t>
              <w:br/>
              <w:t>│  ├─ Sasd.MailWorkbench.Presentation.WinForms</w:t>
              <w:br/>
              <w:t>│  └─ Sasd.MailWorkbench.Host.WinForms</w:t>
              <w:br/>
              <w:t>├─ tests/</w:t>
              <w:br/>
              <w:t>│  ├─ Sasd.MailWorkbench.Domain.Tests</w:t>
              <w:br/>
              <w:t>│  ├─ Sasd.MailWorkbench.Application.Tests</w:t>
              <w:br/>
              <w:t>│  ├─ Sasd.MailWorkbench.Mail.Tests</w:t>
              <w:br/>
              <w:t>│  ├─ Sasd.MailWorkbench.Persistence.Tests</w:t>
              <w:br/>
              <w:t>│  ├─ Sasd.MailWorkbench.Analysis.Tests</w:t>
              <w:br/>
              <w:t>│  ├─ Sasd.MailWorkbench.Presentation.Core.Tests</w:t>
              <w:br/>
              <w:t>│  ├─ Sasd.MailWorkbench.IntegrationTests</w:t>
              <w:br/>
              <w:t>│  ├─ Sasd.MailWorkbench.ArchitectureTests</w:t>
              <w:br/>
              <w:t>│  └─ Sasd.MailWorkbench.AcceptanceTests</w:t>
              <w:br/>
              <w:t>└─ docs/</w:t>
            </w:r>
          </w:p>
        </w:tc>
      </w:tr>
    </w:tbl>
    <w:p>
      <w:pPr>
        <w:keepLines/>
      </w:pP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551"/>
            <w:shd w:fill="244A5A"/>
            <w:vAlign w:val="center"/>
            <w:tcMar>
              <w:top w:w="60" w:type="dxa"/>
              <w:left w:w="80" w:type="dxa"/>
              <w:bottom w:w="60" w:type="dxa"/>
              <w:right w:w="80" w:type="dxa"/>
            </w:tcMar>
          </w:tcPr>
          <w:p>
            <w:pPr>
              <w:jc w:val="center"/>
            </w:pPr>
            <w:r>
              <w:rPr>
                <w:b/>
                <w:color w:val="FFFFFF"/>
                <w:sz w:val="16"/>
              </w:rPr>
              <w:t>Projekt</w:t>
            </w:r>
          </w:p>
        </w:tc>
        <w:tc>
          <w:tcPr>
            <w:tcW w:type="dxa" w:w="4139"/>
            <w:shd w:fill="244A5A"/>
            <w:vAlign w:val="center"/>
            <w:tcMar>
              <w:top w:w="60" w:type="dxa"/>
              <w:left w:w="80" w:type="dxa"/>
              <w:bottom w:w="60" w:type="dxa"/>
              <w:right w:w="80" w:type="dxa"/>
            </w:tcMar>
          </w:tcPr>
          <w:p>
            <w:pPr>
              <w:jc w:val="center"/>
            </w:pPr>
            <w:r>
              <w:rPr>
                <w:b/>
                <w:color w:val="FFFFFF"/>
                <w:sz w:val="16"/>
              </w:rPr>
              <w:t>Verantwortung</w:t>
            </w:r>
          </w:p>
        </w:tc>
        <w:tc>
          <w:tcPr>
            <w:tcW w:type="dxa" w:w="2835"/>
            <w:shd w:fill="244A5A"/>
            <w:vAlign w:val="center"/>
            <w:tcMar>
              <w:top w:w="60" w:type="dxa"/>
              <w:left w:w="80" w:type="dxa"/>
              <w:bottom w:w="60" w:type="dxa"/>
              <w:right w:w="80" w:type="dxa"/>
            </w:tcMar>
          </w:tcPr>
          <w:p>
            <w:pPr>
              <w:jc w:val="center"/>
            </w:pPr>
            <w:r>
              <w:rPr>
                <w:b/>
                <w:color w:val="FFFFFF"/>
                <w:sz w:val="16"/>
              </w:rPr>
              <w:t>Zulässige Abhängigkeiten</w:t>
            </w:r>
          </w:p>
        </w:tc>
      </w:tr>
      <w:tr>
        <w:trPr>
          <w:cantSplit/>
        </w:trPr>
        <w:tc>
          <w:tcPr>
            <w:tcW w:type="dxa" w:w="2551"/>
            <w:vAlign w:val="top"/>
            <w:shd w:fill="F4F7F8"/>
            <w:tcMar>
              <w:top w:w="60" w:type="dxa"/>
              <w:left w:w="80" w:type="dxa"/>
              <w:bottom w:w="60" w:type="dxa"/>
              <w:right w:w="80" w:type="dxa"/>
            </w:tcMar>
          </w:tcPr>
          <w:p>
            <w:pPr>
              <w:spacing w:after="40"/>
            </w:pPr>
            <w:r>
              <w:rPr>
                <w:sz w:val="16"/>
              </w:rPr>
              <w:t>Domain</w:t>
            </w:r>
          </w:p>
        </w:tc>
        <w:tc>
          <w:tcPr>
            <w:tcW w:type="dxa" w:w="4139"/>
            <w:vAlign w:val="top"/>
            <w:shd w:fill="F4F7F8"/>
            <w:tcMar>
              <w:top w:w="60" w:type="dxa"/>
              <w:left w:w="80" w:type="dxa"/>
              <w:bottom w:w="60" w:type="dxa"/>
              <w:right w:w="80" w:type="dxa"/>
            </w:tcMar>
          </w:tcPr>
          <w:p>
            <w:pPr>
              <w:spacing w:after="40"/>
            </w:pPr>
            <w:r>
              <w:rPr>
                <w:sz w:val="16"/>
              </w:rPr>
              <w:t>Fachmodelle, Value Objects, Zustände, reine Regeln</w:t>
            </w:r>
          </w:p>
        </w:tc>
        <w:tc>
          <w:tcPr>
            <w:tcW w:type="dxa" w:w="2835"/>
            <w:vAlign w:val="top"/>
            <w:shd w:fill="F4F7F8"/>
            <w:tcMar>
              <w:top w:w="60" w:type="dxa"/>
              <w:left w:w="80" w:type="dxa"/>
              <w:bottom w:w="60" w:type="dxa"/>
              <w:right w:w="80" w:type="dxa"/>
            </w:tcMar>
          </w:tcPr>
          <w:p>
            <w:pPr>
              <w:spacing w:after="40"/>
            </w:pPr>
            <w:r>
              <w:rPr>
                <w:sz w:val="16"/>
              </w:rPr>
              <w:t>keine externen NuGet-Pakete außer BCL</w:t>
            </w:r>
          </w:p>
        </w:tc>
      </w:tr>
      <w:tr>
        <w:trPr>
          <w:cantSplit/>
        </w:trPr>
        <w:tc>
          <w:tcPr>
            <w:tcW w:type="dxa" w:w="2551"/>
            <w:vAlign w:val="top"/>
            <w:tcMar>
              <w:top w:w="60" w:type="dxa"/>
              <w:left w:w="80" w:type="dxa"/>
              <w:bottom w:w="60" w:type="dxa"/>
              <w:right w:w="80" w:type="dxa"/>
            </w:tcMar>
          </w:tcPr>
          <w:p>
            <w:pPr>
              <w:spacing w:after="40"/>
            </w:pPr>
            <w:r>
              <w:rPr>
                <w:sz w:val="16"/>
              </w:rPr>
              <w:t>Application.Contracts</w:t>
            </w:r>
          </w:p>
        </w:tc>
        <w:tc>
          <w:tcPr>
            <w:tcW w:type="dxa" w:w="4139"/>
            <w:vAlign w:val="top"/>
            <w:tcMar>
              <w:top w:w="60" w:type="dxa"/>
              <w:left w:w="80" w:type="dxa"/>
              <w:bottom w:w="60" w:type="dxa"/>
              <w:right w:w="80" w:type="dxa"/>
            </w:tcMar>
          </w:tcPr>
          <w:p>
            <w:pPr>
              <w:spacing w:after="40"/>
            </w:pPr>
            <w:r>
              <w:rPr>
                <w:sz w:val="16"/>
              </w:rPr>
              <w:t>Requests, Responses, DTOs, Progress- und Fehlerverträge</w:t>
            </w:r>
          </w:p>
        </w:tc>
        <w:tc>
          <w:tcPr>
            <w:tcW w:type="dxa" w:w="2835"/>
            <w:vAlign w:val="top"/>
            <w:tcMar>
              <w:top w:w="60" w:type="dxa"/>
              <w:left w:w="80" w:type="dxa"/>
              <w:bottom w:w="60" w:type="dxa"/>
              <w:right w:w="80" w:type="dxa"/>
            </w:tcMar>
          </w:tcPr>
          <w:p>
            <w:pPr>
              <w:spacing w:after="40"/>
            </w:pPr>
            <w:r>
              <w:rPr>
                <w:sz w:val="16"/>
              </w:rPr>
              <w:t>Domain</w:t>
            </w:r>
          </w:p>
        </w:tc>
      </w:tr>
      <w:tr>
        <w:trPr>
          <w:cantSplit/>
        </w:trPr>
        <w:tc>
          <w:tcPr>
            <w:tcW w:type="dxa" w:w="2551"/>
            <w:vAlign w:val="top"/>
            <w:shd w:fill="F4F7F8"/>
            <w:tcMar>
              <w:top w:w="60" w:type="dxa"/>
              <w:left w:w="80" w:type="dxa"/>
              <w:bottom w:w="60" w:type="dxa"/>
              <w:right w:w="80" w:type="dxa"/>
            </w:tcMar>
          </w:tcPr>
          <w:p>
            <w:pPr>
              <w:spacing w:after="40"/>
            </w:pPr>
            <w:r>
              <w:rPr>
                <w:sz w:val="16"/>
              </w:rPr>
              <w:t>Application</w:t>
            </w:r>
          </w:p>
        </w:tc>
        <w:tc>
          <w:tcPr>
            <w:tcW w:type="dxa" w:w="4139"/>
            <w:vAlign w:val="top"/>
            <w:shd w:fill="F4F7F8"/>
            <w:tcMar>
              <w:top w:w="60" w:type="dxa"/>
              <w:left w:w="80" w:type="dxa"/>
              <w:bottom w:w="60" w:type="dxa"/>
              <w:right w:w="80" w:type="dxa"/>
            </w:tcMar>
          </w:tcPr>
          <w:p>
            <w:pPr>
              <w:spacing w:after="40"/>
            </w:pPr>
            <w:r>
              <w:rPr>
                <w:sz w:val="16"/>
              </w:rPr>
              <w:t>Use Cases, Orchestrierung, Ports</w:t>
            </w:r>
          </w:p>
        </w:tc>
        <w:tc>
          <w:tcPr>
            <w:tcW w:type="dxa" w:w="2835"/>
            <w:vAlign w:val="top"/>
            <w:shd w:fill="F4F7F8"/>
            <w:tcMar>
              <w:top w:w="60" w:type="dxa"/>
              <w:left w:w="80" w:type="dxa"/>
              <w:bottom w:w="60" w:type="dxa"/>
              <w:right w:w="80" w:type="dxa"/>
            </w:tcMar>
          </w:tcPr>
          <w:p>
            <w:pPr>
              <w:spacing w:after="40"/>
            </w:pPr>
            <w:r>
              <w:rPr>
                <w:sz w:val="16"/>
              </w:rPr>
              <w:t>Domain, Contracts, Abstractions</w:t>
            </w:r>
          </w:p>
        </w:tc>
      </w:tr>
      <w:tr>
        <w:trPr>
          <w:cantSplit/>
        </w:trPr>
        <w:tc>
          <w:tcPr>
            <w:tcW w:type="dxa" w:w="2551"/>
            <w:vAlign w:val="top"/>
            <w:tcMar>
              <w:top w:w="60" w:type="dxa"/>
              <w:left w:w="80" w:type="dxa"/>
              <w:bottom w:w="60" w:type="dxa"/>
              <w:right w:w="80" w:type="dxa"/>
            </w:tcMar>
          </w:tcPr>
          <w:p>
            <w:pPr>
              <w:spacing w:after="40"/>
            </w:pPr>
            <w:r>
              <w:rPr>
                <w:sz w:val="16"/>
              </w:rPr>
              <w:t>Mail.Abstractions</w:t>
            </w:r>
          </w:p>
        </w:tc>
        <w:tc>
          <w:tcPr>
            <w:tcW w:type="dxa" w:w="4139"/>
            <w:vAlign w:val="top"/>
            <w:tcMar>
              <w:top w:w="60" w:type="dxa"/>
              <w:left w:w="80" w:type="dxa"/>
              <w:bottom w:w="60" w:type="dxa"/>
              <w:right w:w="80" w:type="dxa"/>
            </w:tcMar>
          </w:tcPr>
          <w:p>
            <w:pPr>
              <w:spacing w:after="40"/>
            </w:pPr>
            <w:r>
              <w:rPr>
                <w:sz w:val="16"/>
              </w:rPr>
              <w:t>POP3-/SMTP-/IMAP-/MIME-Ports</w:t>
            </w:r>
          </w:p>
        </w:tc>
        <w:tc>
          <w:tcPr>
            <w:tcW w:type="dxa" w:w="2835"/>
            <w:vAlign w:val="top"/>
            <w:tcMar>
              <w:top w:w="60" w:type="dxa"/>
              <w:left w:w="80" w:type="dxa"/>
              <w:bottom w:w="60" w:type="dxa"/>
              <w:right w:w="80" w:type="dxa"/>
            </w:tcMar>
          </w:tcPr>
          <w:p>
            <w:pPr>
              <w:spacing w:after="40"/>
            </w:pPr>
            <w:r>
              <w:rPr>
                <w:sz w:val="16"/>
              </w:rPr>
              <w:t>Domain/Contracts</w:t>
            </w:r>
          </w:p>
        </w:tc>
      </w:tr>
      <w:tr>
        <w:trPr>
          <w:cantSplit/>
        </w:trPr>
        <w:tc>
          <w:tcPr>
            <w:tcW w:type="dxa" w:w="2551"/>
            <w:vAlign w:val="top"/>
            <w:shd w:fill="F4F7F8"/>
            <w:tcMar>
              <w:top w:w="60" w:type="dxa"/>
              <w:left w:w="80" w:type="dxa"/>
              <w:bottom w:w="60" w:type="dxa"/>
              <w:right w:w="80" w:type="dxa"/>
            </w:tcMar>
          </w:tcPr>
          <w:p>
            <w:pPr>
              <w:spacing w:after="40"/>
            </w:pPr>
            <w:r>
              <w:rPr>
                <w:sz w:val="16"/>
              </w:rPr>
              <w:t>Mail.MailKit</w:t>
            </w:r>
          </w:p>
        </w:tc>
        <w:tc>
          <w:tcPr>
            <w:tcW w:type="dxa" w:w="4139"/>
            <w:vAlign w:val="top"/>
            <w:shd w:fill="F4F7F8"/>
            <w:tcMar>
              <w:top w:w="60" w:type="dxa"/>
              <w:left w:w="80" w:type="dxa"/>
              <w:bottom w:w="60" w:type="dxa"/>
              <w:right w:w="80" w:type="dxa"/>
            </w:tcMar>
          </w:tcPr>
          <w:p>
            <w:pPr>
              <w:spacing w:after="40"/>
            </w:pPr>
            <w:r>
              <w:rPr>
                <w:sz w:val="16"/>
              </w:rPr>
              <w:t>MailKit-Adapter und Mapping</w:t>
            </w:r>
          </w:p>
        </w:tc>
        <w:tc>
          <w:tcPr>
            <w:tcW w:type="dxa" w:w="2835"/>
            <w:vAlign w:val="top"/>
            <w:shd w:fill="F4F7F8"/>
            <w:tcMar>
              <w:top w:w="60" w:type="dxa"/>
              <w:left w:w="80" w:type="dxa"/>
              <w:bottom w:w="60" w:type="dxa"/>
              <w:right w:w="80" w:type="dxa"/>
            </w:tcMar>
          </w:tcPr>
          <w:p>
            <w:pPr>
              <w:spacing w:after="40"/>
            </w:pPr>
            <w:r>
              <w:rPr>
                <w:sz w:val="16"/>
              </w:rPr>
              <w:t>Mail.Abstractions, MailKit/MimeKit</w:t>
            </w:r>
          </w:p>
        </w:tc>
      </w:tr>
      <w:tr>
        <w:trPr>
          <w:cantSplit/>
        </w:trPr>
        <w:tc>
          <w:tcPr>
            <w:tcW w:type="dxa" w:w="2551"/>
            <w:vAlign w:val="top"/>
            <w:tcMar>
              <w:top w:w="60" w:type="dxa"/>
              <w:left w:w="80" w:type="dxa"/>
              <w:bottom w:w="60" w:type="dxa"/>
              <w:right w:w="80" w:type="dxa"/>
            </w:tcMar>
          </w:tcPr>
          <w:p>
            <w:pPr>
              <w:spacing w:after="40"/>
            </w:pPr>
            <w:r>
              <w:rPr>
                <w:sz w:val="16"/>
              </w:rPr>
              <w:t>Persistence.Abstractions</w:t>
            </w:r>
          </w:p>
        </w:tc>
        <w:tc>
          <w:tcPr>
            <w:tcW w:type="dxa" w:w="4139"/>
            <w:vAlign w:val="top"/>
            <w:tcMar>
              <w:top w:w="60" w:type="dxa"/>
              <w:left w:w="80" w:type="dxa"/>
              <w:bottom w:w="60" w:type="dxa"/>
              <w:right w:w="80" w:type="dxa"/>
            </w:tcMar>
          </w:tcPr>
          <w:p>
            <w:pPr>
              <w:spacing w:after="40"/>
            </w:pPr>
            <w:r>
              <w:rPr>
                <w:sz w:val="16"/>
              </w:rPr>
              <w:t>Repositories, Unit of Work, Raw Store</w:t>
            </w:r>
          </w:p>
        </w:tc>
        <w:tc>
          <w:tcPr>
            <w:tcW w:type="dxa" w:w="2835"/>
            <w:vAlign w:val="top"/>
            <w:tcMar>
              <w:top w:w="60" w:type="dxa"/>
              <w:left w:w="80" w:type="dxa"/>
              <w:bottom w:w="60" w:type="dxa"/>
              <w:right w:w="80" w:type="dxa"/>
            </w:tcMar>
          </w:tcPr>
          <w:p>
            <w:pPr>
              <w:spacing w:after="40"/>
            </w:pPr>
            <w:r>
              <w:rPr>
                <w:sz w:val="16"/>
              </w:rPr>
              <w:t>Domain/Contracts</w:t>
            </w:r>
          </w:p>
        </w:tc>
      </w:tr>
      <w:tr>
        <w:trPr>
          <w:cantSplit/>
        </w:trPr>
        <w:tc>
          <w:tcPr>
            <w:tcW w:type="dxa" w:w="2551"/>
            <w:vAlign w:val="top"/>
            <w:shd w:fill="F4F7F8"/>
            <w:tcMar>
              <w:top w:w="60" w:type="dxa"/>
              <w:left w:w="80" w:type="dxa"/>
              <w:bottom w:w="60" w:type="dxa"/>
              <w:right w:w="80" w:type="dxa"/>
            </w:tcMar>
          </w:tcPr>
          <w:p>
            <w:pPr>
              <w:spacing w:after="40"/>
            </w:pPr>
            <w:r>
              <w:rPr>
                <w:sz w:val="16"/>
              </w:rPr>
              <w:t>Persistence.Sqlite</w:t>
            </w:r>
          </w:p>
        </w:tc>
        <w:tc>
          <w:tcPr>
            <w:tcW w:type="dxa" w:w="4139"/>
            <w:vAlign w:val="top"/>
            <w:shd w:fill="F4F7F8"/>
            <w:tcMar>
              <w:top w:w="60" w:type="dxa"/>
              <w:left w:w="80" w:type="dxa"/>
              <w:bottom w:w="60" w:type="dxa"/>
              <w:right w:w="80" w:type="dxa"/>
            </w:tcMar>
          </w:tcPr>
          <w:p>
            <w:pPr>
              <w:spacing w:after="40"/>
            </w:pPr>
            <w:r>
              <w:rPr>
                <w:sz w:val="16"/>
              </w:rPr>
              <w:t>SQLite, FTS5, Migrationen, Dateisystemstore</w:t>
            </w:r>
          </w:p>
        </w:tc>
        <w:tc>
          <w:tcPr>
            <w:tcW w:type="dxa" w:w="2835"/>
            <w:vAlign w:val="top"/>
            <w:shd w:fill="F4F7F8"/>
            <w:tcMar>
              <w:top w:w="60" w:type="dxa"/>
              <w:left w:w="80" w:type="dxa"/>
              <w:bottom w:w="60" w:type="dxa"/>
              <w:right w:w="80" w:type="dxa"/>
            </w:tcMar>
          </w:tcPr>
          <w:p>
            <w:pPr>
              <w:spacing w:after="40"/>
            </w:pPr>
            <w:r>
              <w:rPr>
                <w:sz w:val="16"/>
              </w:rPr>
              <w:t>Persistence.Abstractions, Microsoft.Data.Sqlite</w:t>
            </w:r>
          </w:p>
        </w:tc>
      </w:tr>
      <w:tr>
        <w:trPr>
          <w:cantSplit/>
        </w:trPr>
        <w:tc>
          <w:tcPr>
            <w:tcW w:type="dxa" w:w="2551"/>
            <w:vAlign w:val="top"/>
            <w:tcMar>
              <w:top w:w="60" w:type="dxa"/>
              <w:left w:w="80" w:type="dxa"/>
              <w:bottom w:w="60" w:type="dxa"/>
              <w:right w:w="80" w:type="dxa"/>
            </w:tcMar>
          </w:tcPr>
          <w:p>
            <w:pPr>
              <w:spacing w:after="40"/>
            </w:pPr>
            <w:r>
              <w:rPr>
                <w:sz w:val="16"/>
              </w:rPr>
              <w:t>Security</w:t>
            </w:r>
          </w:p>
        </w:tc>
        <w:tc>
          <w:tcPr>
            <w:tcW w:type="dxa" w:w="4139"/>
            <w:vAlign w:val="top"/>
            <w:tcMar>
              <w:top w:w="60" w:type="dxa"/>
              <w:left w:w="80" w:type="dxa"/>
              <w:bottom w:w="60" w:type="dxa"/>
              <w:right w:w="80" w:type="dxa"/>
            </w:tcMar>
          </w:tcPr>
          <w:p>
            <w:pPr>
              <w:spacing w:after="40"/>
            </w:pPr>
            <w:r>
              <w:rPr>
                <w:sz w:val="16"/>
              </w:rPr>
              <w:t>Secret Store, HTML-/URL-Policy, Maskierung</w:t>
            </w:r>
          </w:p>
        </w:tc>
        <w:tc>
          <w:tcPr>
            <w:tcW w:type="dxa" w:w="2835"/>
            <w:vAlign w:val="top"/>
            <w:tcMar>
              <w:top w:w="60" w:type="dxa"/>
              <w:left w:w="80" w:type="dxa"/>
              <w:bottom w:w="60" w:type="dxa"/>
              <w:right w:w="80" w:type="dxa"/>
            </w:tcMar>
          </w:tcPr>
          <w:p>
            <w:pPr>
              <w:spacing w:after="40"/>
            </w:pPr>
            <w:r>
              <w:rPr>
                <w:sz w:val="16"/>
              </w:rPr>
              <w:t>Domain/Contracts</w:t>
            </w:r>
          </w:p>
        </w:tc>
      </w:tr>
      <w:tr>
        <w:trPr>
          <w:cantSplit/>
        </w:trPr>
        <w:tc>
          <w:tcPr>
            <w:tcW w:type="dxa" w:w="2551"/>
            <w:vAlign w:val="top"/>
            <w:shd w:fill="F4F7F8"/>
            <w:tcMar>
              <w:top w:w="60" w:type="dxa"/>
              <w:left w:w="80" w:type="dxa"/>
              <w:bottom w:w="60" w:type="dxa"/>
              <w:right w:w="80" w:type="dxa"/>
            </w:tcMar>
          </w:tcPr>
          <w:p>
            <w:pPr>
              <w:spacing w:after="40"/>
            </w:pPr>
            <w:r>
              <w:rPr>
                <w:sz w:val="16"/>
              </w:rPr>
              <w:t>Analysis.Contracts</w:t>
            </w:r>
          </w:p>
        </w:tc>
        <w:tc>
          <w:tcPr>
            <w:tcW w:type="dxa" w:w="4139"/>
            <w:vAlign w:val="top"/>
            <w:shd w:fill="F4F7F8"/>
            <w:tcMar>
              <w:top w:w="60" w:type="dxa"/>
              <w:left w:w="80" w:type="dxa"/>
              <w:bottom w:w="60" w:type="dxa"/>
              <w:right w:w="80" w:type="dxa"/>
            </w:tcMar>
          </w:tcPr>
          <w:p>
            <w:pPr>
              <w:spacing w:after="40"/>
            </w:pPr>
            <w:r>
              <w:rPr>
                <w:sz w:val="16"/>
              </w:rPr>
              <w:t>Analyzer-, Finding- und Resultatverträge</w:t>
            </w:r>
          </w:p>
        </w:tc>
        <w:tc>
          <w:tcPr>
            <w:tcW w:type="dxa" w:w="2835"/>
            <w:vAlign w:val="top"/>
            <w:shd w:fill="F4F7F8"/>
            <w:tcMar>
              <w:top w:w="60" w:type="dxa"/>
              <w:left w:w="80" w:type="dxa"/>
              <w:bottom w:w="60" w:type="dxa"/>
              <w:right w:w="80" w:type="dxa"/>
            </w:tcMar>
          </w:tcPr>
          <w:p>
            <w:pPr>
              <w:spacing w:after="40"/>
            </w:pPr>
            <w:r>
              <w:rPr>
                <w:sz w:val="16"/>
              </w:rPr>
              <w:t>Domain, ExtensionModel</w:t>
            </w:r>
          </w:p>
        </w:tc>
      </w:tr>
      <w:tr>
        <w:trPr>
          <w:cantSplit/>
        </w:trPr>
        <w:tc>
          <w:tcPr>
            <w:tcW w:type="dxa" w:w="2551"/>
            <w:vAlign w:val="top"/>
            <w:tcMar>
              <w:top w:w="60" w:type="dxa"/>
              <w:left w:w="80" w:type="dxa"/>
              <w:bottom w:w="60" w:type="dxa"/>
              <w:right w:w="80" w:type="dxa"/>
            </w:tcMar>
          </w:tcPr>
          <w:p>
            <w:pPr>
              <w:spacing w:after="40"/>
            </w:pPr>
            <w:r>
              <w:rPr>
                <w:sz w:val="16"/>
              </w:rPr>
              <w:t>Analysis.Core</w:t>
            </w:r>
          </w:p>
        </w:tc>
        <w:tc>
          <w:tcPr>
            <w:tcW w:type="dxa" w:w="4139"/>
            <w:vAlign w:val="top"/>
            <w:tcMar>
              <w:top w:w="60" w:type="dxa"/>
              <w:left w:w="80" w:type="dxa"/>
              <w:bottom w:w="60" w:type="dxa"/>
              <w:right w:w="80" w:type="dxa"/>
            </w:tcMar>
          </w:tcPr>
          <w:p>
            <w:pPr>
              <w:spacing w:after="40"/>
            </w:pPr>
            <w:r>
              <w:rPr>
                <w:sz w:val="16"/>
              </w:rPr>
              <w:t>Warnregeln, Aggregation, Scientific Services</w:t>
            </w:r>
          </w:p>
        </w:tc>
        <w:tc>
          <w:tcPr>
            <w:tcW w:type="dxa" w:w="2835"/>
            <w:vAlign w:val="top"/>
            <w:tcMar>
              <w:top w:w="60" w:type="dxa"/>
              <w:left w:w="80" w:type="dxa"/>
              <w:bottom w:w="60" w:type="dxa"/>
              <w:right w:w="80" w:type="dxa"/>
            </w:tcMar>
          </w:tcPr>
          <w:p>
            <w:pPr>
              <w:spacing w:after="40"/>
            </w:pPr>
            <w:r>
              <w:rPr>
                <w:sz w:val="16"/>
              </w:rPr>
              <w:t>Analysis.Contracts, Security</w:t>
            </w:r>
          </w:p>
        </w:tc>
      </w:tr>
      <w:tr>
        <w:trPr>
          <w:cantSplit/>
        </w:trPr>
        <w:tc>
          <w:tcPr>
            <w:tcW w:type="dxa" w:w="2551"/>
            <w:vAlign w:val="top"/>
            <w:shd w:fill="F4F7F8"/>
            <w:tcMar>
              <w:top w:w="60" w:type="dxa"/>
              <w:left w:w="80" w:type="dxa"/>
              <w:bottom w:w="60" w:type="dxa"/>
              <w:right w:w="80" w:type="dxa"/>
            </w:tcMar>
          </w:tcPr>
          <w:p>
            <w:pPr>
              <w:spacing w:after="40"/>
            </w:pPr>
            <w:r>
              <w:rPr>
                <w:sz w:val="16"/>
              </w:rPr>
              <w:t>ExtensionModel</w:t>
            </w:r>
          </w:p>
        </w:tc>
        <w:tc>
          <w:tcPr>
            <w:tcW w:type="dxa" w:w="4139"/>
            <w:vAlign w:val="top"/>
            <w:shd w:fill="F4F7F8"/>
            <w:tcMar>
              <w:top w:w="60" w:type="dxa"/>
              <w:left w:w="80" w:type="dxa"/>
              <w:bottom w:w="60" w:type="dxa"/>
              <w:right w:w="80" w:type="dxa"/>
            </w:tcMar>
          </w:tcPr>
          <w:p>
            <w:pPr>
              <w:spacing w:after="40"/>
            </w:pPr>
            <w:r>
              <w:rPr>
                <w:sz w:val="16"/>
              </w:rPr>
              <w:t>kleine stabile Erweiterungsverträge</w:t>
            </w:r>
          </w:p>
        </w:tc>
        <w:tc>
          <w:tcPr>
            <w:tcW w:type="dxa" w:w="2835"/>
            <w:vAlign w:val="top"/>
            <w:shd w:fill="F4F7F8"/>
            <w:tcMar>
              <w:top w:w="60" w:type="dxa"/>
              <w:left w:w="80" w:type="dxa"/>
              <w:bottom w:w="60" w:type="dxa"/>
              <w:right w:w="80" w:type="dxa"/>
            </w:tcMar>
          </w:tcPr>
          <w:p>
            <w:pPr>
              <w:spacing w:after="40"/>
            </w:pPr>
            <w:r>
              <w:rPr>
                <w:sz w:val="16"/>
              </w:rPr>
              <w:t>BCL, Domain DTOs</w:t>
            </w:r>
          </w:p>
        </w:tc>
      </w:tr>
      <w:tr>
        <w:trPr>
          <w:cantSplit/>
        </w:trPr>
        <w:tc>
          <w:tcPr>
            <w:tcW w:type="dxa" w:w="2551"/>
            <w:vAlign w:val="top"/>
            <w:tcMar>
              <w:top w:w="60" w:type="dxa"/>
              <w:left w:w="80" w:type="dxa"/>
              <w:bottom w:w="60" w:type="dxa"/>
              <w:right w:w="80" w:type="dxa"/>
            </w:tcMar>
          </w:tcPr>
          <w:p>
            <w:pPr>
              <w:spacing w:after="40"/>
            </w:pPr>
            <w:r>
              <w:rPr>
                <w:sz w:val="16"/>
              </w:rPr>
              <w:t>Presentation.Core</w:t>
            </w:r>
          </w:p>
        </w:tc>
        <w:tc>
          <w:tcPr>
            <w:tcW w:type="dxa" w:w="4139"/>
            <w:vAlign w:val="top"/>
            <w:tcMar>
              <w:top w:w="60" w:type="dxa"/>
              <w:left w:w="80" w:type="dxa"/>
              <w:bottom w:w="60" w:type="dxa"/>
              <w:right w:w="80" w:type="dxa"/>
            </w:tcMar>
          </w:tcPr>
          <w:p>
            <w:pPr>
              <w:spacing w:after="40"/>
            </w:pPr>
            <w:r>
              <w:rPr>
                <w:sz w:val="16"/>
              </w:rPr>
              <w:t>ViewModels, Presenter, UI-Zustände, Dialogports</w:t>
            </w:r>
          </w:p>
        </w:tc>
        <w:tc>
          <w:tcPr>
            <w:tcW w:type="dxa" w:w="2835"/>
            <w:vAlign w:val="top"/>
            <w:tcMar>
              <w:top w:w="60" w:type="dxa"/>
              <w:left w:w="80" w:type="dxa"/>
              <w:bottom w:w="60" w:type="dxa"/>
              <w:right w:w="80" w:type="dxa"/>
            </w:tcMar>
          </w:tcPr>
          <w:p>
            <w:pPr>
              <w:spacing w:after="40"/>
            </w:pPr>
            <w:r>
              <w:rPr>
                <w:sz w:val="16"/>
              </w:rPr>
              <w:t>Application.Contracts</w:t>
            </w:r>
          </w:p>
        </w:tc>
      </w:tr>
      <w:tr>
        <w:trPr>
          <w:cantSplit/>
        </w:trPr>
        <w:tc>
          <w:tcPr>
            <w:tcW w:type="dxa" w:w="2551"/>
            <w:vAlign w:val="top"/>
            <w:shd w:fill="F4F7F8"/>
            <w:tcMar>
              <w:top w:w="60" w:type="dxa"/>
              <w:left w:w="80" w:type="dxa"/>
              <w:bottom w:w="60" w:type="dxa"/>
              <w:right w:w="80" w:type="dxa"/>
            </w:tcMar>
          </w:tcPr>
          <w:p>
            <w:pPr>
              <w:spacing w:after="40"/>
            </w:pPr>
            <w:r>
              <w:rPr>
                <w:sz w:val="16"/>
              </w:rPr>
              <w:t>Presentation.WinForms</w:t>
            </w:r>
          </w:p>
        </w:tc>
        <w:tc>
          <w:tcPr>
            <w:tcW w:type="dxa" w:w="4139"/>
            <w:vAlign w:val="top"/>
            <w:shd w:fill="F4F7F8"/>
            <w:tcMar>
              <w:top w:w="60" w:type="dxa"/>
              <w:left w:w="80" w:type="dxa"/>
              <w:bottom w:w="60" w:type="dxa"/>
              <w:right w:w="80" w:type="dxa"/>
            </w:tcMar>
          </w:tcPr>
          <w:p>
            <w:pPr>
              <w:spacing w:after="40"/>
            </w:pPr>
            <w:r>
              <w:rPr>
                <w:sz w:val="16"/>
              </w:rPr>
              <w:t>Forms, Controls, Ressourcen, UI-Service-Adapter</w:t>
            </w:r>
          </w:p>
        </w:tc>
        <w:tc>
          <w:tcPr>
            <w:tcW w:type="dxa" w:w="2835"/>
            <w:vAlign w:val="top"/>
            <w:shd w:fill="F4F7F8"/>
            <w:tcMar>
              <w:top w:w="60" w:type="dxa"/>
              <w:left w:w="80" w:type="dxa"/>
              <w:bottom w:w="60" w:type="dxa"/>
              <w:right w:w="80" w:type="dxa"/>
            </w:tcMar>
          </w:tcPr>
          <w:p>
            <w:pPr>
              <w:spacing w:after="40"/>
            </w:pPr>
            <w:r>
              <w:rPr>
                <w:sz w:val="16"/>
              </w:rPr>
              <w:t>Presentation.Core, WinForms</w:t>
            </w:r>
          </w:p>
        </w:tc>
      </w:tr>
      <w:tr>
        <w:trPr>
          <w:cantSplit/>
        </w:trPr>
        <w:tc>
          <w:tcPr>
            <w:tcW w:type="dxa" w:w="2551"/>
            <w:vAlign w:val="top"/>
            <w:tcMar>
              <w:top w:w="60" w:type="dxa"/>
              <w:left w:w="80" w:type="dxa"/>
              <w:bottom w:w="60" w:type="dxa"/>
              <w:right w:w="80" w:type="dxa"/>
            </w:tcMar>
          </w:tcPr>
          <w:p>
            <w:pPr>
              <w:spacing w:after="40"/>
            </w:pPr>
            <w:r>
              <w:rPr>
                <w:sz w:val="16"/>
              </w:rPr>
              <w:t>Host.WinForms</w:t>
            </w:r>
          </w:p>
        </w:tc>
        <w:tc>
          <w:tcPr>
            <w:tcW w:type="dxa" w:w="4139"/>
            <w:vAlign w:val="top"/>
            <w:tcMar>
              <w:top w:w="60" w:type="dxa"/>
              <w:left w:w="80" w:type="dxa"/>
              <w:bottom w:w="60" w:type="dxa"/>
              <w:right w:w="80" w:type="dxa"/>
            </w:tcMar>
          </w:tcPr>
          <w:p>
            <w:pPr>
              <w:spacing w:after="40"/>
            </w:pPr>
            <w:r>
              <w:rPr>
                <w:sz w:val="16"/>
              </w:rPr>
              <w:t>Composition Root, Konfiguration, Logging, Start</w:t>
            </w:r>
          </w:p>
        </w:tc>
        <w:tc>
          <w:tcPr>
            <w:tcW w:type="dxa" w:w="2835"/>
            <w:vAlign w:val="top"/>
            <w:tcMar>
              <w:top w:w="60" w:type="dxa"/>
              <w:left w:w="80" w:type="dxa"/>
              <w:bottom w:w="60" w:type="dxa"/>
              <w:right w:w="80" w:type="dxa"/>
            </w:tcMar>
          </w:tcPr>
          <w:p>
            <w:pPr>
              <w:spacing w:after="40"/>
            </w:pPr>
            <w:r>
              <w:rPr>
                <w:sz w:val="16"/>
              </w:rPr>
              <w:t>alle konkreten Implementierungen</w:t>
            </w:r>
          </w:p>
        </w:tc>
      </w:tr>
    </w:tbl>
    <w:p>
      <w:pPr>
        <w:keepLines/>
      </w:pPr>
    </w:p>
    <w:p>
      <w:pPr>
        <w:pStyle w:val="Heading2"/>
        <w:keepNext/>
        <w:keepLines/>
      </w:pPr>
      <w:r>
        <w:t>3.1 Verbotene Referenzen</w:t>
      </w:r>
    </w:p>
    <w:p>
      <w:pPr>
        <w:pStyle w:val="ListBullet"/>
        <w:keepLines/>
      </w:pPr>
      <w:r>
        <w:t>Domain, Application, Mail.Abstractions, Persistence.Abstractions, Security, Analysis.Contracts, ExtensionModel und Presentation.Core dürfen kein System.Windows.Forms referenzieren.</w:t>
      </w:r>
    </w:p>
    <w:p>
      <w:pPr>
        <w:pStyle w:val="ListBullet"/>
        <w:keepLines/>
      </w:pPr>
      <w:r>
        <w:t>Presentation.WinForms darf MailKit und Microsoft.Data.Sqlite nicht referenzieren.</w:t>
      </w:r>
    </w:p>
    <w:p>
      <w:pPr>
        <w:pStyle w:val="ListBullet"/>
        <w:keepLines/>
      </w:pPr>
      <w:r>
        <w:t>Domain darf keine Microsoft.Extensions-, JSON-, Datenbank-, Netzwerk- oder UI-Abhängigkeit besitzen.</w:t>
      </w:r>
    </w:p>
    <w:p>
      <w:pPr>
        <w:pStyle w:val="ListBullet"/>
        <w:keepLines/>
      </w:pPr>
      <w:r>
        <w:t>MailKit-Typen dürfen nur im Projekt Mail.MailKit und in dessen internen Tests vorkommen.</w:t>
      </w:r>
    </w:p>
    <w:p>
      <w:pPr>
        <w:pStyle w:val="ListBullet"/>
        <w:keepLines/>
      </w:pPr>
      <w:r>
        <w:t>SqliteConnection, SqliteCommand und SQL-Details dürfen nur im Projekt Persistence.Sqlite vorkommen.</w:t>
      </w:r>
    </w:p>
    <w:p>
      <w:pPr>
        <w:pStyle w:val="ListBullet"/>
        <w:keepLines/>
      </w:pPr>
      <w:r>
        <w:t>Host.WinForms ist der einzige Composition Root und darf konkrete Implementierungen zusammenführen.</w:t>
      </w:r>
    </w:p>
    <w:p>
      <w:pPr>
        <w:pStyle w:val="Heading1"/>
        <w:keepNext/>
        <w:keepLines/>
      </w:pPr>
      <w:r>
        <w:t>4. Laufzeit-, Installations- und Datenverzeichnisstruktur</w:t>
      </w:r>
    </w:p>
    <w:tbl>
      <w:tblPr>
        <w:tblStyle w:val="TableGrid"/>
        <w:tblW w:type="auto" w:w="0"/>
        <w:tblLook w:firstColumn="1" w:firstRow="1" w:lastColumn="0" w:lastRow="0" w:noHBand="0" w:noVBand="1" w:val="04A0"/>
      </w:tblPr>
      <w:tblGrid>
        <w:gridCol w:w="10029"/>
      </w:tblGrid>
      <w:tr>
        <w:trPr>
          <w:cantSplit/>
          <w:tblHeader/>
        </w:trPr>
        <w:tc>
          <w:tcPr>
            <w:tcW w:type="dxa" w:w="10029"/>
            <w:shd w:fill="F1F3F4"/>
            <w:tcMar>
              <w:top w:w="60" w:type="dxa"/>
              <w:left w:w="80" w:type="dxa"/>
              <w:bottom w:w="60" w:type="dxa"/>
              <w:right w:w="80" w:type="dxa"/>
            </w:tcMar>
          </w:tcPr>
          <w:p>
            <w:pPr>
              <w:spacing w:after="0"/>
            </w:pPr>
            <w:r>
              <w:rPr>
                <w:rFonts w:ascii="Consolas" w:hAnsi="Consolas"/>
                <w:sz w:val="17"/>
              </w:rPr>
              <w:t>%LocalAppData%\SASD-GmbH\MailWorkbench├─ config\                 nicht geheime Konfiguration, Providerprofile, Themes</w:t>
              <w:br/>
              <w:t>├─ database\mailworkbench.db</w:t>
              <w:br/>
              <w:t>├─ raw-mails\&lt;account&gt;\&lt;yyyy&gt;\&lt;mm&gt;\&lt;message-id&gt;.eml</w:t>
              <w:br/>
              <w:t>├─ attachments-cache\      optional, jederzeit rekonstruierbar</w:t>
              <w:br/>
              <w:t>├─ drafts\                 verwaltete Entwurfsanhänge</w:t>
              <w:br/>
              <w:t>├─ temp\                    laufbezogene temporäre Dateien</w:t>
              <w:br/>
              <w:t>├─ logs\                    strukturierte lokale Logs</w:t>
              <w:br/>
              <w:t>├─ backups\                vom Nutzer erzeugte Sicherungen</w:t>
              <w:br/>
              <w:t>├─ exports\                explizite Exporte</w:t>
              <w:br/>
              <w:t>└─ diagnostics\            vorbereitete Diagnosepakete</w:t>
              <w:br/>
            </w:r>
          </w:p>
        </w:tc>
      </w:tr>
    </w:tbl>
    <w:p>
      <w:pPr>
        <w:keepLines/>
      </w:pP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268"/>
            <w:shd w:fill="244A5A"/>
            <w:vAlign w:val="center"/>
            <w:tcMar>
              <w:top w:w="60" w:type="dxa"/>
              <w:left w:w="80" w:type="dxa"/>
              <w:bottom w:w="60" w:type="dxa"/>
              <w:right w:w="80" w:type="dxa"/>
            </w:tcMar>
          </w:tcPr>
          <w:p>
            <w:pPr>
              <w:jc w:val="center"/>
            </w:pPr>
            <w:r>
              <w:rPr>
                <w:b/>
                <w:color w:val="FFFFFF"/>
                <w:sz w:val="17"/>
              </w:rPr>
              <w:t>Bereich</w:t>
            </w:r>
          </w:p>
        </w:tc>
        <w:tc>
          <w:tcPr>
            <w:tcW w:type="dxa" w:w="7087"/>
            <w:shd w:fill="244A5A"/>
            <w:vAlign w:val="center"/>
            <w:tcMar>
              <w:top w:w="60" w:type="dxa"/>
              <w:left w:w="80" w:type="dxa"/>
              <w:bottom w:w="60" w:type="dxa"/>
              <w:right w:w="80" w:type="dxa"/>
            </w:tcMar>
          </w:tcPr>
          <w:p>
            <w:pPr>
              <w:jc w:val="center"/>
            </w:pPr>
            <w:r>
              <w:rPr>
                <w:b/>
                <w:color w:val="FFFFFF"/>
                <w:sz w:val="17"/>
              </w:rPr>
              <w:t>Regel</w:t>
            </w:r>
          </w:p>
        </w:tc>
      </w:tr>
      <w:tr>
        <w:trPr>
          <w:cantSplit/>
        </w:trPr>
        <w:tc>
          <w:tcPr>
            <w:tcW w:type="dxa" w:w="2268"/>
            <w:vAlign w:val="top"/>
            <w:shd w:fill="F4F7F8"/>
            <w:tcMar>
              <w:top w:w="60" w:type="dxa"/>
              <w:left w:w="80" w:type="dxa"/>
              <w:bottom w:w="60" w:type="dxa"/>
              <w:right w:w="80" w:type="dxa"/>
            </w:tcMar>
          </w:tcPr>
          <w:p>
            <w:pPr>
              <w:spacing w:after="40"/>
            </w:pPr>
            <w:r>
              <w:rPr>
                <w:sz w:val="17"/>
              </w:rPr>
              <w:t>Program Files</w:t>
            </w:r>
          </w:p>
        </w:tc>
        <w:tc>
          <w:tcPr>
            <w:tcW w:type="dxa" w:w="7087"/>
            <w:vAlign w:val="top"/>
            <w:shd w:fill="F4F7F8"/>
            <w:tcMar>
              <w:top w:w="60" w:type="dxa"/>
              <w:left w:w="80" w:type="dxa"/>
              <w:bottom w:w="60" w:type="dxa"/>
              <w:right w:w="80" w:type="dxa"/>
            </w:tcMar>
          </w:tcPr>
          <w:p>
            <w:pPr>
              <w:spacing w:after="40"/>
            </w:pPr>
            <w:r>
              <w:rPr>
                <w:sz w:val="17"/>
              </w:rPr>
              <w:t>Nur Binärdateien und unveränderliche Ressourcen; keine Benutzerdaten.</w:t>
            </w:r>
          </w:p>
        </w:tc>
      </w:tr>
      <w:tr>
        <w:trPr>
          <w:cantSplit/>
        </w:trPr>
        <w:tc>
          <w:tcPr>
            <w:tcW w:type="dxa" w:w="2268"/>
            <w:vAlign w:val="top"/>
            <w:tcMar>
              <w:top w:w="60" w:type="dxa"/>
              <w:left w:w="80" w:type="dxa"/>
              <w:bottom w:w="60" w:type="dxa"/>
              <w:right w:w="80" w:type="dxa"/>
            </w:tcMar>
          </w:tcPr>
          <w:p>
            <w:pPr>
              <w:spacing w:after="40"/>
            </w:pPr>
            <w:r>
              <w:rPr>
                <w:sz w:val="17"/>
              </w:rPr>
              <w:t>LocalAppData</w:t>
            </w:r>
          </w:p>
        </w:tc>
        <w:tc>
          <w:tcPr>
            <w:tcW w:type="dxa" w:w="7087"/>
            <w:vAlign w:val="top"/>
            <w:tcMar>
              <w:top w:w="60" w:type="dxa"/>
              <w:left w:w="80" w:type="dxa"/>
              <w:bottom w:w="60" w:type="dxa"/>
              <w:right w:w="80" w:type="dxa"/>
            </w:tcMar>
          </w:tcPr>
          <w:p>
            <w:pPr>
              <w:spacing w:after="40"/>
            </w:pPr>
            <w:r>
              <w:rPr>
                <w:sz w:val="17"/>
              </w:rPr>
              <w:t>Profilbezogene Daten; Standardablage für DB, Rohmails, Logs und Cache.</w:t>
            </w:r>
          </w:p>
        </w:tc>
      </w:tr>
      <w:tr>
        <w:trPr>
          <w:cantSplit/>
        </w:trPr>
        <w:tc>
          <w:tcPr>
            <w:tcW w:type="dxa" w:w="2268"/>
            <w:vAlign w:val="top"/>
            <w:shd w:fill="F4F7F8"/>
            <w:tcMar>
              <w:top w:w="60" w:type="dxa"/>
              <w:left w:w="80" w:type="dxa"/>
              <w:bottom w:w="60" w:type="dxa"/>
              <w:right w:w="80" w:type="dxa"/>
            </w:tcMar>
          </w:tcPr>
          <w:p>
            <w:pPr>
              <w:spacing w:after="40"/>
            </w:pPr>
            <w:r>
              <w:rPr>
                <w:sz w:val="17"/>
              </w:rPr>
              <w:t>Secrets</w:t>
            </w:r>
          </w:p>
        </w:tc>
        <w:tc>
          <w:tcPr>
            <w:tcW w:type="dxa" w:w="7087"/>
            <w:vAlign w:val="top"/>
            <w:shd w:fill="F4F7F8"/>
            <w:tcMar>
              <w:top w:w="60" w:type="dxa"/>
              <w:left w:w="80" w:type="dxa"/>
              <w:bottom w:w="60" w:type="dxa"/>
              <w:right w:w="80" w:type="dxa"/>
            </w:tcMar>
          </w:tcPr>
          <w:p>
            <w:pPr>
              <w:spacing w:after="40"/>
            </w:pPr>
            <w:r>
              <w:rPr>
                <w:sz w:val="17"/>
              </w:rPr>
              <w:t>Nicht im Dateibaum; Windows Credential Manager/DPAPI hinter ISecretStore.</w:t>
            </w:r>
          </w:p>
        </w:tc>
      </w:tr>
      <w:tr>
        <w:trPr>
          <w:cantSplit/>
        </w:trPr>
        <w:tc>
          <w:tcPr>
            <w:tcW w:type="dxa" w:w="2268"/>
            <w:vAlign w:val="top"/>
            <w:tcMar>
              <w:top w:w="60" w:type="dxa"/>
              <w:left w:w="80" w:type="dxa"/>
              <w:bottom w:w="60" w:type="dxa"/>
              <w:right w:w="80" w:type="dxa"/>
            </w:tcMar>
          </w:tcPr>
          <w:p>
            <w:pPr>
              <w:spacing w:after="40"/>
            </w:pPr>
            <w:r>
              <w:rPr>
                <w:sz w:val="17"/>
              </w:rPr>
              <w:t>Temp</w:t>
            </w:r>
          </w:p>
        </w:tc>
        <w:tc>
          <w:tcPr>
            <w:tcW w:type="dxa" w:w="7087"/>
            <w:vAlign w:val="top"/>
            <w:tcMar>
              <w:top w:w="60" w:type="dxa"/>
              <w:left w:w="80" w:type="dxa"/>
              <w:bottom w:w="60" w:type="dxa"/>
              <w:right w:w="80" w:type="dxa"/>
            </w:tcMar>
          </w:tcPr>
          <w:p>
            <w:pPr>
              <w:spacing w:after="40"/>
            </w:pPr>
            <w:r>
              <w:rPr>
                <w:sz w:val="17"/>
              </w:rPr>
              <w:t>Jeder Lauf erhält Unterordner; Startup-Reconciler entfernt nur eindeutig verwaiste Dateien.</w:t>
            </w:r>
          </w:p>
        </w:tc>
      </w:tr>
      <w:tr>
        <w:trPr>
          <w:cantSplit/>
        </w:trPr>
        <w:tc>
          <w:tcPr>
            <w:tcW w:type="dxa" w:w="2268"/>
            <w:vAlign w:val="top"/>
            <w:shd w:fill="F4F7F8"/>
            <w:tcMar>
              <w:top w:w="60" w:type="dxa"/>
              <w:left w:w="80" w:type="dxa"/>
              <w:bottom w:w="60" w:type="dxa"/>
              <w:right w:w="80" w:type="dxa"/>
            </w:tcMar>
          </w:tcPr>
          <w:p>
            <w:pPr>
              <w:spacing w:after="40"/>
            </w:pPr>
            <w:r>
              <w:rPr>
                <w:sz w:val="17"/>
              </w:rPr>
              <w:t>Dateiberechtigungen</w:t>
            </w:r>
          </w:p>
        </w:tc>
        <w:tc>
          <w:tcPr>
            <w:tcW w:type="dxa" w:w="7087"/>
            <w:vAlign w:val="top"/>
            <w:shd w:fill="F4F7F8"/>
            <w:tcMar>
              <w:top w:w="60" w:type="dxa"/>
              <w:left w:w="80" w:type="dxa"/>
              <w:bottom w:w="60" w:type="dxa"/>
              <w:right w:w="80" w:type="dxa"/>
            </w:tcMar>
          </w:tcPr>
          <w:p>
            <w:pPr>
              <w:spacing w:after="40"/>
            </w:pPr>
            <w:r>
              <w:rPr>
                <w:sz w:val="17"/>
              </w:rPr>
              <w:t>Vererbung des Benutzerprofils; keine globalen Schreibrechte.</w:t>
            </w:r>
          </w:p>
        </w:tc>
      </w:tr>
      <w:tr>
        <w:trPr>
          <w:cantSplit/>
        </w:trPr>
        <w:tc>
          <w:tcPr>
            <w:tcW w:type="dxa" w:w="2268"/>
            <w:vAlign w:val="top"/>
            <w:tcMar>
              <w:top w:w="60" w:type="dxa"/>
              <w:left w:w="80" w:type="dxa"/>
              <w:bottom w:w="60" w:type="dxa"/>
              <w:right w:w="80" w:type="dxa"/>
            </w:tcMar>
          </w:tcPr>
          <w:p>
            <w:pPr>
              <w:spacing w:after="40"/>
            </w:pPr>
            <w:r>
              <w:rPr>
                <w:sz w:val="17"/>
              </w:rPr>
              <w:t>Portable Mode</w:t>
            </w:r>
          </w:p>
        </w:tc>
        <w:tc>
          <w:tcPr>
            <w:tcW w:type="dxa" w:w="7087"/>
            <w:vAlign w:val="top"/>
            <w:tcMar>
              <w:top w:w="60" w:type="dxa"/>
              <w:left w:w="80" w:type="dxa"/>
              <w:bottom w:w="60" w:type="dxa"/>
              <w:right w:w="80" w:type="dxa"/>
            </w:tcMar>
          </w:tcPr>
          <w:p>
            <w:pPr>
              <w:spacing w:after="40"/>
            </w:pPr>
            <w:r>
              <w:rPr>
                <w:sz w:val="17"/>
              </w:rPr>
              <w:t>Nicht Teil von 1.0, da Secret- und Datenschutzmodell separat spezifiziert werden müsste.</w:t>
            </w:r>
          </w:p>
        </w:tc>
      </w:tr>
    </w:tbl>
    <w:p>
      <w:pPr>
        <w:keepLines/>
      </w:pPr>
    </w:p>
    <w:p>
      <w:pPr>
        <w:pStyle w:val="Heading1"/>
        <w:keepNext/>
        <w:keepLines/>
      </w:pPr>
      <w:r>
        <w:t>5. Domänenmodell und Zustandsautomaten</w:t>
      </w:r>
    </w:p>
    <w:p>
      <w:pPr>
        <w:keepLines/>
      </w:pPr>
      <w:r>
        <w:drawing>
          <wp:inline xmlns:a="http://schemas.openxmlformats.org/drawingml/2006/main" xmlns:pic="http://schemas.openxmlformats.org/drawingml/2006/picture">
            <wp:extent cx="5868000" cy="3404043"/>
            <wp:docPr id="3" name="Picture 3" descr="Image: image2.png"/>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868000" cy="3404043"/>
                    </a:xfrm>
                    <a:prstGeom prst="rect"/>
                  </pic:spPr>
                </pic:pic>
              </a:graphicData>
            </a:graphic>
          </wp:inline>
        </w:drawing>
      </w:r>
    </w:p>
    <w:p>
      <w:pPr>
        <w:pStyle w:val="Caption"/>
        <w:jc w:val="center"/>
        <w:keepLines/>
      </w:pPr>
      <w:r>
        <w:t>Abbildung 3: Fachliche Kernobjekte und Kardinalitäten</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871"/>
            <w:shd w:fill="244A5A"/>
            <w:vAlign w:val="center"/>
            <w:tcMar>
              <w:top w:w="60" w:type="dxa"/>
              <w:left w:w="80" w:type="dxa"/>
              <w:bottom w:w="60" w:type="dxa"/>
              <w:right w:w="80" w:type="dxa"/>
            </w:tcMar>
          </w:tcPr>
          <w:p>
            <w:pPr>
              <w:jc w:val="center"/>
            </w:pPr>
            <w:r>
              <w:rPr>
                <w:b/>
                <w:color w:val="FFFFFF"/>
                <w:sz w:val="16"/>
              </w:rPr>
              <w:t>Typ</w:t>
            </w:r>
          </w:p>
        </w:tc>
        <w:tc>
          <w:tcPr>
            <w:tcW w:type="dxa" w:w="3969"/>
            <w:shd w:fill="244A5A"/>
            <w:vAlign w:val="center"/>
            <w:tcMar>
              <w:top w:w="60" w:type="dxa"/>
              <w:left w:w="80" w:type="dxa"/>
              <w:bottom w:w="60" w:type="dxa"/>
              <w:right w:w="80" w:type="dxa"/>
            </w:tcMar>
          </w:tcPr>
          <w:p>
            <w:pPr>
              <w:jc w:val="center"/>
            </w:pPr>
            <w:r>
              <w:rPr>
                <w:b/>
                <w:color w:val="FFFFFF"/>
                <w:sz w:val="16"/>
              </w:rPr>
              <w:t>Schlüsselattribute</w:t>
            </w:r>
          </w:p>
        </w:tc>
        <w:tc>
          <w:tcPr>
            <w:tcW w:type="dxa" w:w="3515"/>
            <w:shd w:fill="244A5A"/>
            <w:vAlign w:val="center"/>
            <w:tcMar>
              <w:top w:w="60" w:type="dxa"/>
              <w:left w:w="80" w:type="dxa"/>
              <w:bottom w:w="60" w:type="dxa"/>
              <w:right w:w="80" w:type="dxa"/>
            </w:tcMar>
          </w:tcPr>
          <w:p>
            <w:pPr>
              <w:jc w:val="center"/>
            </w:pPr>
            <w:r>
              <w:rPr>
                <w:b/>
                <w:color w:val="FFFFFF"/>
                <w:sz w:val="16"/>
              </w:rPr>
              <w:t>Invarianten</w:t>
            </w:r>
          </w:p>
        </w:tc>
      </w:tr>
      <w:tr>
        <w:trPr>
          <w:cantSplit/>
        </w:trPr>
        <w:tc>
          <w:tcPr>
            <w:tcW w:type="dxa" w:w="1871"/>
            <w:vAlign w:val="top"/>
            <w:shd w:fill="F4F7F8"/>
            <w:tcMar>
              <w:top w:w="60" w:type="dxa"/>
              <w:left w:w="80" w:type="dxa"/>
              <w:bottom w:w="60" w:type="dxa"/>
              <w:right w:w="80" w:type="dxa"/>
            </w:tcMar>
          </w:tcPr>
          <w:p>
            <w:pPr>
              <w:spacing w:after="40"/>
            </w:pPr>
            <w:r>
              <w:rPr>
                <w:sz w:val="16"/>
              </w:rPr>
              <w:t>MailAccount</w:t>
            </w:r>
          </w:p>
        </w:tc>
        <w:tc>
          <w:tcPr>
            <w:tcW w:type="dxa" w:w="3969"/>
            <w:vAlign w:val="top"/>
            <w:shd w:fill="F4F7F8"/>
            <w:tcMar>
              <w:top w:w="60" w:type="dxa"/>
              <w:left w:w="80" w:type="dxa"/>
              <w:bottom w:w="60" w:type="dxa"/>
              <w:right w:w="80" w:type="dxa"/>
            </w:tcMar>
          </w:tcPr>
          <w:p>
            <w:pPr>
              <w:spacing w:after="40"/>
            </w:pPr>
            <w:r>
              <w:rPr>
                <w:sz w:val="16"/>
              </w:rPr>
              <w:t>AccountId, DisplayName, EmailAddress, Incoming/Outgoing settings, SecretReference, IsEnabled</w:t>
            </w:r>
          </w:p>
        </w:tc>
        <w:tc>
          <w:tcPr>
            <w:tcW w:type="dxa" w:w="3515"/>
            <w:vAlign w:val="top"/>
            <w:shd w:fill="F4F7F8"/>
            <w:tcMar>
              <w:top w:w="60" w:type="dxa"/>
              <w:left w:w="80" w:type="dxa"/>
              <w:bottom w:w="60" w:type="dxa"/>
              <w:right w:w="80" w:type="dxa"/>
            </w:tcMar>
          </w:tcPr>
          <w:p>
            <w:pPr>
              <w:spacing w:after="40"/>
            </w:pPr>
            <w:r>
              <w:rPr>
                <w:sz w:val="16"/>
              </w:rPr>
              <w:t>Keine Secretwerte; Ports 1..65535; SecurityMode niemals None im Produktivbetrieb.</w:t>
            </w:r>
          </w:p>
        </w:tc>
      </w:tr>
      <w:tr>
        <w:trPr>
          <w:cantSplit/>
        </w:trPr>
        <w:tc>
          <w:tcPr>
            <w:tcW w:type="dxa" w:w="1871"/>
            <w:vAlign w:val="top"/>
            <w:tcMar>
              <w:top w:w="60" w:type="dxa"/>
              <w:left w:w="80" w:type="dxa"/>
              <w:bottom w:w="60" w:type="dxa"/>
              <w:right w:w="80" w:type="dxa"/>
            </w:tcMar>
          </w:tcPr>
          <w:p>
            <w:pPr>
              <w:spacing w:after="40"/>
            </w:pPr>
            <w:r>
              <w:rPr>
                <w:sz w:val="16"/>
              </w:rPr>
              <w:t>RawMessage</w:t>
            </w:r>
          </w:p>
        </w:tc>
        <w:tc>
          <w:tcPr>
            <w:tcW w:type="dxa" w:w="3969"/>
            <w:vAlign w:val="top"/>
            <w:tcMar>
              <w:top w:w="60" w:type="dxa"/>
              <w:left w:w="80" w:type="dxa"/>
              <w:bottom w:w="60" w:type="dxa"/>
              <w:right w:w="80" w:type="dxa"/>
            </w:tcMar>
          </w:tcPr>
          <w:p>
            <w:pPr>
              <w:spacing w:after="40"/>
            </w:pPr>
            <w:r>
              <w:rPr>
                <w:sz w:val="16"/>
              </w:rPr>
              <w:t>MessageId, AccountId, Uidl, RawSha256, RawLength, StoragePath, Provenance</w:t>
            </w:r>
          </w:p>
        </w:tc>
        <w:tc>
          <w:tcPr>
            <w:tcW w:type="dxa" w:w="3515"/>
            <w:vAlign w:val="top"/>
            <w:tcMar>
              <w:top w:w="60" w:type="dxa"/>
              <w:left w:w="80" w:type="dxa"/>
              <w:bottom w:w="60" w:type="dxa"/>
              <w:right w:w="80" w:type="dxa"/>
            </w:tcMar>
          </w:tcPr>
          <w:p>
            <w:pPr>
              <w:spacing w:after="40"/>
            </w:pPr>
            <w:r>
              <w:rPr>
                <w:sz w:val="16"/>
              </w:rPr>
              <w:t>Nach RawStored unveränderlich; Hash und Länge entsprechen exakt der Datei.</w:t>
            </w:r>
          </w:p>
        </w:tc>
      </w:tr>
      <w:tr>
        <w:trPr>
          <w:cantSplit/>
        </w:trPr>
        <w:tc>
          <w:tcPr>
            <w:tcW w:type="dxa" w:w="1871"/>
            <w:vAlign w:val="top"/>
            <w:shd w:fill="F4F7F8"/>
            <w:tcMar>
              <w:top w:w="60" w:type="dxa"/>
              <w:left w:w="80" w:type="dxa"/>
              <w:bottom w:w="60" w:type="dxa"/>
              <w:right w:w="80" w:type="dxa"/>
            </w:tcMar>
          </w:tcPr>
          <w:p>
            <w:pPr>
              <w:spacing w:after="40"/>
            </w:pPr>
            <w:r>
              <w:rPr>
                <w:sz w:val="16"/>
              </w:rPr>
              <w:t>ParsedMessage</w:t>
            </w:r>
          </w:p>
        </w:tc>
        <w:tc>
          <w:tcPr>
            <w:tcW w:type="dxa" w:w="3969"/>
            <w:vAlign w:val="top"/>
            <w:shd w:fill="F4F7F8"/>
            <w:tcMar>
              <w:top w:w="60" w:type="dxa"/>
              <w:left w:w="80" w:type="dxa"/>
              <w:bottom w:w="60" w:type="dxa"/>
              <w:right w:w="80" w:type="dxa"/>
            </w:tcMar>
          </w:tcPr>
          <w:p>
            <w:pPr>
              <w:spacing w:after="40"/>
            </w:pPr>
            <w:r>
              <w:rPr>
                <w:sz w:val="16"/>
              </w:rPr>
              <w:t>MessageId, ParserVersion, Header/Body DTOs, Attachment descriptors</w:t>
            </w:r>
          </w:p>
        </w:tc>
        <w:tc>
          <w:tcPr>
            <w:tcW w:type="dxa" w:w="3515"/>
            <w:vAlign w:val="top"/>
            <w:shd w:fill="F4F7F8"/>
            <w:tcMar>
              <w:top w:w="60" w:type="dxa"/>
              <w:left w:w="80" w:type="dxa"/>
              <w:bottom w:w="60" w:type="dxa"/>
              <w:right w:w="80" w:type="dxa"/>
            </w:tcMar>
          </w:tcPr>
          <w:p>
            <w:pPr>
              <w:spacing w:after="40"/>
            </w:pPr>
            <w:r>
              <w:rPr>
                <w:sz w:val="16"/>
              </w:rPr>
              <w:t>Nur abgeleitete Daten; kann neu erzeugt werden.</w:t>
            </w:r>
          </w:p>
        </w:tc>
      </w:tr>
      <w:tr>
        <w:trPr>
          <w:cantSplit/>
        </w:trPr>
        <w:tc>
          <w:tcPr>
            <w:tcW w:type="dxa" w:w="1871"/>
            <w:vAlign w:val="top"/>
            <w:tcMar>
              <w:top w:w="60" w:type="dxa"/>
              <w:left w:w="80" w:type="dxa"/>
              <w:bottom w:w="60" w:type="dxa"/>
              <w:right w:w="80" w:type="dxa"/>
            </w:tcMar>
          </w:tcPr>
          <w:p>
            <w:pPr>
              <w:spacing w:after="40"/>
            </w:pPr>
            <w:r>
              <w:rPr>
                <w:sz w:val="16"/>
              </w:rPr>
              <w:t>FetchRun</w:t>
            </w:r>
          </w:p>
        </w:tc>
        <w:tc>
          <w:tcPr>
            <w:tcW w:type="dxa" w:w="3969"/>
            <w:vAlign w:val="top"/>
            <w:tcMar>
              <w:top w:w="60" w:type="dxa"/>
              <w:left w:w="80" w:type="dxa"/>
              <w:bottom w:w="60" w:type="dxa"/>
              <w:right w:w="80" w:type="dxa"/>
            </w:tcMar>
          </w:tcPr>
          <w:p>
            <w:pPr>
              <w:spacing w:after="40"/>
            </w:pPr>
            <w:r>
              <w:rPr>
                <w:sz w:val="16"/>
              </w:rPr>
              <w:t>RunId, AccountId, Mode, Started/Finished, counters, state</w:t>
            </w:r>
          </w:p>
        </w:tc>
        <w:tc>
          <w:tcPr>
            <w:tcW w:type="dxa" w:w="3515"/>
            <w:vAlign w:val="top"/>
            <w:tcMar>
              <w:top w:w="60" w:type="dxa"/>
              <w:left w:w="80" w:type="dxa"/>
              <w:bottom w:w="60" w:type="dxa"/>
              <w:right w:w="80" w:type="dxa"/>
            </w:tcMar>
          </w:tcPr>
          <w:p>
            <w:pPr>
              <w:spacing w:after="40"/>
            </w:pPr>
            <w:r>
              <w:rPr>
                <w:sz w:val="16"/>
              </w:rPr>
              <w:t>Zähler monoton; Endstatus genau einmal gesetzt.</w:t>
            </w:r>
          </w:p>
        </w:tc>
      </w:tr>
      <w:tr>
        <w:trPr>
          <w:cantSplit/>
        </w:trPr>
        <w:tc>
          <w:tcPr>
            <w:tcW w:type="dxa" w:w="1871"/>
            <w:vAlign w:val="top"/>
            <w:shd w:fill="F4F7F8"/>
            <w:tcMar>
              <w:top w:w="60" w:type="dxa"/>
              <w:left w:w="80" w:type="dxa"/>
              <w:bottom w:w="60" w:type="dxa"/>
              <w:right w:w="80" w:type="dxa"/>
            </w:tcMar>
          </w:tcPr>
          <w:p>
            <w:pPr>
              <w:spacing w:after="40"/>
            </w:pPr>
            <w:r>
              <w:rPr>
                <w:sz w:val="16"/>
              </w:rPr>
              <w:t>OutboxItem</w:t>
            </w:r>
          </w:p>
        </w:tc>
        <w:tc>
          <w:tcPr>
            <w:tcW w:type="dxa" w:w="3969"/>
            <w:vAlign w:val="top"/>
            <w:shd w:fill="F4F7F8"/>
            <w:tcMar>
              <w:top w:w="60" w:type="dxa"/>
              <w:left w:w="80" w:type="dxa"/>
              <w:bottom w:w="60" w:type="dxa"/>
              <w:right w:w="80" w:type="dxa"/>
            </w:tcMar>
          </w:tcPr>
          <w:p>
            <w:pPr>
              <w:spacing w:after="40"/>
            </w:pPr>
            <w:r>
              <w:rPr>
                <w:sz w:val="16"/>
              </w:rPr>
              <w:t>OutboxId, MimePath, MessageIdHeader, SMTP state, attempt counters</w:t>
            </w:r>
          </w:p>
        </w:tc>
        <w:tc>
          <w:tcPr>
            <w:tcW w:type="dxa" w:w="3515"/>
            <w:vAlign w:val="top"/>
            <w:shd w:fill="F4F7F8"/>
            <w:tcMar>
              <w:top w:w="60" w:type="dxa"/>
              <w:left w:w="80" w:type="dxa"/>
              <w:bottom w:w="60" w:type="dxa"/>
              <w:right w:w="80" w:type="dxa"/>
            </w:tcMar>
          </w:tcPr>
          <w:p>
            <w:pPr>
              <w:spacing w:after="40"/>
            </w:pPr>
            <w:r>
              <w:rPr>
                <w:sz w:val="16"/>
              </w:rPr>
              <w:t>Versand bytes bleiben pro Item stabil; Retry ändert nicht Message-ID.</w:t>
            </w:r>
          </w:p>
        </w:tc>
      </w:tr>
      <w:tr>
        <w:trPr>
          <w:cantSplit/>
        </w:trPr>
        <w:tc>
          <w:tcPr>
            <w:tcW w:type="dxa" w:w="1871"/>
            <w:vAlign w:val="top"/>
            <w:tcMar>
              <w:top w:w="60" w:type="dxa"/>
              <w:left w:w="80" w:type="dxa"/>
              <w:bottom w:w="60" w:type="dxa"/>
              <w:right w:w="80" w:type="dxa"/>
            </w:tcMar>
          </w:tcPr>
          <w:p>
            <w:pPr>
              <w:spacing w:after="40"/>
            </w:pPr>
            <w:r>
              <w:rPr>
                <w:sz w:val="16"/>
              </w:rPr>
              <w:t>SentUploadJob</w:t>
            </w:r>
          </w:p>
        </w:tc>
        <w:tc>
          <w:tcPr>
            <w:tcW w:type="dxa" w:w="3969"/>
            <w:vAlign w:val="top"/>
            <w:tcMar>
              <w:top w:w="60" w:type="dxa"/>
              <w:left w:w="80" w:type="dxa"/>
              <w:bottom w:w="60" w:type="dxa"/>
              <w:right w:w="80" w:type="dxa"/>
            </w:tcMar>
          </w:tcPr>
          <w:p>
            <w:pPr>
              <w:spacing w:after="40"/>
            </w:pPr>
            <w:r>
              <w:rPr>
                <w:sz w:val="16"/>
              </w:rPr>
              <w:t>UploadId, SentMessageId, target folder, IMAP state, UID</w:t>
            </w:r>
          </w:p>
        </w:tc>
        <w:tc>
          <w:tcPr>
            <w:tcW w:type="dxa" w:w="3515"/>
            <w:vAlign w:val="top"/>
            <w:tcMar>
              <w:top w:w="60" w:type="dxa"/>
              <w:left w:w="80" w:type="dxa"/>
              <w:bottom w:w="60" w:type="dxa"/>
              <w:right w:w="80" w:type="dxa"/>
            </w:tcMar>
          </w:tcPr>
          <w:p>
            <w:pPr>
              <w:spacing w:after="40"/>
            </w:pPr>
            <w:r>
              <w:rPr>
                <w:sz w:val="16"/>
              </w:rPr>
              <w:t>SMTP-Erfolg unabhängig vom Uploadstatus.</w:t>
            </w:r>
          </w:p>
        </w:tc>
      </w:tr>
      <w:tr>
        <w:trPr>
          <w:cantSplit/>
        </w:trPr>
        <w:tc>
          <w:tcPr>
            <w:tcW w:type="dxa" w:w="1871"/>
            <w:vAlign w:val="top"/>
            <w:shd w:fill="F4F7F8"/>
            <w:tcMar>
              <w:top w:w="60" w:type="dxa"/>
              <w:left w:w="80" w:type="dxa"/>
              <w:bottom w:w="60" w:type="dxa"/>
              <w:right w:w="80" w:type="dxa"/>
            </w:tcMar>
          </w:tcPr>
          <w:p>
            <w:pPr>
              <w:spacing w:after="40"/>
            </w:pPr>
            <w:r>
              <w:rPr>
                <w:sz w:val="16"/>
              </w:rPr>
              <w:t>AnalysisRun</w:t>
            </w:r>
          </w:p>
        </w:tc>
        <w:tc>
          <w:tcPr>
            <w:tcW w:type="dxa" w:w="3969"/>
            <w:vAlign w:val="top"/>
            <w:shd w:fill="F4F7F8"/>
            <w:tcMar>
              <w:top w:w="60" w:type="dxa"/>
              <w:left w:w="80" w:type="dxa"/>
              <w:bottom w:w="60" w:type="dxa"/>
              <w:right w:w="80" w:type="dxa"/>
            </w:tcMar>
          </w:tcPr>
          <w:p>
            <w:pPr>
              <w:spacing w:after="40"/>
            </w:pPr>
            <w:r>
              <w:rPr>
                <w:sz w:val="16"/>
              </w:rPr>
              <w:t>RunId, AnalyzerId/Version, InputHash, ConfigHash, status, ResultJson</w:t>
            </w:r>
          </w:p>
        </w:tc>
        <w:tc>
          <w:tcPr>
            <w:tcW w:type="dxa" w:w="3515"/>
            <w:vAlign w:val="top"/>
            <w:shd w:fill="F4F7F8"/>
            <w:tcMar>
              <w:top w:w="60" w:type="dxa"/>
              <w:left w:w="80" w:type="dxa"/>
              <w:bottom w:w="60" w:type="dxa"/>
              <w:right w:w="80" w:type="dxa"/>
            </w:tcMar>
          </w:tcPr>
          <w:p>
            <w:pPr>
              <w:spacing w:after="40"/>
            </w:pPr>
            <w:r>
              <w:rPr>
                <w:sz w:val="16"/>
              </w:rPr>
              <w:t>Abgeschlossenes Ergebnis unveränderlich; neue Analyse erzeugt neuen Run.</w:t>
            </w:r>
          </w:p>
        </w:tc>
      </w:tr>
      <w:tr>
        <w:trPr>
          <w:cantSplit/>
        </w:trPr>
        <w:tc>
          <w:tcPr>
            <w:tcW w:type="dxa" w:w="1871"/>
            <w:vAlign w:val="top"/>
            <w:tcMar>
              <w:top w:w="60" w:type="dxa"/>
              <w:left w:w="80" w:type="dxa"/>
              <w:bottom w:w="60" w:type="dxa"/>
              <w:right w:w="80" w:type="dxa"/>
            </w:tcMar>
          </w:tcPr>
          <w:p>
            <w:pPr>
              <w:spacing w:after="40"/>
            </w:pPr>
            <w:r>
              <w:rPr>
                <w:sz w:val="16"/>
              </w:rPr>
              <w:t>WarningFinding</w:t>
            </w:r>
          </w:p>
        </w:tc>
        <w:tc>
          <w:tcPr>
            <w:tcW w:type="dxa" w:w="3969"/>
            <w:vAlign w:val="top"/>
            <w:tcMar>
              <w:top w:w="60" w:type="dxa"/>
              <w:left w:w="80" w:type="dxa"/>
              <w:bottom w:w="60" w:type="dxa"/>
              <w:right w:w="80" w:type="dxa"/>
            </w:tcMar>
          </w:tcPr>
          <w:p>
            <w:pPr>
              <w:spacing w:after="40"/>
            </w:pPr>
            <w:r>
              <w:rPr>
                <w:sz w:val="16"/>
              </w:rPr>
              <w:t>FindingId, RuleId/Version, Severity, Evidence, Explanation, Recommendation</w:t>
            </w:r>
          </w:p>
        </w:tc>
        <w:tc>
          <w:tcPr>
            <w:tcW w:type="dxa" w:w="3515"/>
            <w:vAlign w:val="top"/>
            <w:tcMar>
              <w:top w:w="60" w:type="dxa"/>
              <w:left w:w="80" w:type="dxa"/>
              <w:bottom w:w="60" w:type="dxa"/>
              <w:right w:w="80" w:type="dxa"/>
            </w:tcMar>
          </w:tcPr>
          <w:p>
            <w:pPr>
              <w:spacing w:after="40"/>
            </w:pPr>
            <w:r>
              <w:rPr>
                <w:sz w:val="16"/>
              </w:rPr>
              <w:t>Keine Sicherheitsgarantie; Evidenz muss menschenlesbar sein.</w:t>
            </w:r>
          </w:p>
        </w:tc>
      </w:tr>
      <w:tr>
        <w:trPr>
          <w:cantSplit/>
        </w:trPr>
        <w:tc>
          <w:tcPr>
            <w:tcW w:type="dxa" w:w="1871"/>
            <w:vAlign w:val="top"/>
            <w:shd w:fill="F4F7F8"/>
            <w:tcMar>
              <w:top w:w="60" w:type="dxa"/>
              <w:left w:w="80" w:type="dxa"/>
              <w:bottom w:w="60" w:type="dxa"/>
              <w:right w:w="80" w:type="dxa"/>
            </w:tcMar>
          </w:tcPr>
          <w:p>
            <w:pPr>
              <w:spacing w:after="40"/>
            </w:pPr>
            <w:r>
              <w:rPr>
                <w:sz w:val="16"/>
              </w:rPr>
              <w:t>BrandTrustProfile</w:t>
            </w:r>
          </w:p>
        </w:tc>
        <w:tc>
          <w:tcPr>
            <w:tcW w:type="dxa" w:w="3969"/>
            <w:vAlign w:val="top"/>
            <w:shd w:fill="F4F7F8"/>
            <w:tcMar>
              <w:top w:w="60" w:type="dxa"/>
              <w:left w:w="80" w:type="dxa"/>
              <w:bottom w:w="60" w:type="dxa"/>
              <w:right w:w="80" w:type="dxa"/>
            </w:tcMar>
          </w:tcPr>
          <w:p>
            <w:pPr>
              <w:spacing w:after="40"/>
            </w:pPr>
            <w:r>
              <w:rPr>
                <w:sz w:val="16"/>
              </w:rPr>
              <w:t>ProfileId, Name, domains, providers, version, validity</w:t>
            </w:r>
          </w:p>
        </w:tc>
        <w:tc>
          <w:tcPr>
            <w:tcW w:type="dxa" w:w="3515"/>
            <w:vAlign w:val="top"/>
            <w:shd w:fill="F4F7F8"/>
            <w:tcMar>
              <w:top w:w="60" w:type="dxa"/>
              <w:left w:w="80" w:type="dxa"/>
              <w:bottom w:w="60" w:type="dxa"/>
              <w:right w:w="80" w:type="dxa"/>
            </w:tcMar>
          </w:tcPr>
          <w:p>
            <w:pPr>
              <w:spacing w:after="40"/>
            </w:pPr>
            <w:r>
              <w:rPr>
                <w:sz w:val="16"/>
              </w:rPr>
              <w:t>Lokale Änderung versioniert; keine automatische Vertrauensausweitung.</w:t>
            </w:r>
          </w:p>
        </w:tc>
      </w:tr>
      <w:tr>
        <w:trPr>
          <w:cantSplit/>
        </w:trPr>
        <w:tc>
          <w:tcPr>
            <w:tcW w:type="dxa" w:w="1871"/>
            <w:vAlign w:val="top"/>
            <w:tcMar>
              <w:top w:w="60" w:type="dxa"/>
              <w:left w:w="80" w:type="dxa"/>
              <w:bottom w:w="60" w:type="dxa"/>
              <w:right w:w="80" w:type="dxa"/>
            </w:tcMar>
          </w:tcPr>
          <w:p>
            <w:pPr>
              <w:spacing w:after="40"/>
            </w:pPr>
            <w:r>
              <w:rPr>
                <w:sz w:val="16"/>
              </w:rPr>
              <w:t>DatasetDefinition</w:t>
            </w:r>
          </w:p>
        </w:tc>
        <w:tc>
          <w:tcPr>
            <w:tcW w:type="dxa" w:w="3969"/>
            <w:vAlign w:val="top"/>
            <w:tcMar>
              <w:top w:w="60" w:type="dxa"/>
              <w:left w:w="80" w:type="dxa"/>
              <w:bottom w:w="60" w:type="dxa"/>
              <w:right w:w="80" w:type="dxa"/>
            </w:tcMar>
          </w:tcPr>
          <w:p>
            <w:pPr>
              <w:spacing w:after="40"/>
            </w:pPr>
            <w:r>
              <w:rPr>
                <w:sz w:val="16"/>
              </w:rPr>
              <w:t>DatasetId, version, selection criteria, explicit members, manifest</w:t>
            </w:r>
          </w:p>
        </w:tc>
        <w:tc>
          <w:tcPr>
            <w:tcW w:type="dxa" w:w="3515"/>
            <w:vAlign w:val="top"/>
            <w:tcMar>
              <w:top w:w="60" w:type="dxa"/>
              <w:left w:w="80" w:type="dxa"/>
              <w:bottom w:w="60" w:type="dxa"/>
              <w:right w:w="80" w:type="dxa"/>
            </w:tcMar>
          </w:tcPr>
          <w:p>
            <w:pPr>
              <w:spacing w:after="40"/>
            </w:pPr>
            <w:r>
              <w:rPr>
                <w:sz w:val="16"/>
              </w:rPr>
              <w:t>Versioniert und reproduzierbar; Originaldaten werden nicht verändert.</w:t>
            </w:r>
          </w:p>
        </w:tc>
      </w:tr>
    </w:tbl>
    <w:p>
      <w:pPr>
        <w:keepLines/>
      </w:pPr>
    </w:p>
    <w:p>
      <w:pPr>
        <w:pStyle w:val="Heading2"/>
        <w:keepNext/>
        <w:keepLines/>
      </w:pPr>
      <w:r>
        <w:t>5.1 Zustandsmodelle</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871"/>
            <w:shd w:fill="244A5A"/>
            <w:vAlign w:val="center"/>
            <w:tcMar>
              <w:top w:w="60" w:type="dxa"/>
              <w:left w:w="80" w:type="dxa"/>
              <w:bottom w:w="60" w:type="dxa"/>
              <w:right w:w="80" w:type="dxa"/>
            </w:tcMar>
          </w:tcPr>
          <w:p>
            <w:pPr>
              <w:jc w:val="center"/>
            </w:pPr>
            <w:r>
              <w:rPr>
                <w:b/>
                <w:color w:val="FFFFFF"/>
                <w:sz w:val="16"/>
              </w:rPr>
              <w:t>Aggregat</w:t>
            </w:r>
          </w:p>
        </w:tc>
        <w:tc>
          <w:tcPr>
            <w:tcW w:type="dxa" w:w="3969"/>
            <w:shd w:fill="244A5A"/>
            <w:vAlign w:val="center"/>
            <w:tcMar>
              <w:top w:w="60" w:type="dxa"/>
              <w:left w:w="80" w:type="dxa"/>
              <w:bottom w:w="60" w:type="dxa"/>
              <w:right w:w="80" w:type="dxa"/>
            </w:tcMar>
          </w:tcPr>
          <w:p>
            <w:pPr>
              <w:jc w:val="center"/>
            </w:pPr>
            <w:r>
              <w:rPr>
                <w:b/>
                <w:color w:val="FFFFFF"/>
                <w:sz w:val="16"/>
              </w:rPr>
              <w:t>Zustände</w:t>
            </w:r>
          </w:p>
        </w:tc>
        <w:tc>
          <w:tcPr>
            <w:tcW w:type="dxa" w:w="3515"/>
            <w:shd w:fill="244A5A"/>
            <w:vAlign w:val="center"/>
            <w:tcMar>
              <w:top w:w="60" w:type="dxa"/>
              <w:left w:w="80" w:type="dxa"/>
              <w:bottom w:w="60" w:type="dxa"/>
              <w:right w:w="80" w:type="dxa"/>
            </w:tcMar>
          </w:tcPr>
          <w:p>
            <w:pPr>
              <w:jc w:val="center"/>
            </w:pPr>
            <w:r>
              <w:rPr>
                <w:b/>
                <w:color w:val="FFFFFF"/>
                <w:sz w:val="16"/>
              </w:rPr>
              <w:t>Zulässige Hauptübergänge</w:t>
            </w:r>
          </w:p>
        </w:tc>
      </w:tr>
      <w:tr>
        <w:trPr>
          <w:cantSplit/>
        </w:trPr>
        <w:tc>
          <w:tcPr>
            <w:tcW w:type="dxa" w:w="1871"/>
            <w:vAlign w:val="top"/>
            <w:shd w:fill="F4F7F8"/>
            <w:tcMar>
              <w:top w:w="60" w:type="dxa"/>
              <w:left w:w="80" w:type="dxa"/>
              <w:bottom w:w="60" w:type="dxa"/>
              <w:right w:w="80" w:type="dxa"/>
            </w:tcMar>
          </w:tcPr>
          <w:p>
            <w:pPr>
              <w:spacing w:after="40"/>
            </w:pPr>
            <w:r>
              <w:rPr>
                <w:sz w:val="16"/>
              </w:rPr>
              <w:t>Message ingestion</w:t>
            </w:r>
          </w:p>
        </w:tc>
        <w:tc>
          <w:tcPr>
            <w:tcW w:type="dxa" w:w="3969"/>
            <w:vAlign w:val="top"/>
            <w:shd w:fill="F4F7F8"/>
            <w:tcMar>
              <w:top w:w="60" w:type="dxa"/>
              <w:left w:w="80" w:type="dxa"/>
              <w:bottom w:w="60" w:type="dxa"/>
              <w:right w:w="80" w:type="dxa"/>
            </w:tcMar>
          </w:tcPr>
          <w:p>
            <w:pPr>
              <w:spacing w:after="40"/>
            </w:pPr>
            <w:r>
              <w:rPr>
                <w:sz w:val="16"/>
              </w:rPr>
              <w:t>Discovered, Fetching, TempStored, Duplicate, RawStored, Parsed, Analyzed, Failed, RequiresReview</w:t>
            </w:r>
          </w:p>
        </w:tc>
        <w:tc>
          <w:tcPr>
            <w:tcW w:type="dxa" w:w="3515"/>
            <w:vAlign w:val="top"/>
            <w:shd w:fill="F4F7F8"/>
            <w:tcMar>
              <w:top w:w="60" w:type="dxa"/>
              <w:left w:w="80" w:type="dxa"/>
              <w:bottom w:w="60" w:type="dxa"/>
              <w:right w:w="80" w:type="dxa"/>
            </w:tcMar>
          </w:tcPr>
          <w:p>
            <w:pPr>
              <w:spacing w:after="40"/>
            </w:pPr>
            <w:r>
              <w:rPr>
                <w:sz w:val="16"/>
              </w:rPr>
              <w:t>Discovered→Fetching→TempStored→Duplicate|RawStored→Parsed→Analyzed</w:t>
            </w:r>
          </w:p>
        </w:tc>
      </w:tr>
      <w:tr>
        <w:trPr>
          <w:cantSplit/>
        </w:trPr>
        <w:tc>
          <w:tcPr>
            <w:tcW w:type="dxa" w:w="1871"/>
            <w:vAlign w:val="top"/>
            <w:tcMar>
              <w:top w:w="60" w:type="dxa"/>
              <w:left w:w="80" w:type="dxa"/>
              <w:bottom w:w="60" w:type="dxa"/>
              <w:right w:w="80" w:type="dxa"/>
            </w:tcMar>
          </w:tcPr>
          <w:p>
            <w:pPr>
              <w:spacing w:after="40"/>
            </w:pPr>
            <w:r>
              <w:rPr>
                <w:sz w:val="16"/>
              </w:rPr>
              <w:t>FetchRun</w:t>
            </w:r>
          </w:p>
        </w:tc>
        <w:tc>
          <w:tcPr>
            <w:tcW w:type="dxa" w:w="3969"/>
            <w:vAlign w:val="top"/>
            <w:tcMar>
              <w:top w:w="60" w:type="dxa"/>
              <w:left w:w="80" w:type="dxa"/>
              <w:bottom w:w="60" w:type="dxa"/>
              <w:right w:w="80" w:type="dxa"/>
            </w:tcMar>
          </w:tcPr>
          <w:p>
            <w:pPr>
              <w:spacing w:after="40"/>
            </w:pPr>
            <w:r>
              <w:rPr>
                <w:sz w:val="16"/>
              </w:rPr>
              <w:t>Planned, Running, Cancelling, Completed, CompletedWithErrors, Cancelled, Failed</w:t>
            </w:r>
          </w:p>
        </w:tc>
        <w:tc>
          <w:tcPr>
            <w:tcW w:type="dxa" w:w="3515"/>
            <w:vAlign w:val="top"/>
            <w:tcMar>
              <w:top w:w="60" w:type="dxa"/>
              <w:left w:w="80" w:type="dxa"/>
              <w:bottom w:w="60" w:type="dxa"/>
              <w:right w:w="80" w:type="dxa"/>
            </w:tcMar>
          </w:tcPr>
          <w:p>
            <w:pPr>
              <w:spacing w:after="40"/>
            </w:pPr>
            <w:r>
              <w:rPr>
                <w:sz w:val="16"/>
              </w:rPr>
              <w:t>Planned→Running; Running→Completed|CompletedWithErrors|Cancelling|Failed</w:t>
            </w:r>
          </w:p>
        </w:tc>
      </w:tr>
      <w:tr>
        <w:trPr>
          <w:cantSplit/>
        </w:trPr>
        <w:tc>
          <w:tcPr>
            <w:tcW w:type="dxa" w:w="1871"/>
            <w:vAlign w:val="top"/>
            <w:shd w:fill="F4F7F8"/>
            <w:tcMar>
              <w:top w:w="60" w:type="dxa"/>
              <w:left w:w="80" w:type="dxa"/>
              <w:bottom w:w="60" w:type="dxa"/>
              <w:right w:w="80" w:type="dxa"/>
            </w:tcMar>
          </w:tcPr>
          <w:p>
            <w:pPr>
              <w:spacing w:after="40"/>
            </w:pPr>
            <w:r>
              <w:rPr>
                <w:sz w:val="16"/>
              </w:rPr>
              <w:t>SMTP</w:t>
            </w:r>
          </w:p>
        </w:tc>
        <w:tc>
          <w:tcPr>
            <w:tcW w:type="dxa" w:w="3969"/>
            <w:vAlign w:val="top"/>
            <w:shd w:fill="F4F7F8"/>
            <w:tcMar>
              <w:top w:w="60" w:type="dxa"/>
              <w:left w:w="80" w:type="dxa"/>
              <w:bottom w:w="60" w:type="dxa"/>
              <w:right w:w="80" w:type="dxa"/>
            </w:tcMar>
          </w:tcPr>
          <w:p>
            <w:pPr>
              <w:spacing w:after="40"/>
            </w:pPr>
            <w:r>
              <w:rPr>
                <w:sz w:val="16"/>
              </w:rPr>
              <w:t>Pending, Sending, Sent, SendUncertain, RetryRequired, FailedPermanent</w:t>
            </w:r>
          </w:p>
        </w:tc>
        <w:tc>
          <w:tcPr>
            <w:tcW w:type="dxa" w:w="3515"/>
            <w:vAlign w:val="top"/>
            <w:shd w:fill="F4F7F8"/>
            <w:tcMar>
              <w:top w:w="60" w:type="dxa"/>
              <w:left w:w="80" w:type="dxa"/>
              <w:bottom w:w="60" w:type="dxa"/>
              <w:right w:w="80" w:type="dxa"/>
            </w:tcMar>
          </w:tcPr>
          <w:p>
            <w:pPr>
              <w:spacing w:after="40"/>
            </w:pPr>
            <w:r>
              <w:rPr>
                <w:sz w:val="16"/>
              </w:rPr>
              <w:t>Pending→Sending→Sent|SendUncertain|RetryRequired|FailedPermanent</w:t>
            </w:r>
          </w:p>
        </w:tc>
      </w:tr>
      <w:tr>
        <w:trPr>
          <w:cantSplit/>
        </w:trPr>
        <w:tc>
          <w:tcPr>
            <w:tcW w:type="dxa" w:w="1871"/>
            <w:vAlign w:val="top"/>
            <w:tcMar>
              <w:top w:w="60" w:type="dxa"/>
              <w:left w:w="80" w:type="dxa"/>
              <w:bottom w:w="60" w:type="dxa"/>
              <w:right w:w="80" w:type="dxa"/>
            </w:tcMar>
          </w:tcPr>
          <w:p>
            <w:pPr>
              <w:spacing w:after="40"/>
            </w:pPr>
            <w:r>
              <w:rPr>
                <w:sz w:val="16"/>
              </w:rPr>
              <w:t>IMAP Sent upload</w:t>
            </w:r>
          </w:p>
        </w:tc>
        <w:tc>
          <w:tcPr>
            <w:tcW w:type="dxa" w:w="3969"/>
            <w:vAlign w:val="top"/>
            <w:tcMar>
              <w:top w:w="60" w:type="dxa"/>
              <w:left w:w="80" w:type="dxa"/>
              <w:bottom w:w="60" w:type="dxa"/>
              <w:right w:w="80" w:type="dxa"/>
            </w:tcMar>
          </w:tcPr>
          <w:p>
            <w:pPr>
              <w:spacing w:after="40"/>
            </w:pPr>
            <w:r>
              <w:rPr>
                <w:sz w:val="16"/>
              </w:rPr>
              <w:t>Pending, Uploading, Uploaded, UploadUncertain, RetryRequired, FailedPermanent</w:t>
            </w:r>
          </w:p>
        </w:tc>
        <w:tc>
          <w:tcPr>
            <w:tcW w:type="dxa" w:w="3515"/>
            <w:vAlign w:val="top"/>
            <w:tcMar>
              <w:top w:w="60" w:type="dxa"/>
              <w:left w:w="80" w:type="dxa"/>
              <w:bottom w:w="60" w:type="dxa"/>
              <w:right w:w="80" w:type="dxa"/>
            </w:tcMar>
          </w:tcPr>
          <w:p>
            <w:pPr>
              <w:spacing w:after="40"/>
            </w:pPr>
            <w:r>
              <w:rPr>
                <w:sz w:val="16"/>
              </w:rPr>
              <w:t>Pending→Uploading→Uploaded|UploadUncertain|RetryRequired|FailedPermanent</w:t>
            </w:r>
          </w:p>
        </w:tc>
      </w:tr>
      <w:tr>
        <w:trPr>
          <w:cantSplit/>
        </w:trPr>
        <w:tc>
          <w:tcPr>
            <w:tcW w:type="dxa" w:w="1871"/>
            <w:vAlign w:val="top"/>
            <w:shd w:fill="F4F7F8"/>
            <w:tcMar>
              <w:top w:w="60" w:type="dxa"/>
              <w:left w:w="80" w:type="dxa"/>
              <w:bottom w:w="60" w:type="dxa"/>
              <w:right w:w="80" w:type="dxa"/>
            </w:tcMar>
          </w:tcPr>
          <w:p>
            <w:pPr>
              <w:spacing w:after="40"/>
            </w:pPr>
            <w:r>
              <w:rPr>
                <w:sz w:val="16"/>
              </w:rPr>
              <w:t>Analysis</w:t>
            </w:r>
          </w:p>
        </w:tc>
        <w:tc>
          <w:tcPr>
            <w:tcW w:type="dxa" w:w="3969"/>
            <w:vAlign w:val="top"/>
            <w:shd w:fill="F4F7F8"/>
            <w:tcMar>
              <w:top w:w="60" w:type="dxa"/>
              <w:left w:w="80" w:type="dxa"/>
              <w:bottom w:w="60" w:type="dxa"/>
              <w:right w:w="80" w:type="dxa"/>
            </w:tcMar>
          </w:tcPr>
          <w:p>
            <w:pPr>
              <w:spacing w:after="40"/>
            </w:pPr>
            <w:r>
              <w:rPr>
                <w:sz w:val="16"/>
              </w:rPr>
              <w:t>Queued, Running, Completed, CompletedWithWarnings, Failed, Superseded</w:t>
            </w:r>
          </w:p>
        </w:tc>
        <w:tc>
          <w:tcPr>
            <w:tcW w:type="dxa" w:w="3515"/>
            <w:vAlign w:val="top"/>
            <w:shd w:fill="F4F7F8"/>
            <w:tcMar>
              <w:top w:w="60" w:type="dxa"/>
              <w:left w:w="80" w:type="dxa"/>
              <w:bottom w:w="60" w:type="dxa"/>
              <w:right w:w="80" w:type="dxa"/>
            </w:tcMar>
          </w:tcPr>
          <w:p>
            <w:pPr>
              <w:spacing w:after="40"/>
            </w:pPr>
            <w:r>
              <w:rPr>
                <w:sz w:val="16"/>
              </w:rPr>
              <w:t>Queued→Running→Completed|CompletedWithWarnings|Failed; abgeschlossen→Superseded</w:t>
            </w:r>
          </w:p>
        </w:tc>
      </w:tr>
    </w:tbl>
    <w:p>
      <w:pPr>
        <w:keepLines/>
      </w:pPr>
    </w:p>
    <w:p>
      <w:pPr>
        <w:pStyle w:val="Heading1"/>
        <w:keepNext/>
        <w:keepLines/>
      </w:pPr>
      <w:r>
        <w:t>6. Persistenz, Datenbankschema und Migrationen</w:t>
      </w:r>
    </w:p>
    <w:p>
      <w:pPr>
        <w:pStyle w:val="BodyText"/>
        <w:keepLines/>
      </w:pPr>
      <w:r>
        <w:t>SQLite ist Katalog, Zustands- und Suchdatenbank. Rohmails und große Binärdaten werden nicht als primäre BLOBs gespeichert, sondern als unveränderte Dateien referenziert. Fremdschlüssel sind aktiviert; Write-Ahead Logging wird verwendet, sofern die Plattformprüfung keine Inkonsistenz zeigt.</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381"/>
            <w:shd w:fill="244A5A"/>
            <w:vAlign w:val="center"/>
            <w:tcMar>
              <w:top w:w="60" w:type="dxa"/>
              <w:left w:w="80" w:type="dxa"/>
              <w:bottom w:w="60" w:type="dxa"/>
              <w:right w:w="80" w:type="dxa"/>
            </w:tcMar>
          </w:tcPr>
          <w:p>
            <w:pPr>
              <w:jc w:val="center"/>
            </w:pPr>
            <w:r>
              <w:rPr>
                <w:b/>
                <w:color w:val="FFFFFF"/>
                <w:sz w:val="15"/>
              </w:rPr>
              <w:t>Tabelle</w:t>
            </w:r>
          </w:p>
        </w:tc>
        <w:tc>
          <w:tcPr>
            <w:tcW w:type="dxa" w:w="4422"/>
            <w:shd w:fill="244A5A"/>
            <w:vAlign w:val="center"/>
            <w:tcMar>
              <w:top w:w="60" w:type="dxa"/>
              <w:left w:w="80" w:type="dxa"/>
              <w:bottom w:w="60" w:type="dxa"/>
              <w:right w:w="80" w:type="dxa"/>
            </w:tcMar>
          </w:tcPr>
          <w:p>
            <w:pPr>
              <w:jc w:val="center"/>
            </w:pPr>
            <w:r>
              <w:rPr>
                <w:b/>
                <w:color w:val="FFFFFF"/>
                <w:sz w:val="15"/>
              </w:rPr>
              <w:t>Zweck</w:t>
            </w:r>
          </w:p>
        </w:tc>
        <w:tc>
          <w:tcPr>
            <w:tcW w:type="dxa" w:w="2551"/>
            <w:shd w:fill="244A5A"/>
            <w:vAlign w:val="center"/>
            <w:tcMar>
              <w:top w:w="60" w:type="dxa"/>
              <w:left w:w="80" w:type="dxa"/>
              <w:bottom w:w="60" w:type="dxa"/>
              <w:right w:w="80" w:type="dxa"/>
            </w:tcMar>
          </w:tcPr>
          <w:p>
            <w:pPr>
              <w:jc w:val="center"/>
            </w:pPr>
            <w:r>
              <w:rPr>
                <w:b/>
                <w:color w:val="FFFFFF"/>
                <w:sz w:val="15"/>
              </w:rPr>
              <w:t>Wichtige Indizes</w:t>
            </w:r>
          </w:p>
        </w:tc>
      </w:tr>
      <w:tr>
        <w:trPr>
          <w:cantSplit/>
        </w:trPr>
        <w:tc>
          <w:tcPr>
            <w:tcW w:type="dxa" w:w="2381"/>
            <w:vAlign w:val="top"/>
            <w:shd w:fill="F4F7F8"/>
            <w:tcMar>
              <w:top w:w="60" w:type="dxa"/>
              <w:left w:w="80" w:type="dxa"/>
              <w:bottom w:w="60" w:type="dxa"/>
              <w:right w:w="80" w:type="dxa"/>
            </w:tcMar>
          </w:tcPr>
          <w:p>
            <w:pPr>
              <w:spacing w:after="40"/>
            </w:pPr>
            <w:r>
              <w:rPr>
                <w:sz w:val="15"/>
              </w:rPr>
              <w:t>mail_accounts</w:t>
            </w:r>
          </w:p>
        </w:tc>
        <w:tc>
          <w:tcPr>
            <w:tcW w:type="dxa" w:w="4422"/>
            <w:vAlign w:val="top"/>
            <w:shd w:fill="F4F7F8"/>
            <w:tcMar>
              <w:top w:w="60" w:type="dxa"/>
              <w:left w:w="80" w:type="dxa"/>
              <w:bottom w:w="60" w:type="dxa"/>
              <w:right w:w="80" w:type="dxa"/>
            </w:tcMar>
          </w:tcPr>
          <w:p>
            <w:pPr>
              <w:spacing w:after="40"/>
            </w:pPr>
            <w:r>
              <w:rPr>
                <w:sz w:val="15"/>
              </w:rPr>
              <w:t>Konten ohne Secrets</w:t>
            </w:r>
          </w:p>
        </w:tc>
        <w:tc>
          <w:tcPr>
            <w:tcW w:type="dxa" w:w="2551"/>
            <w:vAlign w:val="top"/>
            <w:shd w:fill="F4F7F8"/>
            <w:tcMar>
              <w:top w:w="60" w:type="dxa"/>
              <w:left w:w="80" w:type="dxa"/>
              <w:bottom w:w="60" w:type="dxa"/>
              <w:right w:w="80" w:type="dxa"/>
            </w:tcMar>
          </w:tcPr>
          <w:p>
            <w:pPr>
              <w:spacing w:after="40"/>
            </w:pPr>
            <w:r>
              <w:rPr>
                <w:sz w:val="15"/>
              </w:rPr>
              <w:t>UNIQUE(email_address, incoming_host)</w:t>
            </w:r>
          </w:p>
        </w:tc>
      </w:tr>
      <w:tr>
        <w:trPr>
          <w:cantSplit/>
        </w:trPr>
        <w:tc>
          <w:tcPr>
            <w:tcW w:type="dxa" w:w="2381"/>
            <w:vAlign w:val="top"/>
            <w:tcMar>
              <w:top w:w="60" w:type="dxa"/>
              <w:left w:w="80" w:type="dxa"/>
              <w:bottom w:w="60" w:type="dxa"/>
              <w:right w:w="80" w:type="dxa"/>
            </w:tcMar>
          </w:tcPr>
          <w:p>
            <w:pPr>
              <w:spacing w:after="40"/>
            </w:pPr>
            <w:r>
              <w:rPr>
                <w:sz w:val="15"/>
              </w:rPr>
              <w:t>mail_identities</w:t>
            </w:r>
          </w:p>
        </w:tc>
        <w:tc>
          <w:tcPr>
            <w:tcW w:type="dxa" w:w="4422"/>
            <w:vAlign w:val="top"/>
            <w:tcMar>
              <w:top w:w="60" w:type="dxa"/>
              <w:left w:w="80" w:type="dxa"/>
              <w:bottom w:w="60" w:type="dxa"/>
              <w:right w:w="80" w:type="dxa"/>
            </w:tcMar>
          </w:tcPr>
          <w:p>
            <w:pPr>
              <w:spacing w:after="40"/>
            </w:pPr>
            <w:r>
              <w:rPr>
                <w:sz w:val="15"/>
              </w:rPr>
              <w:t>Absenderidentitäten/Signaturen</w:t>
            </w:r>
          </w:p>
        </w:tc>
        <w:tc>
          <w:tcPr>
            <w:tcW w:type="dxa" w:w="2551"/>
            <w:vAlign w:val="top"/>
            <w:tcMar>
              <w:top w:w="60" w:type="dxa"/>
              <w:left w:w="80" w:type="dxa"/>
              <w:bottom w:w="60" w:type="dxa"/>
              <w:right w:w="80" w:type="dxa"/>
            </w:tcMar>
          </w:tcPr>
          <w:p>
            <w:pPr>
              <w:spacing w:after="40"/>
            </w:pPr>
            <w:r>
              <w:rPr>
                <w:sz w:val="15"/>
              </w:rPr>
              <w:t>account_id, is_default</w:t>
            </w:r>
          </w:p>
        </w:tc>
      </w:tr>
      <w:tr>
        <w:trPr>
          <w:cantSplit/>
        </w:trPr>
        <w:tc>
          <w:tcPr>
            <w:tcW w:type="dxa" w:w="2381"/>
            <w:vAlign w:val="top"/>
            <w:shd w:fill="F4F7F8"/>
            <w:tcMar>
              <w:top w:w="60" w:type="dxa"/>
              <w:left w:w="80" w:type="dxa"/>
              <w:bottom w:w="60" w:type="dxa"/>
              <w:right w:w="80" w:type="dxa"/>
            </w:tcMar>
          </w:tcPr>
          <w:p>
            <w:pPr>
              <w:spacing w:after="40"/>
            </w:pPr>
            <w:r>
              <w:rPr>
                <w:sz w:val="15"/>
              </w:rPr>
              <w:t>provider_profiles</w:t>
            </w:r>
          </w:p>
        </w:tc>
        <w:tc>
          <w:tcPr>
            <w:tcW w:type="dxa" w:w="4422"/>
            <w:vAlign w:val="top"/>
            <w:shd w:fill="F4F7F8"/>
            <w:tcMar>
              <w:top w:w="60" w:type="dxa"/>
              <w:left w:w="80" w:type="dxa"/>
              <w:bottom w:w="60" w:type="dxa"/>
              <w:right w:w="80" w:type="dxa"/>
            </w:tcMar>
          </w:tcPr>
          <w:p>
            <w:pPr>
              <w:spacing w:after="40"/>
            </w:pPr>
            <w:r>
              <w:rPr>
                <w:sz w:val="15"/>
              </w:rPr>
              <w:t>versionierte Providerdefaults</w:t>
            </w:r>
          </w:p>
        </w:tc>
        <w:tc>
          <w:tcPr>
            <w:tcW w:type="dxa" w:w="2551"/>
            <w:vAlign w:val="top"/>
            <w:shd w:fill="F4F7F8"/>
            <w:tcMar>
              <w:top w:w="60" w:type="dxa"/>
              <w:left w:w="80" w:type="dxa"/>
              <w:bottom w:w="60" w:type="dxa"/>
              <w:right w:w="80" w:type="dxa"/>
            </w:tcMar>
          </w:tcPr>
          <w:p>
            <w:pPr>
              <w:spacing w:after="40"/>
            </w:pPr>
            <w:r>
              <w:rPr>
                <w:sz w:val="15"/>
              </w:rPr>
              <w:t>provider_key, version</w:t>
            </w:r>
          </w:p>
        </w:tc>
      </w:tr>
      <w:tr>
        <w:trPr>
          <w:cantSplit/>
        </w:trPr>
        <w:tc>
          <w:tcPr>
            <w:tcW w:type="dxa" w:w="2381"/>
            <w:vAlign w:val="top"/>
            <w:tcMar>
              <w:top w:w="60" w:type="dxa"/>
              <w:left w:w="80" w:type="dxa"/>
              <w:bottom w:w="60" w:type="dxa"/>
              <w:right w:w="80" w:type="dxa"/>
            </w:tcMar>
          </w:tcPr>
          <w:p>
            <w:pPr>
              <w:spacing w:after="40"/>
            </w:pPr>
            <w:r>
              <w:rPr>
                <w:sz w:val="15"/>
              </w:rPr>
              <w:t>fetch_runs</w:t>
            </w:r>
          </w:p>
        </w:tc>
        <w:tc>
          <w:tcPr>
            <w:tcW w:type="dxa" w:w="4422"/>
            <w:vAlign w:val="top"/>
            <w:tcMar>
              <w:top w:w="60" w:type="dxa"/>
              <w:left w:w="80" w:type="dxa"/>
              <w:bottom w:w="60" w:type="dxa"/>
              <w:right w:w="80" w:type="dxa"/>
            </w:tcMar>
          </w:tcPr>
          <w:p>
            <w:pPr>
              <w:spacing w:after="40"/>
            </w:pPr>
            <w:r>
              <w:rPr>
                <w:sz w:val="15"/>
              </w:rPr>
              <w:t>Abrufläufe und Berichtszähler</w:t>
            </w:r>
          </w:p>
        </w:tc>
        <w:tc>
          <w:tcPr>
            <w:tcW w:type="dxa" w:w="2551"/>
            <w:vAlign w:val="top"/>
            <w:tcMar>
              <w:top w:w="60" w:type="dxa"/>
              <w:left w:w="80" w:type="dxa"/>
              <w:bottom w:w="60" w:type="dxa"/>
              <w:right w:w="80" w:type="dxa"/>
            </w:tcMar>
          </w:tcPr>
          <w:p>
            <w:pPr>
              <w:spacing w:after="40"/>
            </w:pPr>
            <w:r>
              <w:rPr>
                <w:sz w:val="15"/>
              </w:rPr>
              <w:t>account_id, started_at, state</w:t>
            </w:r>
          </w:p>
        </w:tc>
      </w:tr>
      <w:tr>
        <w:trPr>
          <w:cantSplit/>
        </w:trPr>
        <w:tc>
          <w:tcPr>
            <w:tcW w:type="dxa" w:w="2381"/>
            <w:vAlign w:val="top"/>
            <w:shd w:fill="F4F7F8"/>
            <w:tcMar>
              <w:top w:w="60" w:type="dxa"/>
              <w:left w:w="80" w:type="dxa"/>
              <w:bottom w:w="60" w:type="dxa"/>
              <w:right w:w="80" w:type="dxa"/>
            </w:tcMar>
          </w:tcPr>
          <w:p>
            <w:pPr>
              <w:spacing w:after="40"/>
            </w:pPr>
            <w:r>
              <w:rPr>
                <w:sz w:val="15"/>
              </w:rPr>
              <w:t>remote_message_identities</w:t>
            </w:r>
          </w:p>
        </w:tc>
        <w:tc>
          <w:tcPr>
            <w:tcW w:type="dxa" w:w="4422"/>
            <w:vAlign w:val="top"/>
            <w:shd w:fill="F4F7F8"/>
            <w:tcMar>
              <w:top w:w="60" w:type="dxa"/>
              <w:left w:w="80" w:type="dxa"/>
              <w:bottom w:w="60" w:type="dxa"/>
              <w:right w:w="80" w:type="dxa"/>
            </w:tcMar>
          </w:tcPr>
          <w:p>
            <w:pPr>
              <w:spacing w:after="40"/>
            </w:pPr>
            <w:r>
              <w:rPr>
                <w:sz w:val="15"/>
              </w:rPr>
              <w:t>UIDL und Remote-Metadaten</w:t>
            </w:r>
          </w:p>
        </w:tc>
        <w:tc>
          <w:tcPr>
            <w:tcW w:type="dxa" w:w="2551"/>
            <w:vAlign w:val="top"/>
            <w:shd w:fill="F4F7F8"/>
            <w:tcMar>
              <w:top w:w="60" w:type="dxa"/>
              <w:left w:w="80" w:type="dxa"/>
              <w:bottom w:w="60" w:type="dxa"/>
              <w:right w:w="80" w:type="dxa"/>
            </w:tcMar>
          </w:tcPr>
          <w:p>
            <w:pPr>
              <w:spacing w:after="40"/>
            </w:pPr>
            <w:r>
              <w:rPr>
                <w:sz w:val="15"/>
              </w:rPr>
              <w:t>UNIQUE(account_id, uidl)</w:t>
            </w:r>
          </w:p>
        </w:tc>
      </w:tr>
      <w:tr>
        <w:trPr>
          <w:cantSplit/>
        </w:trPr>
        <w:tc>
          <w:tcPr>
            <w:tcW w:type="dxa" w:w="2381"/>
            <w:vAlign w:val="top"/>
            <w:tcMar>
              <w:top w:w="60" w:type="dxa"/>
              <w:left w:w="80" w:type="dxa"/>
              <w:bottom w:w="60" w:type="dxa"/>
              <w:right w:w="80" w:type="dxa"/>
            </w:tcMar>
          </w:tcPr>
          <w:p>
            <w:pPr>
              <w:spacing w:after="40"/>
            </w:pPr>
            <w:r>
              <w:rPr>
                <w:sz w:val="15"/>
              </w:rPr>
              <w:t>messages</w:t>
            </w:r>
          </w:p>
        </w:tc>
        <w:tc>
          <w:tcPr>
            <w:tcW w:type="dxa" w:w="4422"/>
            <w:vAlign w:val="top"/>
            <w:tcMar>
              <w:top w:w="60" w:type="dxa"/>
              <w:left w:w="80" w:type="dxa"/>
              <w:bottom w:w="60" w:type="dxa"/>
              <w:right w:w="80" w:type="dxa"/>
            </w:tcMar>
          </w:tcPr>
          <w:p>
            <w:pPr>
              <w:spacing w:after="40"/>
            </w:pPr>
            <w:r>
              <w:rPr>
                <w:sz w:val="15"/>
              </w:rPr>
              <w:t>kanonische Nachrichtenidentität und Status</w:t>
            </w:r>
          </w:p>
        </w:tc>
        <w:tc>
          <w:tcPr>
            <w:tcW w:type="dxa" w:w="2551"/>
            <w:vAlign w:val="top"/>
            <w:tcMar>
              <w:top w:w="60" w:type="dxa"/>
              <w:left w:w="80" w:type="dxa"/>
              <w:bottom w:w="60" w:type="dxa"/>
              <w:right w:w="80" w:type="dxa"/>
            </w:tcMar>
          </w:tcPr>
          <w:p>
            <w:pPr>
              <w:spacing w:after="40"/>
            </w:pPr>
            <w:r>
              <w:rPr>
                <w:sz w:val="15"/>
              </w:rPr>
              <w:t>account_id, received_at, state</w:t>
            </w:r>
          </w:p>
        </w:tc>
      </w:tr>
      <w:tr>
        <w:trPr>
          <w:cantSplit/>
        </w:trPr>
        <w:tc>
          <w:tcPr>
            <w:tcW w:type="dxa" w:w="2381"/>
            <w:vAlign w:val="top"/>
            <w:shd w:fill="F4F7F8"/>
            <w:tcMar>
              <w:top w:w="60" w:type="dxa"/>
              <w:left w:w="80" w:type="dxa"/>
              <w:bottom w:w="60" w:type="dxa"/>
              <w:right w:w="80" w:type="dxa"/>
            </w:tcMar>
          </w:tcPr>
          <w:p>
            <w:pPr>
              <w:spacing w:after="40"/>
            </w:pPr>
            <w:r>
              <w:rPr>
                <w:sz w:val="15"/>
              </w:rPr>
              <w:t>raw_messages</w:t>
            </w:r>
          </w:p>
        </w:tc>
        <w:tc>
          <w:tcPr>
            <w:tcW w:type="dxa" w:w="4422"/>
            <w:vAlign w:val="top"/>
            <w:shd w:fill="F4F7F8"/>
            <w:tcMar>
              <w:top w:w="60" w:type="dxa"/>
              <w:left w:w="80" w:type="dxa"/>
              <w:bottom w:w="60" w:type="dxa"/>
              <w:right w:w="80" w:type="dxa"/>
            </w:tcMar>
          </w:tcPr>
          <w:p>
            <w:pPr>
              <w:spacing w:after="40"/>
            </w:pPr>
            <w:r>
              <w:rPr>
                <w:sz w:val="15"/>
              </w:rPr>
              <w:t>Dateipfad, Hash, Länge, Provenienz</w:t>
            </w:r>
          </w:p>
        </w:tc>
        <w:tc>
          <w:tcPr>
            <w:tcW w:type="dxa" w:w="2551"/>
            <w:vAlign w:val="top"/>
            <w:shd w:fill="F4F7F8"/>
            <w:tcMar>
              <w:top w:w="60" w:type="dxa"/>
              <w:left w:w="80" w:type="dxa"/>
              <w:bottom w:w="60" w:type="dxa"/>
              <w:right w:w="80" w:type="dxa"/>
            </w:tcMar>
          </w:tcPr>
          <w:p>
            <w:pPr>
              <w:spacing w:after="40"/>
            </w:pPr>
            <w:r>
              <w:rPr>
                <w:sz w:val="15"/>
              </w:rPr>
              <w:t>UNIQUE(account_id, raw_sha256, raw_length)</w:t>
            </w:r>
          </w:p>
        </w:tc>
      </w:tr>
      <w:tr>
        <w:trPr>
          <w:cantSplit/>
        </w:trPr>
        <w:tc>
          <w:tcPr>
            <w:tcW w:type="dxa" w:w="2381"/>
            <w:vAlign w:val="top"/>
            <w:tcMar>
              <w:top w:w="60" w:type="dxa"/>
              <w:left w:w="80" w:type="dxa"/>
              <w:bottom w:w="60" w:type="dxa"/>
              <w:right w:w="80" w:type="dxa"/>
            </w:tcMar>
          </w:tcPr>
          <w:p>
            <w:pPr>
              <w:spacing w:after="40"/>
            </w:pPr>
            <w:r>
              <w:rPr>
                <w:sz w:val="15"/>
              </w:rPr>
              <w:t>parsed_messages</w:t>
            </w:r>
          </w:p>
        </w:tc>
        <w:tc>
          <w:tcPr>
            <w:tcW w:type="dxa" w:w="4422"/>
            <w:vAlign w:val="top"/>
            <w:tcMar>
              <w:top w:w="60" w:type="dxa"/>
              <w:left w:w="80" w:type="dxa"/>
              <w:bottom w:w="60" w:type="dxa"/>
              <w:right w:w="80" w:type="dxa"/>
            </w:tcMar>
          </w:tcPr>
          <w:p>
            <w:pPr>
              <w:spacing w:after="40"/>
            </w:pPr>
            <w:r>
              <w:rPr>
                <w:sz w:val="15"/>
              </w:rPr>
              <w:t>Parser-Version und normalisierte Inhalte</w:t>
            </w:r>
          </w:p>
        </w:tc>
        <w:tc>
          <w:tcPr>
            <w:tcW w:type="dxa" w:w="2551"/>
            <w:vAlign w:val="top"/>
            <w:tcMar>
              <w:top w:w="60" w:type="dxa"/>
              <w:left w:w="80" w:type="dxa"/>
              <w:bottom w:w="60" w:type="dxa"/>
              <w:right w:w="80" w:type="dxa"/>
            </w:tcMar>
          </w:tcPr>
          <w:p>
            <w:pPr>
              <w:spacing w:after="40"/>
            </w:pPr>
            <w:r>
              <w:rPr>
                <w:sz w:val="15"/>
              </w:rPr>
              <w:t>message_id, parser_version</w:t>
            </w:r>
          </w:p>
        </w:tc>
      </w:tr>
      <w:tr>
        <w:trPr>
          <w:cantSplit/>
        </w:trPr>
        <w:tc>
          <w:tcPr>
            <w:tcW w:type="dxa" w:w="2381"/>
            <w:vAlign w:val="top"/>
            <w:shd w:fill="F4F7F8"/>
            <w:tcMar>
              <w:top w:w="60" w:type="dxa"/>
              <w:left w:w="80" w:type="dxa"/>
              <w:bottom w:w="60" w:type="dxa"/>
              <w:right w:w="80" w:type="dxa"/>
            </w:tcMar>
          </w:tcPr>
          <w:p>
            <w:pPr>
              <w:spacing w:after="40"/>
            </w:pPr>
            <w:r>
              <w:rPr>
                <w:sz w:val="15"/>
              </w:rPr>
              <w:t>message_addresses</w:t>
            </w:r>
          </w:p>
        </w:tc>
        <w:tc>
          <w:tcPr>
            <w:tcW w:type="dxa" w:w="4422"/>
            <w:vAlign w:val="top"/>
            <w:shd w:fill="F4F7F8"/>
            <w:tcMar>
              <w:top w:w="60" w:type="dxa"/>
              <w:left w:w="80" w:type="dxa"/>
              <w:bottom w:w="60" w:type="dxa"/>
              <w:right w:w="80" w:type="dxa"/>
            </w:tcMar>
          </w:tcPr>
          <w:p>
            <w:pPr>
              <w:spacing w:after="40"/>
            </w:pPr>
            <w:r>
              <w:rPr>
                <w:sz w:val="15"/>
              </w:rPr>
              <w:t>From/To/Cc/Bcc/Reply-To</w:t>
            </w:r>
          </w:p>
        </w:tc>
        <w:tc>
          <w:tcPr>
            <w:tcW w:type="dxa" w:w="2551"/>
            <w:vAlign w:val="top"/>
            <w:shd w:fill="F4F7F8"/>
            <w:tcMar>
              <w:top w:w="60" w:type="dxa"/>
              <w:left w:w="80" w:type="dxa"/>
              <w:bottom w:w="60" w:type="dxa"/>
              <w:right w:w="80" w:type="dxa"/>
            </w:tcMar>
          </w:tcPr>
          <w:p>
            <w:pPr>
              <w:spacing w:after="40"/>
            </w:pPr>
            <w:r>
              <w:rPr>
                <w:sz w:val="15"/>
              </w:rPr>
              <w:t>message_id, role, normalized_address</w:t>
            </w:r>
          </w:p>
        </w:tc>
      </w:tr>
      <w:tr>
        <w:trPr>
          <w:cantSplit/>
        </w:trPr>
        <w:tc>
          <w:tcPr>
            <w:tcW w:type="dxa" w:w="2381"/>
            <w:vAlign w:val="top"/>
            <w:tcMar>
              <w:top w:w="60" w:type="dxa"/>
              <w:left w:w="80" w:type="dxa"/>
              <w:bottom w:w="60" w:type="dxa"/>
              <w:right w:w="80" w:type="dxa"/>
            </w:tcMar>
          </w:tcPr>
          <w:p>
            <w:pPr>
              <w:spacing w:after="40"/>
            </w:pPr>
            <w:r>
              <w:rPr>
                <w:sz w:val="15"/>
              </w:rPr>
              <w:t>attachments</w:t>
            </w:r>
          </w:p>
        </w:tc>
        <w:tc>
          <w:tcPr>
            <w:tcW w:type="dxa" w:w="4422"/>
            <w:vAlign w:val="top"/>
            <w:tcMar>
              <w:top w:w="60" w:type="dxa"/>
              <w:left w:w="80" w:type="dxa"/>
              <w:bottom w:w="60" w:type="dxa"/>
              <w:right w:w="80" w:type="dxa"/>
            </w:tcMar>
          </w:tcPr>
          <w:p>
            <w:pPr>
              <w:spacing w:after="40"/>
            </w:pPr>
            <w:r>
              <w:rPr>
                <w:sz w:val="15"/>
              </w:rPr>
              <w:t>Metadaten und Hash</w:t>
            </w:r>
          </w:p>
        </w:tc>
        <w:tc>
          <w:tcPr>
            <w:tcW w:type="dxa" w:w="2551"/>
            <w:vAlign w:val="top"/>
            <w:tcMar>
              <w:top w:w="60" w:type="dxa"/>
              <w:left w:w="80" w:type="dxa"/>
              <w:bottom w:w="60" w:type="dxa"/>
              <w:right w:w="80" w:type="dxa"/>
            </w:tcMar>
          </w:tcPr>
          <w:p>
            <w:pPr>
              <w:spacing w:after="40"/>
            </w:pPr>
            <w:r>
              <w:rPr>
                <w:sz w:val="15"/>
              </w:rPr>
              <w:t>message_id, sha256, filename</w:t>
            </w:r>
          </w:p>
        </w:tc>
      </w:tr>
      <w:tr>
        <w:trPr>
          <w:cantSplit/>
        </w:trPr>
        <w:tc>
          <w:tcPr>
            <w:tcW w:type="dxa" w:w="2381"/>
            <w:vAlign w:val="top"/>
            <w:shd w:fill="F4F7F8"/>
            <w:tcMar>
              <w:top w:w="60" w:type="dxa"/>
              <w:left w:w="80" w:type="dxa"/>
              <w:bottom w:w="60" w:type="dxa"/>
              <w:right w:w="80" w:type="dxa"/>
            </w:tcMar>
          </w:tcPr>
          <w:p>
            <w:pPr>
              <w:spacing w:after="40"/>
            </w:pPr>
            <w:r>
              <w:rPr>
                <w:sz w:val="15"/>
              </w:rPr>
              <w:t>outbox_items</w:t>
            </w:r>
          </w:p>
        </w:tc>
        <w:tc>
          <w:tcPr>
            <w:tcW w:type="dxa" w:w="4422"/>
            <w:vAlign w:val="top"/>
            <w:shd w:fill="F4F7F8"/>
            <w:tcMar>
              <w:top w:w="60" w:type="dxa"/>
              <w:left w:w="80" w:type="dxa"/>
              <w:bottom w:w="60" w:type="dxa"/>
              <w:right w:w="80" w:type="dxa"/>
            </w:tcMar>
          </w:tcPr>
          <w:p>
            <w:pPr>
              <w:spacing w:after="40"/>
            </w:pPr>
            <w:r>
              <w:rPr>
                <w:sz w:val="15"/>
              </w:rPr>
              <w:t>SMTP-Warteschlange</w:t>
            </w:r>
          </w:p>
        </w:tc>
        <w:tc>
          <w:tcPr>
            <w:tcW w:type="dxa" w:w="2551"/>
            <w:vAlign w:val="top"/>
            <w:shd w:fill="F4F7F8"/>
            <w:tcMar>
              <w:top w:w="60" w:type="dxa"/>
              <w:left w:w="80" w:type="dxa"/>
              <w:bottom w:w="60" w:type="dxa"/>
              <w:right w:w="80" w:type="dxa"/>
            </w:tcMar>
          </w:tcPr>
          <w:p>
            <w:pPr>
              <w:spacing w:after="40"/>
            </w:pPr>
            <w:r>
              <w:rPr>
                <w:sz w:val="15"/>
              </w:rPr>
              <w:t>state, next_attempt_at</w:t>
            </w:r>
          </w:p>
        </w:tc>
      </w:tr>
      <w:tr>
        <w:trPr>
          <w:cantSplit/>
        </w:trPr>
        <w:tc>
          <w:tcPr>
            <w:tcW w:type="dxa" w:w="2381"/>
            <w:vAlign w:val="top"/>
            <w:tcMar>
              <w:top w:w="60" w:type="dxa"/>
              <w:left w:w="80" w:type="dxa"/>
              <w:bottom w:w="60" w:type="dxa"/>
              <w:right w:w="80" w:type="dxa"/>
            </w:tcMar>
          </w:tcPr>
          <w:p>
            <w:pPr>
              <w:spacing w:after="40"/>
            </w:pPr>
            <w:r>
              <w:rPr>
                <w:sz w:val="15"/>
              </w:rPr>
              <w:t>sent_upload_jobs</w:t>
            </w:r>
          </w:p>
        </w:tc>
        <w:tc>
          <w:tcPr>
            <w:tcW w:type="dxa" w:w="4422"/>
            <w:vAlign w:val="top"/>
            <w:tcMar>
              <w:top w:w="60" w:type="dxa"/>
              <w:left w:w="80" w:type="dxa"/>
              <w:bottom w:w="60" w:type="dxa"/>
              <w:right w:w="80" w:type="dxa"/>
            </w:tcMar>
          </w:tcPr>
          <w:p>
            <w:pPr>
              <w:spacing w:after="40"/>
            </w:pPr>
            <w:r>
              <w:rPr>
                <w:sz w:val="15"/>
              </w:rPr>
              <w:t>IMAP-APPEND-Warteschlange</w:t>
            </w:r>
          </w:p>
        </w:tc>
        <w:tc>
          <w:tcPr>
            <w:tcW w:type="dxa" w:w="2551"/>
            <w:vAlign w:val="top"/>
            <w:tcMar>
              <w:top w:w="60" w:type="dxa"/>
              <w:left w:w="80" w:type="dxa"/>
              <w:bottom w:w="60" w:type="dxa"/>
              <w:right w:w="80" w:type="dxa"/>
            </w:tcMar>
          </w:tcPr>
          <w:p>
            <w:pPr>
              <w:spacing w:after="40"/>
            </w:pPr>
            <w:r>
              <w:rPr>
                <w:sz w:val="15"/>
              </w:rPr>
              <w:t>state, account_id</w:t>
            </w:r>
          </w:p>
        </w:tc>
      </w:tr>
      <w:tr>
        <w:trPr>
          <w:cantSplit/>
        </w:trPr>
        <w:tc>
          <w:tcPr>
            <w:tcW w:type="dxa" w:w="2381"/>
            <w:vAlign w:val="top"/>
            <w:shd w:fill="F4F7F8"/>
            <w:tcMar>
              <w:top w:w="60" w:type="dxa"/>
              <w:left w:w="80" w:type="dxa"/>
              <w:bottom w:w="60" w:type="dxa"/>
              <w:right w:w="80" w:type="dxa"/>
            </w:tcMar>
          </w:tcPr>
          <w:p>
            <w:pPr>
              <w:spacing w:after="40"/>
            </w:pPr>
            <w:r>
              <w:rPr>
                <w:sz w:val="15"/>
              </w:rPr>
              <w:t>analysis_runs</w:t>
            </w:r>
          </w:p>
        </w:tc>
        <w:tc>
          <w:tcPr>
            <w:tcW w:type="dxa" w:w="4422"/>
            <w:vAlign w:val="top"/>
            <w:shd w:fill="F4F7F8"/>
            <w:tcMar>
              <w:top w:w="60" w:type="dxa"/>
              <w:left w:w="80" w:type="dxa"/>
              <w:bottom w:w="60" w:type="dxa"/>
              <w:right w:w="80" w:type="dxa"/>
            </w:tcMar>
          </w:tcPr>
          <w:p>
            <w:pPr>
              <w:spacing w:after="40"/>
            </w:pPr>
            <w:r>
              <w:rPr>
                <w:sz w:val="15"/>
              </w:rPr>
              <w:t>versionierte Analysen</w:t>
            </w:r>
          </w:p>
        </w:tc>
        <w:tc>
          <w:tcPr>
            <w:tcW w:type="dxa" w:w="2551"/>
            <w:vAlign w:val="top"/>
            <w:shd w:fill="F4F7F8"/>
            <w:tcMar>
              <w:top w:w="60" w:type="dxa"/>
              <w:left w:w="80" w:type="dxa"/>
              <w:bottom w:w="60" w:type="dxa"/>
              <w:right w:w="80" w:type="dxa"/>
            </w:tcMar>
          </w:tcPr>
          <w:p>
            <w:pPr>
              <w:spacing w:after="40"/>
            </w:pPr>
            <w:r>
              <w:rPr>
                <w:sz w:val="15"/>
              </w:rPr>
              <w:t>message_id, analyzer_id, analyzer_version</w:t>
            </w:r>
          </w:p>
        </w:tc>
      </w:tr>
      <w:tr>
        <w:trPr>
          <w:cantSplit/>
        </w:trPr>
        <w:tc>
          <w:tcPr>
            <w:tcW w:type="dxa" w:w="2381"/>
            <w:vAlign w:val="top"/>
            <w:tcMar>
              <w:top w:w="60" w:type="dxa"/>
              <w:left w:w="80" w:type="dxa"/>
              <w:bottom w:w="60" w:type="dxa"/>
              <w:right w:w="80" w:type="dxa"/>
            </w:tcMar>
          </w:tcPr>
          <w:p>
            <w:pPr>
              <w:spacing w:after="40"/>
            </w:pPr>
            <w:r>
              <w:rPr>
                <w:sz w:val="15"/>
              </w:rPr>
              <w:t>warning_findings</w:t>
            </w:r>
          </w:p>
        </w:tc>
        <w:tc>
          <w:tcPr>
            <w:tcW w:type="dxa" w:w="4422"/>
            <w:vAlign w:val="top"/>
            <w:tcMar>
              <w:top w:w="60" w:type="dxa"/>
              <w:left w:w="80" w:type="dxa"/>
              <w:bottom w:w="60" w:type="dxa"/>
              <w:right w:w="80" w:type="dxa"/>
            </w:tcMar>
          </w:tcPr>
          <w:p>
            <w:pPr>
              <w:spacing w:after="40"/>
            </w:pPr>
            <w:r>
              <w:rPr>
                <w:sz w:val="15"/>
              </w:rPr>
              <w:t>Einzelbefunde</w:t>
            </w:r>
          </w:p>
        </w:tc>
        <w:tc>
          <w:tcPr>
            <w:tcW w:type="dxa" w:w="2551"/>
            <w:vAlign w:val="top"/>
            <w:tcMar>
              <w:top w:w="60" w:type="dxa"/>
              <w:left w:w="80" w:type="dxa"/>
              <w:bottom w:w="60" w:type="dxa"/>
              <w:right w:w="80" w:type="dxa"/>
            </w:tcMar>
          </w:tcPr>
          <w:p>
            <w:pPr>
              <w:spacing w:after="40"/>
            </w:pPr>
            <w:r>
              <w:rPr>
                <w:sz w:val="15"/>
              </w:rPr>
              <w:t>analysis_run_id, severity, rule_id</w:t>
            </w:r>
          </w:p>
        </w:tc>
      </w:tr>
      <w:tr>
        <w:trPr>
          <w:cantSplit/>
        </w:trPr>
        <w:tc>
          <w:tcPr>
            <w:tcW w:type="dxa" w:w="2381"/>
            <w:vAlign w:val="top"/>
            <w:shd w:fill="F4F7F8"/>
            <w:tcMar>
              <w:top w:w="60" w:type="dxa"/>
              <w:left w:w="80" w:type="dxa"/>
              <w:bottom w:w="60" w:type="dxa"/>
              <w:right w:w="80" w:type="dxa"/>
            </w:tcMar>
          </w:tcPr>
          <w:p>
            <w:pPr>
              <w:spacing w:after="40"/>
            </w:pPr>
            <w:r>
              <w:rPr>
                <w:sz w:val="15"/>
              </w:rPr>
              <w:t>brand_trust_profiles</w:t>
            </w:r>
          </w:p>
        </w:tc>
        <w:tc>
          <w:tcPr>
            <w:tcW w:type="dxa" w:w="4422"/>
            <w:vAlign w:val="top"/>
            <w:shd w:fill="F4F7F8"/>
            <w:tcMar>
              <w:top w:w="60" w:type="dxa"/>
              <w:left w:w="80" w:type="dxa"/>
              <w:bottom w:w="60" w:type="dxa"/>
              <w:right w:w="80" w:type="dxa"/>
            </w:tcMar>
          </w:tcPr>
          <w:p>
            <w:pPr>
              <w:spacing w:after="40"/>
            </w:pPr>
            <w:r>
              <w:rPr>
                <w:sz w:val="15"/>
              </w:rPr>
              <w:t>lokale Markenprofile</w:t>
            </w:r>
          </w:p>
        </w:tc>
        <w:tc>
          <w:tcPr>
            <w:tcW w:type="dxa" w:w="2551"/>
            <w:vAlign w:val="top"/>
            <w:shd w:fill="F4F7F8"/>
            <w:tcMar>
              <w:top w:w="60" w:type="dxa"/>
              <w:left w:w="80" w:type="dxa"/>
              <w:bottom w:w="60" w:type="dxa"/>
              <w:right w:w="80" w:type="dxa"/>
            </w:tcMar>
          </w:tcPr>
          <w:p>
            <w:pPr>
              <w:spacing w:after="40"/>
            </w:pPr>
            <w:r>
              <w:rPr>
                <w:sz w:val="15"/>
              </w:rPr>
              <w:t>profile_key, version</w:t>
            </w:r>
          </w:p>
        </w:tc>
      </w:tr>
      <w:tr>
        <w:trPr>
          <w:cantSplit/>
        </w:trPr>
        <w:tc>
          <w:tcPr>
            <w:tcW w:type="dxa" w:w="2381"/>
            <w:vAlign w:val="top"/>
            <w:tcMar>
              <w:top w:w="60" w:type="dxa"/>
              <w:left w:w="80" w:type="dxa"/>
              <w:bottom w:w="60" w:type="dxa"/>
              <w:right w:w="80" w:type="dxa"/>
            </w:tcMar>
          </w:tcPr>
          <w:p>
            <w:pPr>
              <w:spacing w:after="40"/>
            </w:pPr>
            <w:r>
              <w:rPr>
                <w:sz w:val="15"/>
              </w:rPr>
              <w:t>folders / message_folders</w:t>
            </w:r>
          </w:p>
        </w:tc>
        <w:tc>
          <w:tcPr>
            <w:tcW w:type="dxa" w:w="4422"/>
            <w:vAlign w:val="top"/>
            <w:tcMar>
              <w:top w:w="60" w:type="dxa"/>
              <w:left w:w="80" w:type="dxa"/>
              <w:bottom w:w="60" w:type="dxa"/>
              <w:right w:w="80" w:type="dxa"/>
            </w:tcMar>
          </w:tcPr>
          <w:p>
            <w:pPr>
              <w:spacing w:after="40"/>
            </w:pPr>
            <w:r>
              <w:rPr>
                <w:sz w:val="15"/>
              </w:rPr>
              <w:t>lokale Organisation</w:t>
            </w:r>
          </w:p>
        </w:tc>
        <w:tc>
          <w:tcPr>
            <w:tcW w:type="dxa" w:w="2551"/>
            <w:vAlign w:val="top"/>
            <w:tcMar>
              <w:top w:w="60" w:type="dxa"/>
              <w:left w:w="80" w:type="dxa"/>
              <w:bottom w:w="60" w:type="dxa"/>
              <w:right w:w="80" w:type="dxa"/>
            </w:tcMar>
          </w:tcPr>
          <w:p>
            <w:pPr>
              <w:spacing w:after="40"/>
            </w:pPr>
            <w:r>
              <w:rPr>
                <w:sz w:val="15"/>
              </w:rPr>
              <w:t>account_id, parent_id / message_id, folder_id</w:t>
            </w:r>
          </w:p>
        </w:tc>
      </w:tr>
      <w:tr>
        <w:trPr>
          <w:cantSplit/>
        </w:trPr>
        <w:tc>
          <w:tcPr>
            <w:tcW w:type="dxa" w:w="2381"/>
            <w:vAlign w:val="top"/>
            <w:shd w:fill="F4F7F8"/>
            <w:tcMar>
              <w:top w:w="60" w:type="dxa"/>
              <w:left w:w="80" w:type="dxa"/>
              <w:bottom w:w="60" w:type="dxa"/>
              <w:right w:w="80" w:type="dxa"/>
            </w:tcMar>
          </w:tcPr>
          <w:p>
            <w:pPr>
              <w:spacing w:after="40"/>
            </w:pPr>
            <w:r>
              <w:rPr>
                <w:sz w:val="15"/>
              </w:rPr>
              <w:t>tags / message_tags</w:t>
            </w:r>
          </w:p>
        </w:tc>
        <w:tc>
          <w:tcPr>
            <w:tcW w:type="dxa" w:w="4422"/>
            <w:vAlign w:val="top"/>
            <w:shd w:fill="F4F7F8"/>
            <w:tcMar>
              <w:top w:w="60" w:type="dxa"/>
              <w:left w:w="80" w:type="dxa"/>
              <w:bottom w:w="60" w:type="dxa"/>
              <w:right w:w="80" w:type="dxa"/>
            </w:tcMar>
          </w:tcPr>
          <w:p>
            <w:pPr>
              <w:spacing w:after="40"/>
            </w:pPr>
            <w:r>
              <w:rPr>
                <w:sz w:val="15"/>
              </w:rPr>
              <w:t>lokale Tags</w:t>
            </w:r>
          </w:p>
        </w:tc>
        <w:tc>
          <w:tcPr>
            <w:tcW w:type="dxa" w:w="2551"/>
            <w:vAlign w:val="top"/>
            <w:shd w:fill="F4F7F8"/>
            <w:tcMar>
              <w:top w:w="60" w:type="dxa"/>
              <w:left w:w="80" w:type="dxa"/>
              <w:bottom w:w="60" w:type="dxa"/>
              <w:right w:w="80" w:type="dxa"/>
            </w:tcMar>
          </w:tcPr>
          <w:p>
            <w:pPr>
              <w:spacing w:after="40"/>
            </w:pPr>
            <w:r>
              <w:rPr>
                <w:sz w:val="15"/>
              </w:rPr>
              <w:t>name / message_id, tag_id</w:t>
            </w:r>
          </w:p>
        </w:tc>
      </w:tr>
      <w:tr>
        <w:trPr>
          <w:cantSplit/>
        </w:trPr>
        <w:tc>
          <w:tcPr>
            <w:tcW w:type="dxa" w:w="2381"/>
            <w:vAlign w:val="top"/>
            <w:tcMar>
              <w:top w:w="60" w:type="dxa"/>
              <w:left w:w="80" w:type="dxa"/>
              <w:bottom w:w="60" w:type="dxa"/>
              <w:right w:w="80" w:type="dxa"/>
            </w:tcMar>
          </w:tcPr>
          <w:p>
            <w:pPr>
              <w:spacing w:after="40"/>
            </w:pPr>
            <w:r>
              <w:rPr>
                <w:sz w:val="15"/>
              </w:rPr>
              <w:t>rules / rule_runs</w:t>
            </w:r>
          </w:p>
        </w:tc>
        <w:tc>
          <w:tcPr>
            <w:tcW w:type="dxa" w:w="4422"/>
            <w:vAlign w:val="top"/>
            <w:tcMar>
              <w:top w:w="60" w:type="dxa"/>
              <w:left w:w="80" w:type="dxa"/>
              <w:bottom w:w="60" w:type="dxa"/>
              <w:right w:w="80" w:type="dxa"/>
            </w:tcMar>
          </w:tcPr>
          <w:p>
            <w:pPr>
              <w:spacing w:after="40"/>
            </w:pPr>
            <w:r>
              <w:rPr>
                <w:sz w:val="15"/>
              </w:rPr>
              <w:t>declarative Regeln und Ausführung</w:t>
            </w:r>
          </w:p>
        </w:tc>
        <w:tc>
          <w:tcPr>
            <w:tcW w:type="dxa" w:w="2551"/>
            <w:vAlign w:val="top"/>
            <w:tcMar>
              <w:top w:w="60" w:type="dxa"/>
              <w:left w:w="80" w:type="dxa"/>
              <w:bottom w:w="60" w:type="dxa"/>
              <w:right w:w="80" w:type="dxa"/>
            </w:tcMar>
          </w:tcPr>
          <w:p>
            <w:pPr>
              <w:spacing w:after="40"/>
            </w:pPr>
            <w:r>
              <w:rPr>
                <w:sz w:val="15"/>
              </w:rPr>
              <w:t>enabled, priority / rule_id, message_id</w:t>
            </w:r>
          </w:p>
        </w:tc>
      </w:tr>
      <w:tr>
        <w:trPr>
          <w:cantSplit/>
        </w:trPr>
        <w:tc>
          <w:tcPr>
            <w:tcW w:type="dxa" w:w="2381"/>
            <w:vAlign w:val="top"/>
            <w:shd w:fill="F4F7F8"/>
            <w:tcMar>
              <w:top w:w="60" w:type="dxa"/>
              <w:left w:w="80" w:type="dxa"/>
              <w:bottom w:w="60" w:type="dxa"/>
              <w:right w:w="80" w:type="dxa"/>
            </w:tcMar>
          </w:tcPr>
          <w:p>
            <w:pPr>
              <w:spacing w:after="40"/>
            </w:pPr>
            <w:r>
              <w:rPr>
                <w:sz w:val="15"/>
              </w:rPr>
              <w:t>message_search_fts</w:t>
            </w:r>
          </w:p>
        </w:tc>
        <w:tc>
          <w:tcPr>
            <w:tcW w:type="dxa" w:w="4422"/>
            <w:vAlign w:val="top"/>
            <w:shd w:fill="F4F7F8"/>
            <w:tcMar>
              <w:top w:w="60" w:type="dxa"/>
              <w:left w:w="80" w:type="dxa"/>
              <w:bottom w:w="60" w:type="dxa"/>
              <w:right w:w="80" w:type="dxa"/>
            </w:tcMar>
          </w:tcPr>
          <w:p>
            <w:pPr>
              <w:spacing w:after="40"/>
            </w:pPr>
            <w:r>
              <w:rPr>
                <w:sz w:val="15"/>
              </w:rPr>
              <w:t>FTS5-Inhalte</w:t>
            </w:r>
          </w:p>
        </w:tc>
        <w:tc>
          <w:tcPr>
            <w:tcW w:type="dxa" w:w="2551"/>
            <w:vAlign w:val="top"/>
            <w:shd w:fill="F4F7F8"/>
            <w:tcMar>
              <w:top w:w="60" w:type="dxa"/>
              <w:left w:w="80" w:type="dxa"/>
              <w:bottom w:w="60" w:type="dxa"/>
              <w:right w:w="80" w:type="dxa"/>
            </w:tcMar>
          </w:tcPr>
          <w:p>
            <w:pPr>
              <w:spacing w:after="40"/>
            </w:pPr>
            <w:r>
              <w:rPr>
                <w:sz w:val="15"/>
              </w:rPr>
              <w:t>virtueller FTS5-Index</w:t>
            </w:r>
          </w:p>
        </w:tc>
      </w:tr>
      <w:tr>
        <w:trPr>
          <w:cantSplit/>
        </w:trPr>
        <w:tc>
          <w:tcPr>
            <w:tcW w:type="dxa" w:w="2381"/>
            <w:vAlign w:val="top"/>
            <w:tcMar>
              <w:top w:w="60" w:type="dxa"/>
              <w:left w:w="80" w:type="dxa"/>
              <w:bottom w:w="60" w:type="dxa"/>
              <w:right w:w="80" w:type="dxa"/>
            </w:tcMar>
          </w:tcPr>
          <w:p>
            <w:pPr>
              <w:spacing w:after="40"/>
            </w:pPr>
            <w:r>
              <w:rPr>
                <w:sz w:val="15"/>
              </w:rPr>
              <w:t>schema_migrations</w:t>
            </w:r>
          </w:p>
        </w:tc>
        <w:tc>
          <w:tcPr>
            <w:tcW w:type="dxa" w:w="4422"/>
            <w:vAlign w:val="top"/>
            <w:tcMar>
              <w:top w:w="60" w:type="dxa"/>
              <w:left w:w="80" w:type="dxa"/>
              <w:bottom w:w="60" w:type="dxa"/>
              <w:right w:w="80" w:type="dxa"/>
            </w:tcMar>
          </w:tcPr>
          <w:p>
            <w:pPr>
              <w:spacing w:after="40"/>
            </w:pPr>
            <w:r>
              <w:rPr>
                <w:sz w:val="15"/>
              </w:rPr>
              <w:t>Upgradehistorie</w:t>
            </w:r>
          </w:p>
        </w:tc>
        <w:tc>
          <w:tcPr>
            <w:tcW w:type="dxa" w:w="2551"/>
            <w:vAlign w:val="top"/>
            <w:tcMar>
              <w:top w:w="60" w:type="dxa"/>
              <w:left w:w="80" w:type="dxa"/>
              <w:bottom w:w="60" w:type="dxa"/>
              <w:right w:w="80" w:type="dxa"/>
            </w:tcMar>
          </w:tcPr>
          <w:p>
            <w:pPr>
              <w:spacing w:after="40"/>
            </w:pPr>
            <w:r>
              <w:rPr>
                <w:sz w:val="15"/>
              </w:rPr>
              <w:t>version UNIQUE</w:t>
            </w:r>
          </w:p>
        </w:tc>
      </w:tr>
      <w:tr>
        <w:trPr>
          <w:cantSplit/>
        </w:trPr>
        <w:tc>
          <w:tcPr>
            <w:tcW w:type="dxa" w:w="2381"/>
            <w:vAlign w:val="top"/>
            <w:shd w:fill="F4F7F8"/>
            <w:tcMar>
              <w:top w:w="60" w:type="dxa"/>
              <w:left w:w="80" w:type="dxa"/>
              <w:bottom w:w="60" w:type="dxa"/>
              <w:right w:w="80" w:type="dxa"/>
            </w:tcMar>
          </w:tcPr>
          <w:p>
            <w:pPr>
              <w:spacing w:after="40"/>
            </w:pPr>
            <w:r>
              <w:rPr>
                <w:sz w:val="15"/>
              </w:rPr>
              <w:t>audit_events</w:t>
            </w:r>
          </w:p>
        </w:tc>
        <w:tc>
          <w:tcPr>
            <w:tcW w:type="dxa" w:w="4422"/>
            <w:vAlign w:val="top"/>
            <w:shd w:fill="F4F7F8"/>
            <w:tcMar>
              <w:top w:w="60" w:type="dxa"/>
              <w:left w:w="80" w:type="dxa"/>
              <w:bottom w:w="60" w:type="dxa"/>
              <w:right w:w="80" w:type="dxa"/>
            </w:tcMar>
          </w:tcPr>
          <w:p>
            <w:pPr>
              <w:spacing w:after="40"/>
            </w:pPr>
            <w:r>
              <w:rPr>
                <w:sz w:val="15"/>
              </w:rPr>
              <w:t>relevante Betriebsereignisse</w:t>
            </w:r>
          </w:p>
        </w:tc>
        <w:tc>
          <w:tcPr>
            <w:tcW w:type="dxa" w:w="2551"/>
            <w:vAlign w:val="top"/>
            <w:shd w:fill="F4F7F8"/>
            <w:tcMar>
              <w:top w:w="60" w:type="dxa"/>
              <w:left w:w="80" w:type="dxa"/>
              <w:bottom w:w="60" w:type="dxa"/>
              <w:right w:w="80" w:type="dxa"/>
            </w:tcMar>
          </w:tcPr>
          <w:p>
            <w:pPr>
              <w:spacing w:after="40"/>
            </w:pPr>
            <w:r>
              <w:rPr>
                <w:sz w:val="15"/>
              </w:rPr>
              <w:t>correlation_id, occurred_at</w:t>
            </w:r>
          </w:p>
        </w:tc>
      </w:tr>
    </w:tbl>
    <w:p>
      <w:pPr>
        <w:keepLines/>
      </w:pPr>
    </w:p>
    <w:p>
      <w:pPr>
        <w:pStyle w:val="Heading2"/>
        <w:keepNext/>
        <w:keepLines/>
      </w:pPr>
      <w:r>
        <w:t>6.1 Atomare Rohmail-Übernahme</w:t>
      </w:r>
    </w:p>
    <w:p>
      <w:pPr>
        <w:pStyle w:val="ListNumber"/>
        <w:keepLines/>
      </w:pPr>
      <w:r>
        <w:t>Temporäre Datei im laufbezogenen Temp-Verzeichnis erstellen.</w:t>
      </w:r>
    </w:p>
    <w:p>
      <w:pPr>
        <w:pStyle w:val="ListNumber"/>
        <w:keepLines/>
      </w:pPr>
      <w:r>
        <w:t>POP3-Stream bytegenau schreiben und gleichzeitig SHA-256 und Länge berechnen.</w:t>
      </w:r>
    </w:p>
    <w:p>
      <w:pPr>
        <w:pStyle w:val="ListNumber"/>
        <w:keepLines/>
      </w:pPr>
      <w:r>
        <w:t>Datei flushen, schließen und bei unterstütztem Dateisystem Metadaten synchronisieren.</w:t>
      </w:r>
    </w:p>
    <w:p>
      <w:pPr>
        <w:pStyle w:val="ListNumber"/>
        <w:keepLines/>
      </w:pPr>
      <w:r>
        <w:t>In einer SQLite-Transaktion Deduplizierungsindex prüfen und Importabsicht als TempStored registrieren.</w:t>
      </w:r>
    </w:p>
    <w:p>
      <w:pPr>
        <w:pStyle w:val="ListNumber"/>
        <w:keepLines/>
      </w:pPr>
      <w:r>
        <w:t>Bei Duplikat: Transaktion mit DeduplicationEvent abschließen, Temp-Datei löschen.</w:t>
      </w:r>
    </w:p>
    <w:p>
      <w:pPr>
        <w:pStyle w:val="ListNumber"/>
        <w:keepLines/>
      </w:pPr>
      <w:r>
        <w:t>Bei neuer Mail: Temp-Datei atomar in finalen Raw-Store-Pfad umbenennen; RawMessage und Message auf RawStored setzen; Transaktion committen.</w:t>
      </w:r>
    </w:p>
    <w:p>
      <w:pPr>
        <w:pStyle w:val="ListNumber"/>
        <w:keepLines/>
      </w:pPr>
      <w:r>
        <w:t>Parser und Analyzer erst nach erfolgreicher kanonischer Übernahme starten.</w:t>
      </w:r>
    </w:p>
    <w:p>
      <w:pPr>
        <w:pStyle w:val="ListNumber"/>
        <w:keepLines/>
      </w:pPr>
      <w:r>
        <w:t>Bei Start Inkonsistenzen zwischen Datei und DB über StartupReconciler in Quarantäne oder erneuten Verarbeitungszustand überführen.</w:t>
      </w:r>
    </w:p>
    <w:p>
      <w:pPr>
        <w:pStyle w:val="Heading2"/>
        <w:keepNext/>
        <w:keepLines/>
      </w:pPr>
      <w:r>
        <w:t>6.2 Migrationen</w:t>
      </w:r>
    </w:p>
    <w:p>
      <w:pPr>
        <w:pStyle w:val="ListBullet"/>
        <w:keepLines/>
      </w:pPr>
      <w:r>
        <w:t>Jede Migration besitzt eine fortlaufende Nummer, Namen, Prüfsumme, Up-Skript und - sofern sicher möglich - Down-Skript.</w:t>
      </w:r>
    </w:p>
    <w:p>
      <w:pPr>
        <w:pStyle w:val="ListBullet"/>
        <w:keepLines/>
      </w:pPr>
      <w:r>
        <w:t>Migrationen werden vor Anwendung gegen eine Kopie der vorherigen unterstützten Version getestet.</w:t>
      </w:r>
    </w:p>
    <w:p>
      <w:pPr>
        <w:pStyle w:val="ListBullet"/>
        <w:keepLines/>
      </w:pPr>
      <w:r>
        <w:t>Vor Schemaänderungen wird ein konsistentes Backup verlangt oder automatisch erzeugt.</w:t>
      </w:r>
    </w:p>
    <w:p>
      <w:pPr>
        <w:pStyle w:val="ListBullet"/>
        <w:keepLines/>
      </w:pPr>
      <w:r>
        <w:t>Eine fehlgeschlagene Migration beendet den Start vor normalen Schreiboperationen und bietet Diagnose beziehungsweise Restore an.</w:t>
      </w:r>
    </w:p>
    <w:p>
      <w:pPr>
        <w:pStyle w:val="ListBullet"/>
        <w:keepLines/>
      </w:pPr>
      <w:r>
        <w:t>Der Sprung vom v0.3.0-Prototyp wird als explizite Basismigration dokumentiert; keine stillen Datenverluste oder Feldumdeutungen.</w:t>
      </w:r>
    </w:p>
    <w:p>
      <w:pPr>
        <w:pStyle w:val="Heading1"/>
        <w:keepNext/>
        <w:keepLines/>
      </w:pPr>
      <w:r>
        <w:t>7. Konten, Providerprofile und Secret-Verwaltung</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835"/>
            <w:shd w:fill="244A5A"/>
            <w:vAlign w:val="center"/>
            <w:tcMar>
              <w:top w:w="60" w:type="dxa"/>
              <w:left w:w="80" w:type="dxa"/>
              <w:bottom w:w="60" w:type="dxa"/>
              <w:right w:w="80" w:type="dxa"/>
            </w:tcMar>
          </w:tcPr>
          <w:p>
            <w:pPr>
              <w:jc w:val="center"/>
            </w:pPr>
            <w:r>
              <w:rPr>
                <w:b/>
                <w:color w:val="FFFFFF"/>
                <w:sz w:val="17"/>
              </w:rPr>
              <w:t>Baustein</w:t>
            </w:r>
          </w:p>
        </w:tc>
        <w:tc>
          <w:tcPr>
            <w:tcW w:type="dxa" w:w="6520"/>
            <w:shd w:fill="244A5A"/>
            <w:vAlign w:val="center"/>
            <w:tcMar>
              <w:top w:w="60" w:type="dxa"/>
              <w:left w:w="80" w:type="dxa"/>
              <w:bottom w:w="60" w:type="dxa"/>
              <w:right w:w="80" w:type="dxa"/>
            </w:tcMar>
          </w:tcPr>
          <w:p>
            <w:pPr>
              <w:jc w:val="center"/>
            </w:pPr>
            <w:r>
              <w:rPr>
                <w:b/>
                <w:color w:val="FFFFFF"/>
                <w:sz w:val="17"/>
              </w:rPr>
              <w:t>Realisierung</w:t>
            </w:r>
          </w:p>
        </w:tc>
      </w:tr>
      <w:tr>
        <w:trPr>
          <w:cantSplit/>
        </w:trPr>
        <w:tc>
          <w:tcPr>
            <w:tcW w:type="dxa" w:w="2835"/>
            <w:vAlign w:val="top"/>
            <w:shd w:fill="F4F7F8"/>
            <w:tcMar>
              <w:top w:w="60" w:type="dxa"/>
              <w:left w:w="80" w:type="dxa"/>
              <w:bottom w:w="60" w:type="dxa"/>
              <w:right w:w="80" w:type="dxa"/>
            </w:tcMar>
          </w:tcPr>
          <w:p>
            <w:pPr>
              <w:spacing w:after="40"/>
            </w:pPr>
            <w:r>
              <w:rPr>
                <w:sz w:val="17"/>
              </w:rPr>
              <w:t>AccountWizardViewModel</w:t>
            </w:r>
          </w:p>
        </w:tc>
        <w:tc>
          <w:tcPr>
            <w:tcW w:type="dxa" w:w="6520"/>
            <w:vAlign w:val="top"/>
            <w:shd w:fill="F4F7F8"/>
            <w:tcMar>
              <w:top w:w="60" w:type="dxa"/>
              <w:left w:w="80" w:type="dxa"/>
              <w:bottom w:w="60" w:type="dxa"/>
              <w:right w:w="80" w:type="dxa"/>
            </w:tcMar>
          </w:tcPr>
          <w:p>
            <w:pPr>
              <w:spacing w:after="40"/>
            </w:pPr>
            <w:r>
              <w:rPr>
                <w:sz w:val="17"/>
              </w:rPr>
              <w:t>Schrittweise Eingabe von Adresse, Providerprofil, Servern, Ports, Sicherheitsmodi und SecretReference.</w:t>
            </w:r>
          </w:p>
        </w:tc>
      </w:tr>
      <w:tr>
        <w:trPr>
          <w:cantSplit/>
        </w:trPr>
        <w:tc>
          <w:tcPr>
            <w:tcW w:type="dxa" w:w="2835"/>
            <w:vAlign w:val="top"/>
            <w:tcMar>
              <w:top w:w="60" w:type="dxa"/>
              <w:left w:w="80" w:type="dxa"/>
              <w:bottom w:w="60" w:type="dxa"/>
              <w:right w:w="80" w:type="dxa"/>
            </w:tcMar>
          </w:tcPr>
          <w:p>
            <w:pPr>
              <w:spacing w:after="40"/>
            </w:pPr>
            <w:r>
              <w:rPr>
                <w:sz w:val="17"/>
              </w:rPr>
              <w:t>ProviderProfileService</w:t>
            </w:r>
          </w:p>
        </w:tc>
        <w:tc>
          <w:tcPr>
            <w:tcW w:type="dxa" w:w="6520"/>
            <w:vAlign w:val="top"/>
            <w:tcMar>
              <w:top w:w="60" w:type="dxa"/>
              <w:left w:w="80" w:type="dxa"/>
              <w:bottom w:w="60" w:type="dxa"/>
              <w:right w:w="80" w:type="dxa"/>
            </w:tcMar>
          </w:tcPr>
          <w:p>
            <w:pPr>
              <w:spacing w:after="40"/>
            </w:pPr>
            <w:r>
              <w:rPr>
                <w:sz w:val="17"/>
              </w:rPr>
              <w:t>Lädt mitgelieferte, signierte beziehungsweise gehashte JSON-Profile; kopiert Defaults in das editierbare Kontomodell.</w:t>
            </w:r>
          </w:p>
        </w:tc>
      </w:tr>
      <w:tr>
        <w:trPr>
          <w:cantSplit/>
        </w:trPr>
        <w:tc>
          <w:tcPr>
            <w:tcW w:type="dxa" w:w="2835"/>
            <w:vAlign w:val="top"/>
            <w:shd w:fill="F4F7F8"/>
            <w:tcMar>
              <w:top w:w="60" w:type="dxa"/>
              <w:left w:w="80" w:type="dxa"/>
              <w:bottom w:w="60" w:type="dxa"/>
              <w:right w:w="80" w:type="dxa"/>
            </w:tcMar>
          </w:tcPr>
          <w:p>
            <w:pPr>
              <w:spacing w:after="40"/>
            </w:pPr>
            <w:r>
              <w:rPr>
                <w:sz w:val="17"/>
              </w:rPr>
              <w:t>ConnectionTestUseCase</w:t>
            </w:r>
          </w:p>
        </w:tc>
        <w:tc>
          <w:tcPr>
            <w:tcW w:type="dxa" w:w="6520"/>
            <w:vAlign w:val="top"/>
            <w:shd w:fill="F4F7F8"/>
            <w:tcMar>
              <w:top w:w="60" w:type="dxa"/>
              <w:left w:w="80" w:type="dxa"/>
              <w:bottom w:w="60" w:type="dxa"/>
              <w:right w:w="80" w:type="dxa"/>
            </w:tcMar>
          </w:tcPr>
          <w:p>
            <w:pPr>
              <w:spacing w:after="40"/>
            </w:pPr>
            <w:r>
              <w:rPr>
                <w:sz w:val="17"/>
              </w:rPr>
              <w:t>DNS → TCP → TLS → Authentifizierung; getrennte Ergebnisse mit Dauer und Handlungshinweisen.</w:t>
            </w:r>
          </w:p>
        </w:tc>
      </w:tr>
      <w:tr>
        <w:trPr>
          <w:cantSplit/>
        </w:trPr>
        <w:tc>
          <w:tcPr>
            <w:tcW w:type="dxa" w:w="2835"/>
            <w:vAlign w:val="top"/>
            <w:tcMar>
              <w:top w:w="60" w:type="dxa"/>
              <w:left w:w="80" w:type="dxa"/>
              <w:bottom w:w="60" w:type="dxa"/>
              <w:right w:w="80" w:type="dxa"/>
            </w:tcMar>
          </w:tcPr>
          <w:p>
            <w:pPr>
              <w:spacing w:after="40"/>
            </w:pPr>
            <w:r>
              <w:rPr>
                <w:sz w:val="17"/>
              </w:rPr>
              <w:t>ISecretStore</w:t>
            </w:r>
          </w:p>
        </w:tc>
        <w:tc>
          <w:tcPr>
            <w:tcW w:type="dxa" w:w="6520"/>
            <w:vAlign w:val="top"/>
            <w:tcMar>
              <w:top w:w="60" w:type="dxa"/>
              <w:left w:w="80" w:type="dxa"/>
              <w:bottom w:w="60" w:type="dxa"/>
              <w:right w:w="80" w:type="dxa"/>
            </w:tcMar>
          </w:tcPr>
          <w:p>
            <w:pPr>
              <w:spacing w:after="40"/>
            </w:pPr>
            <w:r>
              <w:rPr>
                <w:sz w:val="17"/>
              </w:rPr>
              <w:t>Save/Get/Delete per SecretReference; Windows-Implementierung über Credential Manager oder DPAPI-geschützte Datei.</w:t>
            </w:r>
          </w:p>
        </w:tc>
      </w:tr>
      <w:tr>
        <w:trPr>
          <w:cantSplit/>
        </w:trPr>
        <w:tc>
          <w:tcPr>
            <w:tcW w:type="dxa" w:w="2835"/>
            <w:vAlign w:val="top"/>
            <w:shd w:fill="F4F7F8"/>
            <w:tcMar>
              <w:top w:w="60" w:type="dxa"/>
              <w:left w:w="80" w:type="dxa"/>
              <w:bottom w:w="60" w:type="dxa"/>
              <w:right w:w="80" w:type="dxa"/>
            </w:tcMar>
          </w:tcPr>
          <w:p>
            <w:pPr>
              <w:spacing w:after="40"/>
            </w:pPr>
            <w:r>
              <w:rPr>
                <w:sz w:val="17"/>
              </w:rPr>
              <w:t>AccountRepository</w:t>
            </w:r>
          </w:p>
        </w:tc>
        <w:tc>
          <w:tcPr>
            <w:tcW w:type="dxa" w:w="6520"/>
            <w:vAlign w:val="top"/>
            <w:shd w:fill="F4F7F8"/>
            <w:tcMar>
              <w:top w:w="60" w:type="dxa"/>
              <w:left w:w="80" w:type="dxa"/>
              <w:bottom w:w="60" w:type="dxa"/>
              <w:right w:w="80" w:type="dxa"/>
            </w:tcMar>
          </w:tcPr>
          <w:p>
            <w:pPr>
              <w:spacing w:after="40"/>
            </w:pPr>
            <w:r>
              <w:rPr>
                <w:sz w:val="17"/>
              </w:rPr>
              <w:t>Transaktionale Speicherung ohne Secrets; Deaktivierung verhindert neue Jobs, löscht aber keine Daten.</w:t>
            </w:r>
          </w:p>
        </w:tc>
      </w:tr>
      <w:tr>
        <w:trPr>
          <w:cantSplit/>
        </w:trPr>
        <w:tc>
          <w:tcPr>
            <w:tcW w:type="dxa" w:w="2835"/>
            <w:vAlign w:val="top"/>
            <w:tcMar>
              <w:top w:w="60" w:type="dxa"/>
              <w:left w:w="80" w:type="dxa"/>
              <w:bottom w:w="60" w:type="dxa"/>
              <w:right w:w="80" w:type="dxa"/>
            </w:tcMar>
          </w:tcPr>
          <w:p>
            <w:pPr>
              <w:spacing w:after="40"/>
            </w:pPr>
            <w:r>
              <w:rPr>
                <w:sz w:val="17"/>
              </w:rPr>
              <w:t>IdentityRepository</w:t>
            </w:r>
          </w:p>
        </w:tc>
        <w:tc>
          <w:tcPr>
            <w:tcW w:type="dxa" w:w="6520"/>
            <w:vAlign w:val="top"/>
            <w:tcMar>
              <w:top w:w="60" w:type="dxa"/>
              <w:left w:w="80" w:type="dxa"/>
              <w:bottom w:w="60" w:type="dxa"/>
              <w:right w:w="80" w:type="dxa"/>
            </w:tcMar>
          </w:tcPr>
          <w:p>
            <w:pPr>
              <w:spacing w:after="40"/>
            </w:pPr>
            <w:r>
              <w:rPr>
                <w:sz w:val="17"/>
              </w:rPr>
              <w:t>Mehrere Identitäten pro Konto, Defaultkennzeichen, Signatur als Text/HTML ohne aktive Inhalte.</w:t>
            </w:r>
          </w:p>
        </w:tc>
      </w:tr>
    </w:tbl>
    <w:p>
      <w:pPr>
        <w:keepLines/>
      </w:pP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FCEBE8"/>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Secret-Regel</w:t>
            </w:r>
            <w:r>
              <w:br/>
              <w:t>Kein Passwort, Token oder App-Passwort darf in SQLite, appsettings.json, Logs, Crash Reports, Kontoexporten, Tests oder Beispielcode gespeichert werden. Nur Testprojekte dürfen synthetische Testsecrets verwenden; deren Werte werden durch automatisierte Logtests gesucht.</w:t>
            </w:r>
          </w:p>
        </w:tc>
      </w:tr>
    </w:tbl>
    <w:p>
      <w:pPr>
        <w:keepLines/>
      </w:pPr>
    </w:p>
    <w:p>
      <w:pPr>
        <w:pStyle w:val="Heading1"/>
        <w:keepNext/>
        <w:keepLines/>
      </w:pPr>
      <w:r>
        <w:t>8. POP3-Abruf und „Get all“</w:t>
      </w:r>
    </w:p>
    <w:p>
      <w:pPr>
        <w:keepLines/>
      </w:pPr>
      <w:r>
        <w:drawing>
          <wp:inline xmlns:a="http://schemas.openxmlformats.org/drawingml/2006/main" xmlns:pic="http://schemas.openxmlformats.org/drawingml/2006/picture">
            <wp:extent cx="5940000" cy="3293218"/>
            <wp:docPr id="4" name="Picture 4" descr="Image: image3.png"/>
            <wp:cNvGraphicFramePr>
              <a:graphicFrameLocks noChangeAspect="1"/>
            </wp:cNvGraphicFramePr>
            <a:graphic>
              <a:graphicData uri="http://schemas.openxmlformats.org/drawingml/2006/picture">
                <pic:pic>
                  <pic:nvPicPr>
                    <pic:cNvPr id="0" name="get_all_flow.png"/>
                    <pic:cNvPicPr/>
                  </pic:nvPicPr>
                  <pic:blipFill>
                    <a:blip r:embed="rId13"/>
                    <a:stretch>
                      <a:fillRect/>
                    </a:stretch>
                  </pic:blipFill>
                  <pic:spPr>
                    <a:xfrm>
                      <a:off x="0" y="0"/>
                      <a:ext cx="5940000" cy="3293218"/>
                    </a:xfrm>
                    <a:prstGeom prst="rect"/>
                  </pic:spPr>
                </pic:pic>
              </a:graphicData>
            </a:graphic>
          </wp:inline>
        </w:drawing>
      </w:r>
    </w:p>
    <w:p>
      <w:pPr>
        <w:pStyle w:val="Caption"/>
        <w:jc w:val="center"/>
        <w:keepLines/>
      </w:pPr>
      <w:r>
        <w:t>Abbildung 4: Vollständiger POP3-Abruf mit Hashvergleich</w:t>
      </w:r>
    </w:p>
    <w:p>
      <w:pPr>
        <w:pStyle w:val="Heading2"/>
        <w:keepNext/>
        <w:keepLines/>
      </w:pPr>
      <w:r>
        <w:t>8.1 Normaler Abruf</w:t>
      </w:r>
    </w:p>
    <w:p>
      <w:pPr>
        <w:pStyle w:val="ListNumber"/>
        <w:keepLines/>
      </w:pPr>
      <w:r>
        <w:t>Konto und Secret laden; Abruflauf Planned anlegen.</w:t>
      </w:r>
    </w:p>
    <w:p>
      <w:pPr>
        <w:pStyle w:val="ListNumber"/>
        <w:keepLines/>
      </w:pPr>
      <w:r>
        <w:t>POP3 über SecureSocketOptions.SslOnConnect oder StartTlsRequired verbinden; Zertifikat regulär prüfen.</w:t>
      </w:r>
    </w:p>
    <w:p>
      <w:pPr>
        <w:pStyle w:val="ListNumber"/>
        <w:keepLines/>
      </w:pPr>
      <w:r>
        <w:t>Authentifizieren und Capability/UIDL-Verfügbarkeit erfassen.</w:t>
      </w:r>
    </w:p>
    <w:p>
      <w:pPr>
        <w:pStyle w:val="ListNumber"/>
        <w:keepLines/>
      </w:pPr>
      <w:r>
        <w:t>UIDLs und Größen in einem Batch laden; mit remote_message_identities abgleichen.</w:t>
      </w:r>
    </w:p>
    <w:p>
      <w:pPr>
        <w:pStyle w:val="ListNumber"/>
        <w:keepLines/>
      </w:pPr>
      <w:r>
        <w:t>Nur unbekannte Einträge über denselben sicheren Stream-/Hash-/Temp-Mechanismus wie Get all verarbeiten.</w:t>
      </w:r>
    </w:p>
    <w:p>
      <w:pPr>
        <w:pStyle w:val="ListNumber"/>
        <w:keepLines/>
      </w:pPr>
      <w:r>
        <w:t>Einzelfehler in FetchItem speichern und mit nächster Nachricht fortfahren, sofern Verbindung und Serverzustand dies erlauben.</w:t>
      </w:r>
    </w:p>
    <w:p>
      <w:pPr>
        <w:pStyle w:val="ListNumber"/>
        <w:keepLines/>
      </w:pPr>
      <w:r>
        <w:t>Run-Zähler und Abschlussstatus persistieren; UI über IProgress&lt;FetchProgressDto&gt; aktualisieren.</w:t>
      </w:r>
    </w:p>
    <w:p>
      <w:pPr>
        <w:pStyle w:val="Heading2"/>
        <w:keepNext/>
        <w:keepLines/>
      </w:pPr>
      <w:r>
        <w:t>8.2 Vollständiger Abruf „Get all“</w:t>
      </w:r>
    </w:p>
    <w:p>
      <w:pPr>
        <w:pStyle w:val="ListNumber"/>
        <w:keepLines/>
      </w:pPr>
      <w:r>
        <w:t>Vor Beginn werden Serveranzahl, geschätzte Datenmenge, Speicherplatz und kontobezogene Löschoptionen angezeigt.</w:t>
      </w:r>
    </w:p>
    <w:p>
      <w:pPr>
        <w:pStyle w:val="ListNumber"/>
        <w:keepLines/>
      </w:pPr>
      <w:r>
        <w:t>Jede sichtbare Nachricht wird vollständig geladen - unabhängig von bekannter UIDL.</w:t>
      </w:r>
    </w:p>
    <w:p>
      <w:pPr>
        <w:pStyle w:val="ListNumber"/>
        <w:keepLines/>
      </w:pPr>
      <w:r>
        <w:t>UIDL dient nur der Provenienz; die Übernahmeentscheidung basiert auf AccountId, Rohhash und Länge.</w:t>
      </w:r>
    </w:p>
    <w:p>
      <w:pPr>
        <w:pStyle w:val="ListNumber"/>
        <w:keepLines/>
      </w:pPr>
      <w:r>
        <w:t>Ein Duplikat erzeugt ein Ereignis und wird nicht erneut geparst, sofern keine explizite Reanalyse angefordert wurde.</w:t>
      </w:r>
    </w:p>
    <w:p>
      <w:pPr>
        <w:pStyle w:val="ListNumber"/>
        <w:keepLines/>
      </w:pPr>
      <w:r>
        <w:t>Der Lauf kann kontrolliert abgebrochen und später vollständig erneut gestartet werden.</w:t>
      </w:r>
    </w:p>
    <w:p>
      <w:pPr>
        <w:pStyle w:val="ListNumber"/>
        <w:keepLines/>
      </w:pPr>
      <w:r>
        <w:t>Der Abschlussbericht enthält geprüft, neu, bekannt, fehlerhaft, Datenmenge, Laufzeit und verbleibende Warnungen.</w:t>
      </w:r>
    </w:p>
    <w:p>
      <w:pPr>
        <w:pStyle w:val="Heading2"/>
        <w:keepNext/>
        <w:keepLines/>
      </w:pPr>
      <w:r>
        <w:t>8.3 POP3-Löschverhalten</w:t>
      </w:r>
    </w:p>
    <w:p>
      <w:pPr>
        <w:pStyle w:val="ListBullet"/>
        <w:keepLines/>
      </w:pPr>
      <w:r>
        <w:t>Default: Es wird niemals DeleteMessage/DeleteAllMessages verwendet.</w:t>
      </w:r>
    </w:p>
    <w:p>
      <w:pPr>
        <w:pStyle w:val="ListBullet"/>
        <w:keepLines/>
      </w:pPr>
      <w:r>
        <w:t>Eine spätere kontoabhängige Löschoption ist als SOLL-Anforderung vorbereitet, bleibt standardmäßig aus und verlangt eine deutliche Warnung sowie Sicherungsnachweis.</w:t>
      </w:r>
    </w:p>
    <w:p>
      <w:pPr>
        <w:pStyle w:val="ListBullet"/>
        <w:keepLines/>
      </w:pPr>
      <w:r>
        <w:t>Die Deduplizierung löscht ausschließlich die neu geladene temporäre lokale Kopie, niemals das kanonische Original und niemals die Servermail.</w:t>
      </w:r>
    </w:p>
    <w:p>
      <w:pPr>
        <w:pStyle w:val="Heading1"/>
        <w:keepNext/>
        <w:keepLines/>
      </w:pPr>
      <w:r>
        <w:t>9. Hash-Deduplizierung und Bestandsprüfung</w:t>
      </w:r>
    </w:p>
    <w:tbl>
      <w:tblPr>
        <w:tblStyle w:val="TableGrid"/>
        <w:tblW w:type="auto" w:w="0"/>
        <w:tblLook w:firstColumn="1" w:firstRow="1" w:lastColumn="0" w:lastRow="0" w:noHBand="0" w:noVBand="1" w:val="04A0"/>
      </w:tblPr>
      <w:tblGrid>
        <w:gridCol w:w="10029"/>
      </w:tblGrid>
      <w:tr>
        <w:trPr>
          <w:cantSplit/>
          <w:tblHeader/>
        </w:trPr>
        <w:tc>
          <w:tcPr>
            <w:tcW w:type="dxa" w:w="10029"/>
            <w:shd w:fill="F1F3F4"/>
            <w:tcMar>
              <w:top w:w="60" w:type="dxa"/>
              <w:left w:w="80" w:type="dxa"/>
              <w:bottom w:w="60" w:type="dxa"/>
              <w:right w:w="80" w:type="dxa"/>
            </w:tcMar>
          </w:tcPr>
          <w:p>
            <w:pPr>
              <w:spacing w:after="0"/>
            </w:pPr>
            <w:r>
              <w:rPr>
                <w:rFonts w:ascii="Consolas" w:hAnsi="Consolas"/>
                <w:sz w:val="17"/>
              </w:rPr>
              <w:t>DedupKey = AccountId + SHA256(raw RFC-822 bytes) + RawLength</w:t>
              <w:br/>
              <w:t>UNIQUE INDEX ux_raw_message_exact</w:t>
              <w:br/>
              <w:t xml:space="preserve">    ON raw_messages(account_id, raw_sha256, raw_length);</w:t>
              <w:br/>
            </w:r>
          </w:p>
        </w:tc>
      </w:tr>
    </w:tbl>
    <w:p>
      <w:pPr>
        <w:keepLines/>
      </w:pPr>
    </w:p>
    <w:p>
      <w:pPr>
        <w:pStyle w:val="ListBullet"/>
        <w:keepLines/>
      </w:pPr>
      <w:r>
        <w:t>Der Hash wird über exakt die Bytes gebildet, die als EML-Datei gespeichert würden. Eine erneute Serialisierung von MimeMessage ist für den Deduplizierungshash unzulässig.</w:t>
      </w:r>
    </w:p>
    <w:p>
      <w:pPr>
        <w:pStyle w:val="ListBullet"/>
        <w:keepLines/>
      </w:pPr>
      <w:r>
        <w:t>Message-ID, UIDL, Datum, Absender und semantische Fingerprints sind Diagnose- und Suchmerkmale, aber kein automatischer Löschbeweis.</w:t>
      </w:r>
    </w:p>
    <w:p>
      <w:pPr>
        <w:pStyle w:val="ListBullet"/>
        <w:keepLines/>
      </w:pPr>
      <w:r>
        <w:t>Der lokale Bestandsprüflauf gruppiert zunächst nur exakte Hash-/Längenübereinstimmungen. Vor Bereinigung wird ein Bericht erzeugt und eine kanonische Datei bestimmt.</w:t>
      </w:r>
    </w:p>
    <w:p>
      <w:pPr>
        <w:pStyle w:val="ListBullet"/>
        <w:keepLines/>
      </w:pPr>
      <w:r>
        <w:t>Die kanonische Auswahl bevorzugt einen gültigen, referenzierten Datensatz mit vollständiger Provenienz; alle abhängigen Ordner-, Tag- und Analysebezüge werden vor Entfernen einer Kopie zusammengeführt.</w:t>
      </w:r>
    </w:p>
    <w:p>
      <w:pPr>
        <w:pStyle w:val="ListBullet"/>
        <w:keepLines/>
      </w:pPr>
      <w:r>
        <w:t>Jeder Eingriff wird als DeduplicationEvent protokolliert und ist im Diagnosebericht nachvollziehbar.</w:t>
      </w:r>
    </w:p>
    <w:p>
      <w:pPr>
        <w:pStyle w:val="Heading1"/>
        <w:keepNext/>
        <w:keepLines/>
      </w:pPr>
      <w:r>
        <w:t>10. MIME-Parsing, HTML-Sicherheit und Darstellung</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268"/>
            <w:shd w:fill="244A5A"/>
            <w:vAlign w:val="center"/>
            <w:tcMar>
              <w:top w:w="60" w:type="dxa"/>
              <w:left w:w="80" w:type="dxa"/>
              <w:bottom w:w="60" w:type="dxa"/>
              <w:right w:w="80" w:type="dxa"/>
            </w:tcMar>
          </w:tcPr>
          <w:p>
            <w:pPr>
              <w:jc w:val="center"/>
            </w:pPr>
            <w:r>
              <w:rPr>
                <w:b/>
                <w:color w:val="FFFFFF"/>
                <w:sz w:val="17"/>
              </w:rPr>
              <w:t>Stufe</w:t>
            </w:r>
          </w:p>
        </w:tc>
        <w:tc>
          <w:tcPr>
            <w:tcW w:type="dxa" w:w="7087"/>
            <w:shd w:fill="244A5A"/>
            <w:vAlign w:val="center"/>
            <w:tcMar>
              <w:top w:w="60" w:type="dxa"/>
              <w:left w:w="80" w:type="dxa"/>
              <w:bottom w:w="60" w:type="dxa"/>
              <w:right w:w="80" w:type="dxa"/>
            </w:tcMar>
          </w:tcPr>
          <w:p>
            <w:pPr>
              <w:jc w:val="center"/>
            </w:pPr>
            <w:r>
              <w:rPr>
                <w:b/>
                <w:color w:val="FFFFFF"/>
                <w:sz w:val="17"/>
              </w:rPr>
              <w:t>Verantwortung</w:t>
            </w:r>
          </w:p>
        </w:tc>
      </w:tr>
      <w:tr>
        <w:trPr>
          <w:cantSplit/>
        </w:trPr>
        <w:tc>
          <w:tcPr>
            <w:tcW w:type="dxa" w:w="2268"/>
            <w:vAlign w:val="top"/>
            <w:shd w:fill="F4F7F8"/>
            <w:tcMar>
              <w:top w:w="60" w:type="dxa"/>
              <w:left w:w="80" w:type="dxa"/>
              <w:bottom w:w="60" w:type="dxa"/>
              <w:right w:w="80" w:type="dxa"/>
            </w:tcMar>
          </w:tcPr>
          <w:p>
            <w:pPr>
              <w:spacing w:after="40"/>
            </w:pPr>
            <w:r>
              <w:rPr>
                <w:sz w:val="17"/>
              </w:rPr>
              <w:t>Raw Loader</w:t>
            </w:r>
          </w:p>
        </w:tc>
        <w:tc>
          <w:tcPr>
            <w:tcW w:type="dxa" w:w="7087"/>
            <w:vAlign w:val="top"/>
            <w:shd w:fill="F4F7F8"/>
            <w:tcMar>
              <w:top w:w="60" w:type="dxa"/>
              <w:left w:w="80" w:type="dxa"/>
              <w:bottom w:w="60" w:type="dxa"/>
              <w:right w:w="80" w:type="dxa"/>
            </w:tcMar>
          </w:tcPr>
          <w:p>
            <w:pPr>
              <w:spacing w:after="40"/>
            </w:pPr>
            <w:r>
              <w:rPr>
                <w:sz w:val="17"/>
              </w:rPr>
              <w:t>Liest Originaldatei read-only und prüft optional Hash/Länge.</w:t>
            </w:r>
          </w:p>
        </w:tc>
      </w:tr>
      <w:tr>
        <w:trPr>
          <w:cantSplit/>
        </w:trPr>
        <w:tc>
          <w:tcPr>
            <w:tcW w:type="dxa" w:w="2268"/>
            <w:vAlign w:val="top"/>
            <w:tcMar>
              <w:top w:w="60" w:type="dxa"/>
              <w:left w:w="80" w:type="dxa"/>
              <w:bottom w:w="60" w:type="dxa"/>
              <w:right w:w="80" w:type="dxa"/>
            </w:tcMar>
          </w:tcPr>
          <w:p>
            <w:pPr>
              <w:spacing w:after="40"/>
            </w:pPr>
            <w:r>
              <w:rPr>
                <w:sz w:val="17"/>
              </w:rPr>
              <w:t>MimeKit Parser</w:t>
            </w:r>
          </w:p>
        </w:tc>
        <w:tc>
          <w:tcPr>
            <w:tcW w:type="dxa" w:w="7087"/>
            <w:vAlign w:val="top"/>
            <w:tcMar>
              <w:top w:w="60" w:type="dxa"/>
              <w:left w:w="80" w:type="dxa"/>
              <w:bottom w:w="60" w:type="dxa"/>
              <w:right w:w="80" w:type="dxa"/>
            </w:tcMar>
          </w:tcPr>
          <w:p>
            <w:pPr>
              <w:spacing w:after="40"/>
            </w:pPr>
            <w:r>
              <w:rPr>
                <w:sz w:val="17"/>
              </w:rPr>
              <w:t>Dekodiert Header, Multipart, Transfer-Encoding, Text, HTML, Attachments und eingebettete Nachrichten.</w:t>
            </w:r>
          </w:p>
        </w:tc>
      </w:tr>
      <w:tr>
        <w:trPr>
          <w:cantSplit/>
        </w:trPr>
        <w:tc>
          <w:tcPr>
            <w:tcW w:type="dxa" w:w="2268"/>
            <w:vAlign w:val="top"/>
            <w:shd w:fill="F4F7F8"/>
            <w:tcMar>
              <w:top w:w="60" w:type="dxa"/>
              <w:left w:w="80" w:type="dxa"/>
              <w:bottom w:w="60" w:type="dxa"/>
              <w:right w:w="80" w:type="dxa"/>
            </w:tcMar>
          </w:tcPr>
          <w:p>
            <w:pPr>
              <w:spacing w:after="40"/>
            </w:pPr>
            <w:r>
              <w:rPr>
                <w:sz w:val="17"/>
              </w:rPr>
              <w:t>Mapper</w:t>
            </w:r>
          </w:p>
        </w:tc>
        <w:tc>
          <w:tcPr>
            <w:tcW w:type="dxa" w:w="7087"/>
            <w:vAlign w:val="top"/>
            <w:shd w:fill="F4F7F8"/>
            <w:tcMar>
              <w:top w:w="60" w:type="dxa"/>
              <w:left w:w="80" w:type="dxa"/>
              <w:bottom w:w="60" w:type="dxa"/>
              <w:right w:w="80" w:type="dxa"/>
            </w:tcMar>
          </w:tcPr>
          <w:p>
            <w:pPr>
              <w:spacing w:after="40"/>
            </w:pPr>
            <w:r>
              <w:rPr>
                <w:sz w:val="17"/>
              </w:rPr>
              <w:t>Überführt MimeKit-Typen in eigene ParsedMessage-/MimePart-DTOs.</w:t>
            </w:r>
          </w:p>
        </w:tc>
      </w:tr>
      <w:tr>
        <w:trPr>
          <w:cantSplit/>
        </w:trPr>
        <w:tc>
          <w:tcPr>
            <w:tcW w:type="dxa" w:w="2268"/>
            <w:vAlign w:val="top"/>
            <w:tcMar>
              <w:top w:w="60" w:type="dxa"/>
              <w:left w:w="80" w:type="dxa"/>
              <w:bottom w:w="60" w:type="dxa"/>
              <w:right w:w="80" w:type="dxa"/>
            </w:tcMar>
          </w:tcPr>
          <w:p>
            <w:pPr>
              <w:spacing w:after="40"/>
            </w:pPr>
            <w:r>
              <w:rPr>
                <w:sz w:val="17"/>
              </w:rPr>
              <w:t>Normalizer</w:t>
            </w:r>
          </w:p>
        </w:tc>
        <w:tc>
          <w:tcPr>
            <w:tcW w:type="dxa" w:w="7087"/>
            <w:vAlign w:val="top"/>
            <w:tcMar>
              <w:top w:w="60" w:type="dxa"/>
              <w:left w:w="80" w:type="dxa"/>
              <w:bottom w:w="60" w:type="dxa"/>
              <w:right w:w="80" w:type="dxa"/>
            </w:tcMar>
          </w:tcPr>
          <w:p>
            <w:pPr>
              <w:spacing w:after="40"/>
            </w:pPr>
            <w:r>
              <w:rPr>
                <w:sz w:val="17"/>
              </w:rPr>
              <w:t>Erzeugt bereinigten Plaintext, normalisierte Adressen und Linkbeobachtungen.</w:t>
            </w:r>
          </w:p>
        </w:tc>
      </w:tr>
      <w:tr>
        <w:trPr>
          <w:cantSplit/>
        </w:trPr>
        <w:tc>
          <w:tcPr>
            <w:tcW w:type="dxa" w:w="2268"/>
            <w:vAlign w:val="top"/>
            <w:shd w:fill="F4F7F8"/>
            <w:tcMar>
              <w:top w:w="60" w:type="dxa"/>
              <w:left w:w="80" w:type="dxa"/>
              <w:bottom w:w="60" w:type="dxa"/>
              <w:right w:w="80" w:type="dxa"/>
            </w:tcMar>
          </w:tcPr>
          <w:p>
            <w:pPr>
              <w:spacing w:after="40"/>
            </w:pPr>
            <w:r>
              <w:rPr>
                <w:sz w:val="17"/>
              </w:rPr>
              <w:t>HTML Sanitizer</w:t>
            </w:r>
          </w:p>
        </w:tc>
        <w:tc>
          <w:tcPr>
            <w:tcW w:type="dxa" w:w="7087"/>
            <w:vAlign w:val="top"/>
            <w:shd w:fill="F4F7F8"/>
            <w:tcMar>
              <w:top w:w="60" w:type="dxa"/>
              <w:left w:w="80" w:type="dxa"/>
              <w:bottom w:w="60" w:type="dxa"/>
              <w:right w:w="80" w:type="dxa"/>
            </w:tcMar>
          </w:tcPr>
          <w:p>
            <w:pPr>
              <w:spacing w:after="40"/>
            </w:pPr>
            <w:r>
              <w:rPr>
                <w:sz w:val="17"/>
              </w:rPr>
              <w:t>Entfernt aktive Inhalte, Formulare, Navigation, gefährliche Schemata und externe Ressourcen.</w:t>
            </w:r>
          </w:p>
        </w:tc>
      </w:tr>
      <w:tr>
        <w:trPr>
          <w:cantSplit/>
        </w:trPr>
        <w:tc>
          <w:tcPr>
            <w:tcW w:type="dxa" w:w="2268"/>
            <w:vAlign w:val="top"/>
            <w:tcMar>
              <w:top w:w="60" w:type="dxa"/>
              <w:left w:w="80" w:type="dxa"/>
              <w:bottom w:w="60" w:type="dxa"/>
              <w:right w:w="80" w:type="dxa"/>
            </w:tcMar>
          </w:tcPr>
          <w:p>
            <w:pPr>
              <w:spacing w:after="40"/>
            </w:pPr>
            <w:r>
              <w:rPr>
                <w:sz w:val="17"/>
              </w:rPr>
              <w:t>Render Host</w:t>
            </w:r>
          </w:p>
        </w:tc>
        <w:tc>
          <w:tcPr>
            <w:tcW w:type="dxa" w:w="7087"/>
            <w:vAlign w:val="top"/>
            <w:tcMar>
              <w:top w:w="60" w:type="dxa"/>
              <w:left w:w="80" w:type="dxa"/>
              <w:bottom w:w="60" w:type="dxa"/>
              <w:right w:w="80" w:type="dxa"/>
            </w:tcMar>
          </w:tcPr>
          <w:p>
            <w:pPr>
              <w:spacing w:after="40"/>
            </w:pPr>
            <w:r>
              <w:rPr>
                <w:sz w:val="17"/>
              </w:rPr>
              <w:t>Zeigt nur sanitiztes HTML in isoliertem WebView/Renderer; blockiert Navigation und Netzwerk.</w:t>
            </w:r>
          </w:p>
        </w:tc>
      </w:tr>
      <w:tr>
        <w:trPr>
          <w:cantSplit/>
        </w:trPr>
        <w:tc>
          <w:tcPr>
            <w:tcW w:type="dxa" w:w="2268"/>
            <w:vAlign w:val="top"/>
            <w:shd w:fill="F4F7F8"/>
            <w:tcMar>
              <w:top w:w="60" w:type="dxa"/>
              <w:left w:w="80" w:type="dxa"/>
              <w:bottom w:w="60" w:type="dxa"/>
              <w:right w:w="80" w:type="dxa"/>
            </w:tcMar>
          </w:tcPr>
          <w:p>
            <w:pPr>
              <w:spacing w:after="40"/>
            </w:pPr>
            <w:r>
              <w:rPr>
                <w:sz w:val="17"/>
              </w:rPr>
              <w:t>Presentation</w:t>
            </w:r>
          </w:p>
        </w:tc>
        <w:tc>
          <w:tcPr>
            <w:tcW w:type="dxa" w:w="7087"/>
            <w:vAlign w:val="top"/>
            <w:shd w:fill="F4F7F8"/>
            <w:tcMar>
              <w:top w:w="60" w:type="dxa"/>
              <w:left w:w="80" w:type="dxa"/>
              <w:bottom w:w="60" w:type="dxa"/>
              <w:right w:w="80" w:type="dxa"/>
            </w:tcMar>
          </w:tcPr>
          <w:p>
            <w:pPr>
              <w:spacing w:after="40"/>
            </w:pPr>
            <w:r>
              <w:rPr>
                <w:sz w:val="17"/>
              </w:rPr>
              <w:t>Bietet Text/HTML/Raw/Header/MIME-Ansichten, Zoom und klare Sicherheitszustände.</w:t>
            </w:r>
          </w:p>
        </w:tc>
      </w:tr>
    </w:tbl>
    <w:p>
      <w:pPr>
        <w:keepLines/>
      </w:pP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FCEBE8"/>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HTML-Sicherheitsgrenze</w:t>
            </w:r>
            <w:r>
              <w:br/>
              <w:t>Der Renderer ist keine normale Browserinstanz. Er erhält keinen Zugriff auf Secrets, Datenbank, Dateisystem oder Hostobjekte. Jede Navigation und jeder Ressourcenabruf wird abgelehnt, solange nicht eine ausdrücklich freigegebene, separate Benutzeraktion erfolgt.</w:t>
            </w:r>
          </w:p>
        </w:tc>
      </w:tr>
    </w:tbl>
    <w:p>
      <w:pPr>
        <w:keepLines/>
      </w:pPr>
    </w:p>
    <w:p>
      <w:pPr>
        <w:pStyle w:val="Heading1"/>
        <w:keepNext/>
        <w:keepLines/>
      </w:pPr>
      <w:r>
        <w:t>11. Lokales Warnsystem und Markenprofile</w:t>
      </w:r>
    </w:p>
    <w:p>
      <w:pPr>
        <w:keepLines/>
      </w:pPr>
      <w:r>
        <w:drawing>
          <wp:inline xmlns:a="http://schemas.openxmlformats.org/drawingml/2006/main" xmlns:pic="http://schemas.openxmlformats.org/drawingml/2006/picture">
            <wp:extent cx="5940000" cy="3445810"/>
            <wp:docPr id="5" name="Picture 5" descr="Image: image4.png"/>
            <wp:cNvGraphicFramePr>
              <a:graphicFrameLocks noChangeAspect="1"/>
            </wp:cNvGraphicFramePr>
            <a:graphic>
              <a:graphicData uri="http://schemas.openxmlformats.org/drawingml/2006/picture">
                <pic:pic>
                  <pic:nvPicPr>
                    <pic:cNvPr id="0" name="warning_pipeline.png"/>
                    <pic:cNvPicPr/>
                  </pic:nvPicPr>
                  <pic:blipFill>
                    <a:blip r:embed="rId14"/>
                    <a:stretch>
                      <a:fillRect/>
                    </a:stretch>
                  </pic:blipFill>
                  <pic:spPr>
                    <a:xfrm>
                      <a:off x="0" y="0"/>
                      <a:ext cx="5940000" cy="3445810"/>
                    </a:xfrm>
                    <a:prstGeom prst="rect"/>
                  </pic:spPr>
                </pic:pic>
              </a:graphicData>
            </a:graphic>
          </wp:inline>
        </w:drawing>
      </w:r>
    </w:p>
    <w:p>
      <w:pPr>
        <w:pStyle w:val="Caption"/>
        <w:jc w:val="center"/>
        <w:keepLines/>
      </w:pPr>
      <w:r>
        <w:t>Abbildung 5: Extraktion, Analyzer, Aggregation und erklärbare Ausgabe</w:t>
      </w:r>
    </w:p>
    <w:p>
      <w:pPr>
        <w:pStyle w:val="Heading2"/>
        <w:keepNext/>
        <w:keepLines/>
      </w:pPr>
      <w:r>
        <w:t>11.1 Analyzer-Katalog für Version 1</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665"/>
            <w:shd w:fill="244A5A"/>
            <w:vAlign w:val="center"/>
            <w:tcMar>
              <w:top w:w="60" w:type="dxa"/>
              <w:left w:w="80" w:type="dxa"/>
              <w:bottom w:w="60" w:type="dxa"/>
              <w:right w:w="80" w:type="dxa"/>
            </w:tcMar>
          </w:tcPr>
          <w:p>
            <w:pPr>
              <w:jc w:val="center"/>
            </w:pPr>
            <w:r>
              <w:rPr>
                <w:b/>
                <w:color w:val="FFFFFF"/>
                <w:sz w:val="16"/>
              </w:rPr>
              <w:t>Analyzer-ID</w:t>
            </w:r>
          </w:p>
        </w:tc>
        <w:tc>
          <w:tcPr>
            <w:tcW w:type="dxa" w:w="4252"/>
            <w:shd w:fill="244A5A"/>
            <w:vAlign w:val="center"/>
            <w:tcMar>
              <w:top w:w="60" w:type="dxa"/>
              <w:left w:w="80" w:type="dxa"/>
              <w:bottom w:w="60" w:type="dxa"/>
              <w:right w:w="80" w:type="dxa"/>
            </w:tcMar>
          </w:tcPr>
          <w:p>
            <w:pPr>
              <w:jc w:val="center"/>
            </w:pPr>
            <w:r>
              <w:rPr>
                <w:b/>
                <w:color w:val="FFFFFF"/>
                <w:sz w:val="16"/>
              </w:rPr>
              <w:t>Prüfung</w:t>
            </w:r>
          </w:p>
        </w:tc>
        <w:tc>
          <w:tcPr>
            <w:tcW w:type="dxa" w:w="2438"/>
            <w:shd w:fill="244A5A"/>
            <w:vAlign w:val="center"/>
            <w:tcMar>
              <w:top w:w="60" w:type="dxa"/>
              <w:left w:w="80" w:type="dxa"/>
              <w:bottom w:w="60" w:type="dxa"/>
              <w:right w:w="80" w:type="dxa"/>
            </w:tcMar>
          </w:tcPr>
          <w:p>
            <w:pPr>
              <w:jc w:val="center"/>
            </w:pPr>
            <w:r>
              <w:rPr>
                <w:b/>
                <w:color w:val="FFFFFF"/>
                <w:sz w:val="16"/>
              </w:rPr>
              <w:t>Ergebnis</w:t>
            </w:r>
          </w:p>
        </w:tc>
      </w:tr>
      <w:tr>
        <w:trPr>
          <w:cantSplit/>
        </w:trPr>
        <w:tc>
          <w:tcPr>
            <w:tcW w:type="dxa" w:w="2665"/>
            <w:vAlign w:val="top"/>
            <w:shd w:fill="F4F7F8"/>
            <w:tcMar>
              <w:top w:w="60" w:type="dxa"/>
              <w:left w:w="80" w:type="dxa"/>
              <w:bottom w:w="60" w:type="dxa"/>
              <w:right w:w="80" w:type="dxa"/>
            </w:tcMar>
          </w:tcPr>
          <w:p>
            <w:pPr>
              <w:spacing w:after="40"/>
            </w:pPr>
            <w:r>
              <w:rPr>
                <w:sz w:val="16"/>
              </w:rPr>
              <w:t>sasd.security.identity.v1</w:t>
            </w:r>
          </w:p>
        </w:tc>
        <w:tc>
          <w:tcPr>
            <w:tcW w:type="dxa" w:w="4252"/>
            <w:vAlign w:val="top"/>
            <w:shd w:fill="F4F7F8"/>
            <w:tcMar>
              <w:top w:w="60" w:type="dxa"/>
              <w:left w:w="80" w:type="dxa"/>
              <w:bottom w:w="60" w:type="dxa"/>
              <w:right w:w="80" w:type="dxa"/>
            </w:tcMar>
          </w:tcPr>
          <w:p>
            <w:pPr>
              <w:spacing w:after="40"/>
            </w:pPr>
            <w:r>
              <w:rPr>
                <w:sz w:val="16"/>
              </w:rPr>
              <w:t>From, Sender, Reply-To, Return-Path, Display Name und authentifizierte Domain</w:t>
            </w:r>
          </w:p>
        </w:tc>
        <w:tc>
          <w:tcPr>
            <w:tcW w:type="dxa" w:w="2438"/>
            <w:vAlign w:val="top"/>
            <w:shd w:fill="F4F7F8"/>
            <w:tcMar>
              <w:top w:w="60" w:type="dxa"/>
              <w:left w:w="80" w:type="dxa"/>
              <w:bottom w:w="60" w:type="dxa"/>
              <w:right w:w="80" w:type="dxa"/>
            </w:tcMar>
          </w:tcPr>
          <w:p>
            <w:pPr>
              <w:spacing w:after="40"/>
            </w:pPr>
            <w:r>
              <w:rPr>
                <w:sz w:val="16"/>
              </w:rPr>
              <w:t>IdentityFinding</w:t>
            </w:r>
          </w:p>
        </w:tc>
      </w:tr>
      <w:tr>
        <w:trPr>
          <w:cantSplit/>
        </w:trPr>
        <w:tc>
          <w:tcPr>
            <w:tcW w:type="dxa" w:w="2665"/>
            <w:vAlign w:val="top"/>
            <w:tcMar>
              <w:top w:w="60" w:type="dxa"/>
              <w:left w:w="80" w:type="dxa"/>
              <w:bottom w:w="60" w:type="dxa"/>
              <w:right w:w="80" w:type="dxa"/>
            </w:tcMar>
          </w:tcPr>
          <w:p>
            <w:pPr>
              <w:spacing w:after="40"/>
            </w:pPr>
            <w:r>
              <w:rPr>
                <w:sz w:val="16"/>
              </w:rPr>
              <w:t>sasd.security.link-target.v1</w:t>
            </w:r>
          </w:p>
        </w:tc>
        <w:tc>
          <w:tcPr>
            <w:tcW w:type="dxa" w:w="4252"/>
            <w:vAlign w:val="top"/>
            <w:tcMar>
              <w:top w:w="60" w:type="dxa"/>
              <w:left w:w="80" w:type="dxa"/>
              <w:bottom w:w="60" w:type="dxa"/>
              <w:right w:w="80" w:type="dxa"/>
            </w:tcMar>
          </w:tcPr>
          <w:p>
            <w:pPr>
              <w:spacing w:after="40"/>
            </w:pPr>
            <w:r>
              <w:rPr>
                <w:sz w:val="16"/>
              </w:rPr>
              <w:t>sichtbarer Text/accessible name gegen tatsächliche Ziel-URL</w:t>
            </w:r>
          </w:p>
        </w:tc>
        <w:tc>
          <w:tcPr>
            <w:tcW w:type="dxa" w:w="2438"/>
            <w:vAlign w:val="top"/>
            <w:tcMar>
              <w:top w:w="60" w:type="dxa"/>
              <w:left w:w="80" w:type="dxa"/>
              <w:bottom w:w="60" w:type="dxa"/>
              <w:right w:w="80" w:type="dxa"/>
            </w:tcMar>
          </w:tcPr>
          <w:p>
            <w:pPr>
              <w:spacing w:after="40"/>
            </w:pPr>
            <w:r>
              <w:rPr>
                <w:sz w:val="16"/>
              </w:rPr>
              <w:t>LinkMismatchFinding</w:t>
            </w:r>
          </w:p>
        </w:tc>
      </w:tr>
      <w:tr>
        <w:trPr>
          <w:cantSplit/>
        </w:trPr>
        <w:tc>
          <w:tcPr>
            <w:tcW w:type="dxa" w:w="2665"/>
            <w:vAlign w:val="top"/>
            <w:shd w:fill="F4F7F8"/>
            <w:tcMar>
              <w:top w:w="60" w:type="dxa"/>
              <w:left w:w="80" w:type="dxa"/>
              <w:bottom w:w="60" w:type="dxa"/>
              <w:right w:w="80" w:type="dxa"/>
            </w:tcMar>
          </w:tcPr>
          <w:p>
            <w:pPr>
              <w:spacing w:after="40"/>
            </w:pPr>
            <w:r>
              <w:rPr>
                <w:sz w:val="16"/>
              </w:rPr>
              <w:t>sasd.security.idn.v1</w:t>
            </w:r>
          </w:p>
        </w:tc>
        <w:tc>
          <w:tcPr>
            <w:tcW w:type="dxa" w:w="4252"/>
            <w:vAlign w:val="top"/>
            <w:shd w:fill="F4F7F8"/>
            <w:tcMar>
              <w:top w:w="60" w:type="dxa"/>
              <w:left w:w="80" w:type="dxa"/>
              <w:bottom w:w="60" w:type="dxa"/>
              <w:right w:w="80" w:type="dxa"/>
            </w:tcMar>
          </w:tcPr>
          <w:p>
            <w:pPr>
              <w:spacing w:after="40"/>
            </w:pPr>
            <w:r>
              <w:rPr>
                <w:sz w:val="16"/>
              </w:rPr>
              <w:t>Unicode/Punycode, gemischte Skripte und confusable Zeichen</w:t>
            </w:r>
          </w:p>
        </w:tc>
        <w:tc>
          <w:tcPr>
            <w:tcW w:type="dxa" w:w="2438"/>
            <w:vAlign w:val="top"/>
            <w:shd w:fill="F4F7F8"/>
            <w:tcMar>
              <w:top w:w="60" w:type="dxa"/>
              <w:left w:w="80" w:type="dxa"/>
              <w:bottom w:w="60" w:type="dxa"/>
              <w:right w:w="80" w:type="dxa"/>
            </w:tcMar>
          </w:tcPr>
          <w:p>
            <w:pPr>
              <w:spacing w:after="40"/>
            </w:pPr>
            <w:r>
              <w:rPr>
                <w:sz w:val="16"/>
              </w:rPr>
              <w:t>IdnFinding</w:t>
            </w:r>
          </w:p>
        </w:tc>
      </w:tr>
      <w:tr>
        <w:trPr>
          <w:cantSplit/>
        </w:trPr>
        <w:tc>
          <w:tcPr>
            <w:tcW w:type="dxa" w:w="2665"/>
            <w:vAlign w:val="top"/>
            <w:tcMar>
              <w:top w:w="60" w:type="dxa"/>
              <w:left w:w="80" w:type="dxa"/>
              <w:bottom w:w="60" w:type="dxa"/>
              <w:right w:w="80" w:type="dxa"/>
            </w:tcMar>
          </w:tcPr>
          <w:p>
            <w:pPr>
              <w:spacing w:after="40"/>
            </w:pPr>
            <w:r>
              <w:rPr>
                <w:sz w:val="16"/>
              </w:rPr>
              <w:t>sasd.security.transport-url.v1</w:t>
            </w:r>
          </w:p>
        </w:tc>
        <w:tc>
          <w:tcPr>
            <w:tcW w:type="dxa" w:w="4252"/>
            <w:vAlign w:val="top"/>
            <w:tcMar>
              <w:top w:w="60" w:type="dxa"/>
              <w:left w:w="80" w:type="dxa"/>
              <w:bottom w:w="60" w:type="dxa"/>
              <w:right w:w="80" w:type="dxa"/>
            </w:tcMar>
          </w:tcPr>
          <w:p>
            <w:pPr>
              <w:spacing w:after="40"/>
            </w:pPr>
            <w:r>
              <w:rPr>
                <w:sz w:val="16"/>
              </w:rPr>
              <w:t>IP-URL, HTTP, ungewöhnlicher Port, gefährliches Schema</w:t>
            </w:r>
          </w:p>
        </w:tc>
        <w:tc>
          <w:tcPr>
            <w:tcW w:type="dxa" w:w="2438"/>
            <w:vAlign w:val="top"/>
            <w:tcMar>
              <w:top w:w="60" w:type="dxa"/>
              <w:left w:w="80" w:type="dxa"/>
              <w:bottom w:w="60" w:type="dxa"/>
              <w:right w:w="80" w:type="dxa"/>
            </w:tcMar>
          </w:tcPr>
          <w:p>
            <w:pPr>
              <w:spacing w:after="40"/>
            </w:pPr>
            <w:r>
              <w:rPr>
                <w:sz w:val="16"/>
              </w:rPr>
              <w:t>UrlTransportFinding</w:t>
            </w:r>
          </w:p>
        </w:tc>
      </w:tr>
      <w:tr>
        <w:trPr>
          <w:cantSplit/>
        </w:trPr>
        <w:tc>
          <w:tcPr>
            <w:tcW w:type="dxa" w:w="2665"/>
            <w:vAlign w:val="top"/>
            <w:shd w:fill="F4F7F8"/>
            <w:tcMar>
              <w:top w:w="60" w:type="dxa"/>
              <w:left w:w="80" w:type="dxa"/>
              <w:bottom w:w="60" w:type="dxa"/>
              <w:right w:w="80" w:type="dxa"/>
            </w:tcMar>
          </w:tcPr>
          <w:p>
            <w:pPr>
              <w:spacing w:after="40"/>
            </w:pPr>
            <w:r>
              <w:rPr>
                <w:sz w:val="16"/>
              </w:rPr>
              <w:t>sasd.security.brand-profile.v1</w:t>
            </w:r>
          </w:p>
        </w:tc>
        <w:tc>
          <w:tcPr>
            <w:tcW w:type="dxa" w:w="4252"/>
            <w:vAlign w:val="top"/>
            <w:shd w:fill="F4F7F8"/>
            <w:tcMar>
              <w:top w:w="60" w:type="dxa"/>
              <w:left w:w="80" w:type="dxa"/>
              <w:bottom w:w="60" w:type="dxa"/>
              <w:right w:w="80" w:type="dxa"/>
            </w:tcMar>
          </w:tcPr>
          <w:p>
            <w:pPr>
              <w:spacing w:after="40"/>
            </w:pPr>
            <w:r>
              <w:rPr>
                <w:sz w:val="16"/>
              </w:rPr>
              <w:t>Zieldomain und Absender gegen lokale Markenprofile</w:t>
            </w:r>
          </w:p>
        </w:tc>
        <w:tc>
          <w:tcPr>
            <w:tcW w:type="dxa" w:w="2438"/>
            <w:vAlign w:val="top"/>
            <w:shd w:fill="F4F7F8"/>
            <w:tcMar>
              <w:top w:w="60" w:type="dxa"/>
              <w:left w:w="80" w:type="dxa"/>
              <w:bottom w:w="60" w:type="dxa"/>
              <w:right w:w="80" w:type="dxa"/>
            </w:tcMar>
          </w:tcPr>
          <w:p>
            <w:pPr>
              <w:spacing w:after="40"/>
            </w:pPr>
            <w:r>
              <w:rPr>
                <w:sz w:val="16"/>
              </w:rPr>
              <w:t>BrandMismatchFinding</w:t>
            </w:r>
          </w:p>
        </w:tc>
      </w:tr>
      <w:tr>
        <w:trPr>
          <w:cantSplit/>
        </w:trPr>
        <w:tc>
          <w:tcPr>
            <w:tcW w:type="dxa" w:w="2665"/>
            <w:vAlign w:val="top"/>
            <w:tcMar>
              <w:top w:w="60" w:type="dxa"/>
              <w:left w:w="80" w:type="dxa"/>
              <w:bottom w:w="60" w:type="dxa"/>
              <w:right w:w="80" w:type="dxa"/>
            </w:tcMar>
          </w:tcPr>
          <w:p>
            <w:pPr>
              <w:spacing w:after="40"/>
            </w:pPr>
            <w:r>
              <w:rPr>
                <w:sz w:val="16"/>
              </w:rPr>
              <w:t>sasd.security.auth-results.v1</w:t>
            </w:r>
          </w:p>
        </w:tc>
        <w:tc>
          <w:tcPr>
            <w:tcW w:type="dxa" w:w="4252"/>
            <w:vAlign w:val="top"/>
            <w:tcMar>
              <w:top w:w="60" w:type="dxa"/>
              <w:left w:w="80" w:type="dxa"/>
              <w:bottom w:w="60" w:type="dxa"/>
              <w:right w:w="80" w:type="dxa"/>
            </w:tcMar>
          </w:tcPr>
          <w:p>
            <w:pPr>
              <w:spacing w:after="40"/>
            </w:pPr>
            <w:r>
              <w:rPr>
                <w:sz w:val="16"/>
              </w:rPr>
              <w:t>SPF/DKIM/DMARC aus Authentication-Results</w:t>
            </w:r>
          </w:p>
        </w:tc>
        <w:tc>
          <w:tcPr>
            <w:tcW w:type="dxa" w:w="2438"/>
            <w:vAlign w:val="top"/>
            <w:tcMar>
              <w:top w:w="60" w:type="dxa"/>
              <w:left w:w="80" w:type="dxa"/>
              <w:bottom w:w="60" w:type="dxa"/>
              <w:right w:w="80" w:type="dxa"/>
            </w:tcMar>
          </w:tcPr>
          <w:p>
            <w:pPr>
              <w:spacing w:after="40"/>
            </w:pPr>
            <w:r>
              <w:rPr>
                <w:sz w:val="16"/>
              </w:rPr>
              <w:t>AuthenticationFinding</w:t>
            </w:r>
          </w:p>
        </w:tc>
      </w:tr>
      <w:tr>
        <w:trPr>
          <w:cantSplit/>
        </w:trPr>
        <w:tc>
          <w:tcPr>
            <w:tcW w:type="dxa" w:w="2665"/>
            <w:vAlign w:val="top"/>
            <w:shd w:fill="F4F7F8"/>
            <w:tcMar>
              <w:top w:w="60" w:type="dxa"/>
              <w:left w:w="80" w:type="dxa"/>
              <w:bottom w:w="60" w:type="dxa"/>
              <w:right w:w="80" w:type="dxa"/>
            </w:tcMar>
          </w:tcPr>
          <w:p>
            <w:pPr>
              <w:spacing w:after="40"/>
            </w:pPr>
            <w:r>
              <w:rPr>
                <w:sz w:val="16"/>
              </w:rPr>
              <w:t>sasd.security.tracking.v1</w:t>
            </w:r>
          </w:p>
        </w:tc>
        <w:tc>
          <w:tcPr>
            <w:tcW w:type="dxa" w:w="4252"/>
            <w:vAlign w:val="top"/>
            <w:shd w:fill="F4F7F8"/>
            <w:tcMar>
              <w:top w:w="60" w:type="dxa"/>
              <w:left w:w="80" w:type="dxa"/>
              <w:bottom w:w="60" w:type="dxa"/>
              <w:right w:w="80" w:type="dxa"/>
            </w:tcMar>
          </w:tcPr>
          <w:p>
            <w:pPr>
              <w:spacing w:after="40"/>
            </w:pPr>
            <w:r>
              <w:rPr>
                <w:sz w:val="16"/>
              </w:rPr>
              <w:t>externe Ressourcen, 1x1-/unsichtbare Bilder, Redirectorlisten</w:t>
            </w:r>
          </w:p>
        </w:tc>
        <w:tc>
          <w:tcPr>
            <w:tcW w:type="dxa" w:w="2438"/>
            <w:vAlign w:val="top"/>
            <w:shd w:fill="F4F7F8"/>
            <w:tcMar>
              <w:top w:w="60" w:type="dxa"/>
              <w:left w:w="80" w:type="dxa"/>
              <w:bottom w:w="60" w:type="dxa"/>
              <w:right w:w="80" w:type="dxa"/>
            </w:tcMar>
          </w:tcPr>
          <w:p>
            <w:pPr>
              <w:spacing w:after="40"/>
            </w:pPr>
            <w:r>
              <w:rPr>
                <w:sz w:val="16"/>
              </w:rPr>
              <w:t>TrackingFinding</w:t>
            </w:r>
          </w:p>
        </w:tc>
      </w:tr>
      <w:tr>
        <w:trPr>
          <w:cantSplit/>
        </w:trPr>
        <w:tc>
          <w:tcPr>
            <w:tcW w:type="dxa" w:w="2665"/>
            <w:vAlign w:val="top"/>
            <w:tcMar>
              <w:top w:w="60" w:type="dxa"/>
              <w:left w:w="80" w:type="dxa"/>
              <w:bottom w:w="60" w:type="dxa"/>
              <w:right w:w="80" w:type="dxa"/>
            </w:tcMar>
          </w:tcPr>
          <w:p>
            <w:pPr>
              <w:spacing w:after="40"/>
            </w:pPr>
            <w:r>
              <w:rPr>
                <w:sz w:val="16"/>
              </w:rPr>
              <w:t>sasd.security.attachment-type.v1</w:t>
            </w:r>
          </w:p>
        </w:tc>
        <w:tc>
          <w:tcPr>
            <w:tcW w:type="dxa" w:w="4252"/>
            <w:vAlign w:val="top"/>
            <w:tcMar>
              <w:top w:w="60" w:type="dxa"/>
              <w:left w:w="80" w:type="dxa"/>
              <w:bottom w:w="60" w:type="dxa"/>
              <w:right w:w="80" w:type="dxa"/>
            </w:tcMar>
          </w:tcPr>
          <w:p>
            <w:pPr>
              <w:spacing w:after="40"/>
            </w:pPr>
            <w:r>
              <w:rPr>
                <w:sz w:val="16"/>
              </w:rPr>
              <w:t>Dateiname, MIME, Extension und Magic Bytes</w:t>
            </w:r>
          </w:p>
        </w:tc>
        <w:tc>
          <w:tcPr>
            <w:tcW w:type="dxa" w:w="2438"/>
            <w:vAlign w:val="top"/>
            <w:tcMar>
              <w:top w:w="60" w:type="dxa"/>
              <w:left w:w="80" w:type="dxa"/>
              <w:bottom w:w="60" w:type="dxa"/>
              <w:right w:w="80" w:type="dxa"/>
            </w:tcMar>
          </w:tcPr>
          <w:p>
            <w:pPr>
              <w:spacing w:after="40"/>
            </w:pPr>
            <w:r>
              <w:rPr>
                <w:sz w:val="16"/>
              </w:rPr>
              <w:t>AttachmentTypeFinding</w:t>
            </w:r>
          </w:p>
        </w:tc>
      </w:tr>
    </w:tbl>
    <w:p>
      <w:pPr>
        <w:keepLines/>
      </w:pPr>
    </w:p>
    <w:p>
      <w:pPr>
        <w:pStyle w:val="Heading2"/>
        <w:keepNext/>
        <w:keepLines/>
      </w:pPr>
      <w:r>
        <w:t>11.2 Domain- und Markenvergleich</w:t>
      </w:r>
    </w:p>
    <w:p>
      <w:pPr>
        <w:pStyle w:val="ListBullet"/>
        <w:keepLines/>
      </w:pPr>
      <w:r>
        <w:t>URLs werden syntaktisch geparst, nicht per String-Suche. Hostname, Port, Schema, Pfad und Query werden getrennt gespeichert.</w:t>
      </w:r>
    </w:p>
    <w:p>
      <w:pPr>
        <w:pStyle w:val="ListBullet"/>
        <w:keepLines/>
      </w:pPr>
      <w:r>
        <w:t>Die registrierbare Domain wird über eine mit der Anwendung versionierte Public-Suffix-Liste bestimmt; fehlende oder private TLDs werden als unklar gekennzeichnet.</w:t>
      </w:r>
    </w:p>
    <w:p>
      <w:pPr>
        <w:pStyle w:val="ListBullet"/>
        <w:keepLines/>
      </w:pPr>
      <w:r>
        <w:t>BrandTrustProfile enthält primäre Domains, erlaubte Subdomains, bekannte Versand- und Trackingdienstleister, optionale Absenderdomains und Hinweise.</w:t>
      </w:r>
    </w:p>
    <w:p>
      <w:pPr>
        <w:pStyle w:val="ListBullet"/>
        <w:keepLines/>
      </w:pPr>
      <w:r>
        <w:t>Ein externer Dienstleister gilt nur dann als passend, wenn er explizit im aktiven, versionierten Profil steht. Die Mail selbst kann kein Vertrauen hinzufügen.</w:t>
      </w:r>
    </w:p>
    <w:p>
      <w:pPr>
        <w:pStyle w:val="ListBullet"/>
        <w:keepLines/>
      </w:pPr>
      <w:r>
        <w:t>Lokale Ausnahmen erzeugen eine neue Profilversion mit Begründung und Zeitstempel.</w:t>
      </w:r>
    </w:p>
    <w:p>
      <w:pPr>
        <w:pStyle w:val="Heading2"/>
        <w:keepNext/>
        <w:keepLines/>
      </w:pPr>
      <w:r>
        <w:t>11.3 Warnstufen</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417"/>
            <w:shd w:fill="244A5A"/>
            <w:vAlign w:val="center"/>
            <w:tcMar>
              <w:top w:w="60" w:type="dxa"/>
              <w:left w:w="80" w:type="dxa"/>
              <w:bottom w:w="60" w:type="dxa"/>
              <w:right w:w="80" w:type="dxa"/>
            </w:tcMar>
          </w:tcPr>
          <w:p>
            <w:pPr>
              <w:jc w:val="center"/>
            </w:pPr>
            <w:r>
              <w:rPr>
                <w:b/>
                <w:color w:val="FFFFFF"/>
                <w:sz w:val="16"/>
              </w:rPr>
              <w:t>Stufe</w:t>
            </w:r>
          </w:p>
        </w:tc>
        <w:tc>
          <w:tcPr>
            <w:tcW w:type="dxa" w:w="4535"/>
            <w:shd w:fill="244A5A"/>
            <w:vAlign w:val="center"/>
            <w:tcMar>
              <w:top w:w="60" w:type="dxa"/>
              <w:left w:w="80" w:type="dxa"/>
              <w:bottom w:w="60" w:type="dxa"/>
              <w:right w:w="80" w:type="dxa"/>
            </w:tcMar>
          </w:tcPr>
          <w:p>
            <w:pPr>
              <w:jc w:val="center"/>
            </w:pPr>
            <w:r>
              <w:rPr>
                <w:b/>
                <w:color w:val="FFFFFF"/>
                <w:sz w:val="16"/>
              </w:rPr>
              <w:t>Kriterien</w:t>
            </w:r>
          </w:p>
        </w:tc>
        <w:tc>
          <w:tcPr>
            <w:tcW w:type="dxa" w:w="3402"/>
            <w:shd w:fill="244A5A"/>
            <w:vAlign w:val="center"/>
            <w:tcMar>
              <w:top w:w="60" w:type="dxa"/>
              <w:left w:w="80" w:type="dxa"/>
              <w:bottom w:w="60" w:type="dxa"/>
              <w:right w:w="80" w:type="dxa"/>
            </w:tcMar>
          </w:tcPr>
          <w:p>
            <w:pPr>
              <w:jc w:val="center"/>
            </w:pPr>
            <w:r>
              <w:rPr>
                <w:b/>
                <w:color w:val="FFFFFF"/>
                <w:sz w:val="16"/>
              </w:rPr>
              <w:t>UI-Verhalten</w:t>
            </w:r>
          </w:p>
        </w:tc>
      </w:tr>
      <w:tr>
        <w:trPr>
          <w:cantSplit/>
        </w:trPr>
        <w:tc>
          <w:tcPr>
            <w:tcW w:type="dxa" w:w="1417"/>
            <w:vAlign w:val="top"/>
            <w:shd w:fill="F4F7F8"/>
            <w:tcMar>
              <w:top w:w="60" w:type="dxa"/>
              <w:left w:w="80" w:type="dxa"/>
              <w:bottom w:w="60" w:type="dxa"/>
              <w:right w:w="80" w:type="dxa"/>
            </w:tcMar>
          </w:tcPr>
          <w:p>
            <w:pPr>
              <w:spacing w:after="40"/>
            </w:pPr>
            <w:r>
              <w:rPr>
                <w:sz w:val="16"/>
              </w:rPr>
              <w:t>Information</w:t>
            </w:r>
          </w:p>
        </w:tc>
        <w:tc>
          <w:tcPr>
            <w:tcW w:type="dxa" w:w="4535"/>
            <w:vAlign w:val="top"/>
            <w:shd w:fill="F4F7F8"/>
            <w:tcMar>
              <w:top w:w="60" w:type="dxa"/>
              <w:left w:w="80" w:type="dxa"/>
              <w:bottom w:w="60" w:type="dxa"/>
              <w:right w:w="80" w:type="dxa"/>
            </w:tcMar>
          </w:tcPr>
          <w:p>
            <w:pPr>
              <w:spacing w:after="40"/>
            </w:pPr>
            <w:r>
              <w:rPr>
                <w:sz w:val="16"/>
              </w:rPr>
              <w:t>technische Beobachtung ohne unmittelbare Auffälligkeit</w:t>
            </w:r>
          </w:p>
        </w:tc>
        <w:tc>
          <w:tcPr>
            <w:tcW w:type="dxa" w:w="3402"/>
            <w:vAlign w:val="top"/>
            <w:shd w:fill="F4F7F8"/>
            <w:tcMar>
              <w:top w:w="60" w:type="dxa"/>
              <w:left w:w="80" w:type="dxa"/>
              <w:bottom w:w="60" w:type="dxa"/>
              <w:right w:w="80" w:type="dxa"/>
            </w:tcMar>
          </w:tcPr>
          <w:p>
            <w:pPr>
              <w:spacing w:after="40"/>
            </w:pPr>
            <w:r>
              <w:rPr>
                <w:sz w:val="16"/>
              </w:rPr>
              <w:t>neutral anzeigen; kein Block</w:t>
            </w:r>
          </w:p>
        </w:tc>
      </w:tr>
      <w:tr>
        <w:trPr>
          <w:cantSplit/>
        </w:trPr>
        <w:tc>
          <w:tcPr>
            <w:tcW w:type="dxa" w:w="1417"/>
            <w:vAlign w:val="top"/>
            <w:tcMar>
              <w:top w:w="60" w:type="dxa"/>
              <w:left w:w="80" w:type="dxa"/>
              <w:bottom w:w="60" w:type="dxa"/>
              <w:right w:w="80" w:type="dxa"/>
            </w:tcMar>
          </w:tcPr>
          <w:p>
            <w:pPr>
              <w:spacing w:after="40"/>
            </w:pPr>
            <w:r>
              <w:rPr>
                <w:sz w:val="16"/>
              </w:rPr>
              <w:t>Hinweis</w:t>
            </w:r>
          </w:p>
        </w:tc>
        <w:tc>
          <w:tcPr>
            <w:tcW w:type="dxa" w:w="4535"/>
            <w:vAlign w:val="top"/>
            <w:tcMar>
              <w:top w:w="60" w:type="dxa"/>
              <w:left w:w="80" w:type="dxa"/>
              <w:bottom w:w="60" w:type="dxa"/>
              <w:right w:w="80" w:type="dxa"/>
            </w:tcMar>
          </w:tcPr>
          <w:p>
            <w:pPr>
              <w:spacing w:after="40"/>
            </w:pPr>
            <w:r>
              <w:rPr>
                <w:sz w:val="16"/>
              </w:rPr>
              <w:t>ein schwacher oder erklärbarer Indikator</w:t>
            </w:r>
          </w:p>
        </w:tc>
        <w:tc>
          <w:tcPr>
            <w:tcW w:type="dxa" w:w="3402"/>
            <w:vAlign w:val="top"/>
            <w:tcMar>
              <w:top w:w="60" w:type="dxa"/>
              <w:left w:w="80" w:type="dxa"/>
              <w:bottom w:w="60" w:type="dxa"/>
              <w:right w:w="80" w:type="dxa"/>
            </w:tcMar>
          </w:tcPr>
          <w:p>
            <w:pPr>
              <w:spacing w:after="40"/>
            </w:pPr>
            <w:r>
              <w:rPr>
                <w:sz w:val="16"/>
              </w:rPr>
              <w:t>Symbol und Erläuterung; Linkvorschau</w:t>
            </w:r>
          </w:p>
        </w:tc>
      </w:tr>
      <w:tr>
        <w:trPr>
          <w:cantSplit/>
        </w:trPr>
        <w:tc>
          <w:tcPr>
            <w:tcW w:type="dxa" w:w="1417"/>
            <w:vAlign w:val="top"/>
            <w:shd w:fill="F4F7F8"/>
            <w:tcMar>
              <w:top w:w="60" w:type="dxa"/>
              <w:left w:w="80" w:type="dxa"/>
              <w:bottom w:w="60" w:type="dxa"/>
              <w:right w:w="80" w:type="dxa"/>
            </w:tcMar>
          </w:tcPr>
          <w:p>
            <w:pPr>
              <w:spacing w:after="40"/>
            </w:pPr>
            <w:r>
              <w:rPr>
                <w:sz w:val="16"/>
              </w:rPr>
              <w:t>Erhöht</w:t>
            </w:r>
          </w:p>
        </w:tc>
        <w:tc>
          <w:tcPr>
            <w:tcW w:type="dxa" w:w="4535"/>
            <w:vAlign w:val="top"/>
            <w:shd w:fill="F4F7F8"/>
            <w:tcMar>
              <w:top w:w="60" w:type="dxa"/>
              <w:left w:w="80" w:type="dxa"/>
              <w:bottom w:w="60" w:type="dxa"/>
              <w:right w:w="80" w:type="dxa"/>
            </w:tcMar>
          </w:tcPr>
          <w:p>
            <w:pPr>
              <w:spacing w:after="40"/>
            </w:pPr>
            <w:r>
              <w:rPr>
                <w:sz w:val="16"/>
              </w:rPr>
              <w:t>mehrere mittlere oder ein starker Indikator</w:t>
            </w:r>
          </w:p>
        </w:tc>
        <w:tc>
          <w:tcPr>
            <w:tcW w:type="dxa" w:w="3402"/>
            <w:vAlign w:val="top"/>
            <w:shd w:fill="F4F7F8"/>
            <w:tcMar>
              <w:top w:w="60" w:type="dxa"/>
              <w:left w:w="80" w:type="dxa"/>
              <w:bottom w:w="60" w:type="dxa"/>
              <w:right w:w="80" w:type="dxa"/>
            </w:tcMar>
          </w:tcPr>
          <w:p>
            <w:pPr>
              <w:spacing w:after="40"/>
            </w:pPr>
            <w:r>
              <w:rPr>
                <w:sz w:val="16"/>
              </w:rPr>
              <w:t>Bestätigungsdialog vor Linköffnung; Gründe vollständig anzeigen</w:t>
            </w:r>
          </w:p>
        </w:tc>
      </w:tr>
      <w:tr>
        <w:trPr>
          <w:cantSplit/>
        </w:trPr>
        <w:tc>
          <w:tcPr>
            <w:tcW w:type="dxa" w:w="1417"/>
            <w:vAlign w:val="top"/>
            <w:tcMar>
              <w:top w:w="60" w:type="dxa"/>
              <w:left w:w="80" w:type="dxa"/>
              <w:bottom w:w="60" w:type="dxa"/>
              <w:right w:w="80" w:type="dxa"/>
            </w:tcMar>
          </w:tcPr>
          <w:p>
            <w:pPr>
              <w:spacing w:after="40"/>
            </w:pPr>
            <w:r>
              <w:rPr>
                <w:sz w:val="16"/>
              </w:rPr>
              <w:t>Hoch</w:t>
            </w:r>
          </w:p>
        </w:tc>
        <w:tc>
          <w:tcPr>
            <w:tcW w:type="dxa" w:w="4535"/>
            <w:vAlign w:val="top"/>
            <w:tcMar>
              <w:top w:w="60" w:type="dxa"/>
              <w:left w:w="80" w:type="dxa"/>
              <w:bottom w:w="60" w:type="dxa"/>
              <w:right w:w="80" w:type="dxa"/>
            </w:tcMar>
          </w:tcPr>
          <w:p>
            <w:pPr>
              <w:spacing w:after="40"/>
            </w:pPr>
            <w:r>
              <w:rPr>
                <w:sz w:val="16"/>
              </w:rPr>
              <w:t>kritische Kombination, z. B. Homograph + Identitätsabweichung + riskanter Anhang</w:t>
            </w:r>
          </w:p>
        </w:tc>
        <w:tc>
          <w:tcPr>
            <w:tcW w:type="dxa" w:w="3402"/>
            <w:vAlign w:val="top"/>
            <w:tcMar>
              <w:top w:w="60" w:type="dxa"/>
              <w:left w:w="80" w:type="dxa"/>
              <w:bottom w:w="60" w:type="dxa"/>
              <w:right w:w="80" w:type="dxa"/>
            </w:tcMar>
          </w:tcPr>
          <w:p>
            <w:pPr>
              <w:spacing w:after="40"/>
            </w:pPr>
            <w:r>
              <w:rPr>
                <w:sz w:val="16"/>
              </w:rPr>
              <w:t>Link/Öffnen standardmäßig blockiert; bewusste Mehrfachbestätigung oder Richtliniensperre</w:t>
            </w:r>
          </w:p>
        </w:tc>
      </w:tr>
    </w:tbl>
    <w:p>
      <w:pPr>
        <w:keepLines/>
      </w:pP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FFF3E6"/>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Keine Blackbox-Wahrscheinlichkeit</w:t>
            </w:r>
            <w:r>
              <w:br/>
              <w:t>Version 1 verwendet keine behauptete Prozentwahrscheinlichkeit. Der Aggregator ordnet deterministische Regelbefunde einer Stufe zu und zeigt jeden Grund, die Evidenz, die Regelversion und eine konkrete Empfehlung.</w:t>
            </w:r>
          </w:p>
        </w:tc>
      </w:tr>
    </w:tbl>
    <w:p>
      <w:pPr>
        <w:keepLines/>
      </w:pPr>
    </w:p>
    <w:p>
      <w:pPr>
        <w:pStyle w:val="Heading1"/>
        <w:keepNext/>
        <w:keepLines/>
      </w:pPr>
      <w:r>
        <w:t>12. Verfassen, Outbox, SMTP und IMAP-Gesendet-Upload</w:t>
      </w:r>
    </w:p>
    <w:p>
      <w:pPr>
        <w:keepLines/>
      </w:pPr>
      <w:r>
        <w:drawing>
          <wp:inline xmlns:a="http://schemas.openxmlformats.org/drawingml/2006/main" xmlns:pic="http://schemas.openxmlformats.org/drawingml/2006/picture">
            <wp:extent cx="5940000" cy="3143400"/>
            <wp:docPr id="6" name="Picture 6" descr="Image: image5.png"/>
            <wp:cNvGraphicFramePr>
              <a:graphicFrameLocks noChangeAspect="1"/>
            </wp:cNvGraphicFramePr>
            <a:graphic>
              <a:graphicData uri="http://schemas.openxmlformats.org/drawingml/2006/picture">
                <pic:pic>
                  <pic:nvPicPr>
                    <pic:cNvPr id="0" name="send_append_flow.png"/>
                    <pic:cNvPicPr/>
                  </pic:nvPicPr>
                  <pic:blipFill>
                    <a:blip r:embed="rId15"/>
                    <a:stretch>
                      <a:fillRect/>
                    </a:stretch>
                  </pic:blipFill>
                  <pic:spPr>
                    <a:xfrm>
                      <a:off x="0" y="0"/>
                      <a:ext cx="5940000" cy="3143400"/>
                    </a:xfrm>
                    <a:prstGeom prst="rect"/>
                  </pic:spPr>
                </pic:pic>
              </a:graphicData>
            </a:graphic>
          </wp:inline>
        </w:drawing>
      </w:r>
    </w:p>
    <w:p>
      <w:pPr>
        <w:pStyle w:val="Caption"/>
        <w:jc w:val="center"/>
        <w:keepLines/>
      </w:pPr>
      <w:r>
        <w:t>Abbildung 6: Getrennte SMTP- und IMAP-Zustände</w:t>
      </w:r>
    </w:p>
    <w:p>
      <w:pPr>
        <w:pStyle w:val="Heading2"/>
        <w:keepNext/>
        <w:keepLines/>
      </w:pPr>
      <w:r>
        <w:t>12.1 Verfassen und Entwürfe</w:t>
      </w:r>
    </w:p>
    <w:p>
      <w:pPr>
        <w:pStyle w:val="ListBullet"/>
        <w:keepLines/>
      </w:pPr>
      <w:r>
        <w:t>Der Editor arbeitet mit ComposeMessageViewModel und Draft DTO; Autosave erfolgt zeitgesteuert und zusätzlich bei Fokusverlust/Schließen.</w:t>
      </w:r>
    </w:p>
    <w:p>
      <w:pPr>
        <w:pStyle w:val="ListBullet"/>
        <w:keepLines/>
      </w:pPr>
      <w:r>
        <w:t>Text und HTML werden als multipart/alternative erzeugt; Anhänge und Inline-Bilder werden über verwaltete AttachmentDraft-Referenzen hinzugefügt.</w:t>
      </w:r>
    </w:p>
    <w:p>
      <w:pPr>
        <w:pStyle w:val="ListBullet"/>
        <w:keepLines/>
      </w:pPr>
      <w:r>
        <w:t>From/Identität, To, Cc, Bcc, Reply-To und Signatur werden vor Erzeugung der finalen MIME-Nachricht validiert.</w:t>
      </w:r>
    </w:p>
    <w:p>
      <w:pPr>
        <w:pStyle w:val="ListBullet"/>
        <w:keepLines/>
      </w:pPr>
      <w:r>
        <w:t>Die Warnungen „leerer Betreff“ und „Anhang erwähnt, aber keiner vorhanden“ sind nicht blockierend, verlangen aber bewusste Bestätigung.</w:t>
      </w:r>
    </w:p>
    <w:p>
      <w:pPr>
        <w:pStyle w:val="Heading2"/>
        <w:keepNext/>
        <w:keepLines/>
      </w:pPr>
      <w:r>
        <w:t>12.2 SMTP und SendUncertain</w:t>
      </w:r>
    </w:p>
    <w:p>
      <w:pPr>
        <w:pStyle w:val="ListBullet"/>
        <w:keepLines/>
      </w:pPr>
      <w:r>
        <w:t>Die finale MIME-Datei wird vor dem ersten Sendeversuch unveränderlich in der Outbox gespeichert.</w:t>
      </w:r>
    </w:p>
    <w:p>
      <w:pPr>
        <w:pStyle w:val="ListBullet"/>
        <w:keepLines/>
      </w:pPr>
      <w:r>
        <w:t>Temporäre SMTP-Fehler können nach begrenztem exponentiellem Backoff wiederholt werden; permanente 5xx-Fehler werden nicht automatisch wiederholt.</w:t>
      </w:r>
    </w:p>
    <w:p>
      <w:pPr>
        <w:pStyle w:val="ListBullet"/>
        <w:keepLines/>
      </w:pPr>
      <w:r>
        <w:t>Bricht die Verbindung in einer Phase ab, in der die Serverannahme unklar ist, wird SendUncertain gesetzt. Ein automatischer Blind-Retry ist verboten.</w:t>
      </w:r>
    </w:p>
    <w:p>
      <w:pPr>
        <w:pStyle w:val="ListBullet"/>
        <w:keepLines/>
      </w:pPr>
      <w:r>
        <w:t>Die UI zeigt SMTP-Status, letzte Serverantwort, Zeitpunkt und sichere Handlungsoption getrennt vom IMAP-Upload.</w:t>
      </w:r>
    </w:p>
    <w:p>
      <w:pPr>
        <w:pStyle w:val="Heading2"/>
        <w:keepNext/>
        <w:keepLines/>
      </w:pPr>
      <w:r>
        <w:t>12.3 IMAP APPEND</w:t>
      </w:r>
    </w:p>
    <w:p>
      <w:pPr>
        <w:pStyle w:val="ListBullet"/>
        <w:keepLines/>
      </w:pPr>
      <w:r>
        <w:t>Nach sicherem SMTP-Erfolg wird dieselbe MIME-Datei als lokale Gesendet-Mail registriert.</w:t>
      </w:r>
    </w:p>
    <w:p>
      <w:pPr>
        <w:pStyle w:val="ListBullet"/>
        <w:keepLines/>
      </w:pPr>
      <w:r>
        <w:t>Der SentFolderResolver ermittelt \Sent Special-Use, Providerprofil oder Nutzerauswahl.</w:t>
      </w:r>
    </w:p>
    <w:p>
      <w:pPr>
        <w:pStyle w:val="ListBullet"/>
        <w:keepLines/>
      </w:pPr>
      <w:r>
        <w:t>AppendAsync lädt die vollständige Nachricht mit Seen-Flag hoch; APPENDUID wird gespeichert, sofern der Server UIDPLUS liefert.</w:t>
      </w:r>
    </w:p>
    <w:p>
      <w:pPr>
        <w:pStyle w:val="ListBullet"/>
        <w:keepLines/>
      </w:pPr>
      <w:r>
        <w:t>Bei UploadUncertain wird vor Retry im Zielordner nach stabilen Merkmalen gesucht. SMTP wird niemals erneut ausgeführt, nur weil APPEND scheiterte.</w:t>
      </w:r>
    </w:p>
    <w:p>
      <w:pPr>
        <w:pStyle w:val="ListBullet"/>
        <w:keepLines/>
      </w:pPr>
      <w:r>
        <w:t>Die Warteschlange zeigt Pending, Uploading, Uploaded, UploadUncertain, RetryRequired und FailedPermanent.</w:t>
      </w:r>
    </w:p>
    <w:p>
      <w:pPr>
        <w:pStyle w:val="Heading1"/>
        <w:keepNext/>
        <w:keepLines/>
      </w:pPr>
      <w:r>
        <w:t>13. Organisation, Suche, Regeln und Anhänge</w:t>
      </w:r>
    </w:p>
    <w:p>
      <w:pPr>
        <w:pStyle w:val="Heading2"/>
        <w:keepNext/>
        <w:keepLines/>
      </w:pPr>
      <w:r>
        <w:t>13.1 Lokale Ordner und Tags</w:t>
      </w:r>
    </w:p>
    <w:p>
      <w:pPr>
        <w:pStyle w:val="ListBullet"/>
        <w:keepLines/>
      </w:pPr>
      <w:r>
        <w:t>Systemordner werden als unveränderliche FolderKind-Werte geführt; Anzeigenamen sind lokalisierbar.</w:t>
      </w:r>
    </w:p>
    <w:p>
      <w:pPr>
        <w:pStyle w:val="ListBullet"/>
        <w:keepLines/>
      </w:pPr>
      <w:r>
        <w:t>Lokale Ordner bilden eine Baumstruktur pro Konto oder globalem Workspace. Nachrichten können mehreren virtuellen Ansichten, aber genau einer primären lokalen Ablage zugeordnet sein.</w:t>
      </w:r>
    </w:p>
    <w:p>
      <w:pPr>
        <w:pStyle w:val="ListBullet"/>
        <w:keepLines/>
      </w:pPr>
      <w:r>
        <w:t>Tags sind kontoübergreifend möglich und besitzen Name, optionale Farbe, Symbol und Sortierung; Farbe ist nie alleiniger Informationsträger.</w:t>
      </w:r>
    </w:p>
    <w:p>
      <w:pPr>
        <w:pStyle w:val="Heading2"/>
        <w:keepNext/>
        <w:keepLines/>
      </w:pPr>
      <w:r>
        <w:t>13.2 Volltextsuche</w:t>
      </w:r>
    </w:p>
    <w:p>
      <w:pPr>
        <w:pStyle w:val="ListBullet"/>
        <w:keepLines/>
      </w:pPr>
      <w:r>
        <w:t>FTS5 indexiert Betreff, normalisierte Absender/Empfänger, bereinigten Plaintext und Attachment-Dateinamen.</w:t>
      </w:r>
    </w:p>
    <w:p>
      <w:pPr>
        <w:pStyle w:val="ListBullet"/>
        <w:keepLines/>
      </w:pPr>
      <w:r>
        <w:t>Der Suchindex ist rekonstruierbar und enthält keine alleinige Quelle fachlicher Wahrheit.</w:t>
      </w:r>
    </w:p>
    <w:p>
      <w:pPr>
        <w:pStyle w:val="ListBullet"/>
        <w:keepLines/>
      </w:pPr>
      <w:r>
        <w:t>Suche unterstützt strukturierte Filter für Konto, Ordner, Datum, gelesen, markiert, Tag und Anhang.</w:t>
      </w:r>
    </w:p>
    <w:p>
      <w:pPr>
        <w:pStyle w:val="ListBullet"/>
        <w:keepLines/>
      </w:pPr>
      <w:r>
        <w:t>UI-Abfragen sind paginiert/virtualisiert; Bodies und Anhänge werden nicht für jede Listenzeile geladen.</w:t>
      </w:r>
    </w:p>
    <w:p>
      <w:pPr>
        <w:pStyle w:val="ListBullet"/>
        <w:keepLines/>
      </w:pPr>
      <w:r>
        <w:t>Indexierungsfehler markieren die Nachricht als SearchIndexPending und blockieren nicht das Lesen.</w:t>
      </w:r>
    </w:p>
    <w:p>
      <w:pPr>
        <w:pStyle w:val="Heading2"/>
        <w:keepNext/>
        <w:keepLines/>
      </w:pPr>
      <w:r>
        <w:t>13.3 Regelengine</w:t>
      </w:r>
    </w:p>
    <w:p>
      <w:pPr>
        <w:pStyle w:val="ListBullet"/>
        <w:keepLines/>
      </w:pPr>
      <w:r>
        <w:t>Regeln bestehen aus versionierten Bedingungen und whiteliste-basierten Aktionen.</w:t>
      </w:r>
    </w:p>
    <w:p>
      <w:pPr>
        <w:pStyle w:val="ListBullet"/>
        <w:keepLines/>
      </w:pPr>
      <w:r>
        <w:t>Bedingungen: Absender, Empfänger, Betreff, Header, Text enthält, Tag, Attachment vorhanden.</w:t>
      </w:r>
    </w:p>
    <w:p>
      <w:pPr>
        <w:pStyle w:val="ListBullet"/>
        <w:keepLines/>
      </w:pPr>
      <w:r>
        <w:t>Aktionen: lokaler Ordner, Tag, gelesen/ungelesen, markieren, RequiresReview.</w:t>
      </w:r>
    </w:p>
    <w:p>
      <w:pPr>
        <w:pStyle w:val="ListBullet"/>
        <w:keepLines/>
      </w:pPr>
      <w:r>
        <w:t>Keine externe Skript-, Shell- oder dynamische CLR-Ausführung in Version 1.</w:t>
      </w:r>
    </w:p>
    <w:p>
      <w:pPr>
        <w:pStyle w:val="ListBullet"/>
        <w:keepLines/>
      </w:pPr>
      <w:r>
        <w:t>Jeder Regellauf speichert Regelversion, Ergebnis und ausgeführte Aktionen.</w:t>
      </w:r>
    </w:p>
    <w:p>
      <w:pPr>
        <w:pStyle w:val="Heading2"/>
        <w:keepNext/>
        <w:keepLines/>
      </w:pPr>
      <w:r>
        <w:t>13.4 Anhänge</w:t>
      </w:r>
    </w:p>
    <w:p>
      <w:pPr>
        <w:pStyle w:val="ListBullet"/>
        <w:keepLines/>
      </w:pPr>
      <w:r>
        <w:t>Anhänge werden nicht automatisch ausgeführt oder in temporären Standardordnern geöffnet.</w:t>
      </w:r>
    </w:p>
    <w:p>
      <w:pPr>
        <w:pStyle w:val="ListBullet"/>
        <w:keepLines/>
      </w:pPr>
      <w:r>
        <w:t>Speichern verwendet sichere Dateinamensnormalisierung und behandelt Kollisionen über Nachfragen oder deterministische Suffixe.</w:t>
      </w:r>
    </w:p>
    <w:p>
      <w:pPr>
        <w:pStyle w:val="ListBullet"/>
        <w:keepLines/>
      </w:pPr>
      <w:r>
        <w:t>Magic-Byte-Erkennung ergänzt, aber ersetzt nicht den deklarierten MIME-Type; Abweichungen werden gewarnt.</w:t>
      </w:r>
    </w:p>
    <w:p>
      <w:pPr>
        <w:pStyle w:val="ListBullet"/>
        <w:keepLines/>
      </w:pPr>
      <w:r>
        <w:t>SHA-256 ist obligatorisch; SHA-512 kann bei Bedarf nachberechnet werden.</w:t>
      </w:r>
    </w:p>
    <w:p>
      <w:pPr>
        <w:pStyle w:val="ListBullet"/>
        <w:keepLines/>
      </w:pPr>
      <w:r>
        <w:t>Inline-CID-Ressourcen werden separat klassifiziert und nur im isolierten Renderer bereitgestellt.</w:t>
      </w:r>
    </w:p>
    <w:p>
      <w:pPr>
        <w:pStyle w:val="Heading1"/>
        <w:keepNext/>
        <w:keepLines/>
      </w:pPr>
      <w:r>
        <w:t>14. Scientific Foundation und Message Laboratory</w:t>
      </w:r>
    </w:p>
    <w:p>
      <w:pPr>
        <w:pStyle w:val="Heading2"/>
        <w:keepNext/>
        <w:keepLines/>
      </w:pPr>
      <w:r>
        <w:t>14.1 Message Laboratory</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1984"/>
            <w:shd w:fill="244A5A"/>
            <w:vAlign w:val="center"/>
            <w:tcMar>
              <w:top w:w="60" w:type="dxa"/>
              <w:left w:w="80" w:type="dxa"/>
              <w:bottom w:w="60" w:type="dxa"/>
              <w:right w:w="80" w:type="dxa"/>
            </w:tcMar>
          </w:tcPr>
          <w:p>
            <w:pPr>
              <w:jc w:val="center"/>
            </w:pPr>
            <w:r>
              <w:rPr>
                <w:b/>
                <w:color w:val="FFFFFF"/>
                <w:sz w:val="17"/>
              </w:rPr>
              <w:t>Register</w:t>
            </w:r>
          </w:p>
        </w:tc>
        <w:tc>
          <w:tcPr>
            <w:tcW w:type="dxa" w:w="7370"/>
            <w:shd w:fill="244A5A"/>
            <w:vAlign w:val="center"/>
            <w:tcMar>
              <w:top w:w="60" w:type="dxa"/>
              <w:left w:w="80" w:type="dxa"/>
              <w:bottom w:w="60" w:type="dxa"/>
              <w:right w:w="80" w:type="dxa"/>
            </w:tcMar>
          </w:tcPr>
          <w:p>
            <w:pPr>
              <w:jc w:val="center"/>
            </w:pPr>
            <w:r>
              <w:rPr>
                <w:b/>
                <w:color w:val="FFFFFF"/>
                <w:sz w:val="17"/>
              </w:rPr>
              <w:t>Inhalt</w:t>
            </w:r>
          </w:p>
        </w:tc>
      </w:tr>
      <w:tr>
        <w:trPr>
          <w:cantSplit/>
        </w:trPr>
        <w:tc>
          <w:tcPr>
            <w:tcW w:type="dxa" w:w="1984"/>
            <w:vAlign w:val="top"/>
            <w:shd w:fill="F4F7F8"/>
            <w:tcMar>
              <w:top w:w="60" w:type="dxa"/>
              <w:left w:w="80" w:type="dxa"/>
              <w:bottom w:w="60" w:type="dxa"/>
              <w:right w:w="80" w:type="dxa"/>
            </w:tcMar>
          </w:tcPr>
          <w:p>
            <w:pPr>
              <w:spacing w:after="40"/>
            </w:pPr>
            <w:r>
              <w:rPr>
                <w:sz w:val="17"/>
              </w:rPr>
              <w:t>Nachricht</w:t>
            </w:r>
          </w:p>
        </w:tc>
        <w:tc>
          <w:tcPr>
            <w:tcW w:type="dxa" w:w="7370"/>
            <w:vAlign w:val="top"/>
            <w:shd w:fill="F4F7F8"/>
            <w:tcMar>
              <w:top w:w="60" w:type="dxa"/>
              <w:left w:w="80" w:type="dxa"/>
              <w:bottom w:w="60" w:type="dxa"/>
              <w:right w:w="80" w:type="dxa"/>
            </w:tcMar>
          </w:tcPr>
          <w:p>
            <w:pPr>
              <w:spacing w:after="40"/>
            </w:pPr>
            <w:r>
              <w:rPr>
                <w:sz w:val="17"/>
              </w:rPr>
              <w:t>lesbare Text-/HTML-Ansicht, Adressen, Betreff, Datum, Anhänge</w:t>
            </w:r>
          </w:p>
        </w:tc>
      </w:tr>
      <w:tr>
        <w:trPr>
          <w:cantSplit/>
        </w:trPr>
        <w:tc>
          <w:tcPr>
            <w:tcW w:type="dxa" w:w="1984"/>
            <w:vAlign w:val="top"/>
            <w:tcMar>
              <w:top w:w="60" w:type="dxa"/>
              <w:left w:w="80" w:type="dxa"/>
              <w:bottom w:w="60" w:type="dxa"/>
              <w:right w:w="80" w:type="dxa"/>
            </w:tcMar>
          </w:tcPr>
          <w:p>
            <w:pPr>
              <w:spacing w:after="40"/>
            </w:pPr>
            <w:r>
              <w:rPr>
                <w:sz w:val="17"/>
              </w:rPr>
              <w:t>Analyse</w:t>
            </w:r>
          </w:p>
        </w:tc>
        <w:tc>
          <w:tcPr>
            <w:tcW w:type="dxa" w:w="7370"/>
            <w:vAlign w:val="top"/>
            <w:tcMar>
              <w:top w:w="60" w:type="dxa"/>
              <w:left w:w="80" w:type="dxa"/>
              <w:bottom w:w="60" w:type="dxa"/>
              <w:right w:w="80" w:type="dxa"/>
            </w:tcMar>
          </w:tcPr>
          <w:p>
            <w:pPr>
              <w:spacing w:after="40"/>
            </w:pPr>
            <w:r>
              <w:rPr>
                <w:sz w:val="17"/>
              </w:rPr>
              <w:t>Warnstufe, Analyzerresultate, Link-/Domainbefunde, Attachmentbefunde</w:t>
            </w:r>
          </w:p>
        </w:tc>
      </w:tr>
      <w:tr>
        <w:trPr>
          <w:cantSplit/>
        </w:trPr>
        <w:tc>
          <w:tcPr>
            <w:tcW w:type="dxa" w:w="1984"/>
            <w:vAlign w:val="top"/>
            <w:shd w:fill="F4F7F8"/>
            <w:tcMar>
              <w:top w:w="60" w:type="dxa"/>
              <w:left w:w="80" w:type="dxa"/>
              <w:bottom w:w="60" w:type="dxa"/>
              <w:right w:w="80" w:type="dxa"/>
            </w:tcMar>
          </w:tcPr>
          <w:p>
            <w:pPr>
              <w:spacing w:after="40"/>
            </w:pPr>
            <w:r>
              <w:rPr>
                <w:sz w:val="17"/>
              </w:rPr>
              <w:t>Rohdaten</w:t>
            </w:r>
          </w:p>
        </w:tc>
        <w:tc>
          <w:tcPr>
            <w:tcW w:type="dxa" w:w="7370"/>
            <w:vAlign w:val="top"/>
            <w:shd w:fill="F4F7F8"/>
            <w:tcMar>
              <w:top w:w="60" w:type="dxa"/>
              <w:left w:w="80" w:type="dxa"/>
              <w:bottom w:w="60" w:type="dxa"/>
              <w:right w:w="80" w:type="dxa"/>
            </w:tcMar>
          </w:tcPr>
          <w:p>
            <w:pPr>
              <w:spacing w:after="40"/>
            </w:pPr>
            <w:r>
              <w:rPr>
                <w:sz w:val="17"/>
              </w:rPr>
              <w:t>vollständige Header, Raw-Eml-Ansicht, dekodierter Body, MIME-Baum</w:t>
            </w:r>
          </w:p>
        </w:tc>
      </w:tr>
      <w:tr>
        <w:trPr>
          <w:cantSplit/>
        </w:trPr>
        <w:tc>
          <w:tcPr>
            <w:tcW w:type="dxa" w:w="1984"/>
            <w:vAlign w:val="top"/>
            <w:tcMar>
              <w:top w:w="60" w:type="dxa"/>
              <w:left w:w="80" w:type="dxa"/>
              <w:bottom w:w="60" w:type="dxa"/>
              <w:right w:w="80" w:type="dxa"/>
            </w:tcMar>
          </w:tcPr>
          <w:p>
            <w:pPr>
              <w:spacing w:after="40"/>
            </w:pPr>
            <w:r>
              <w:rPr>
                <w:sz w:val="17"/>
              </w:rPr>
              <w:t>Historie</w:t>
            </w:r>
          </w:p>
        </w:tc>
        <w:tc>
          <w:tcPr>
            <w:tcW w:type="dxa" w:w="7370"/>
            <w:vAlign w:val="top"/>
            <w:tcMar>
              <w:top w:w="60" w:type="dxa"/>
              <w:left w:w="80" w:type="dxa"/>
              <w:bottom w:w="60" w:type="dxa"/>
              <w:right w:w="80" w:type="dxa"/>
            </w:tcMar>
          </w:tcPr>
          <w:p>
            <w:pPr>
              <w:spacing w:after="40"/>
            </w:pPr>
            <w:r>
              <w:rPr>
                <w:sz w:val="17"/>
              </w:rPr>
              <w:t>Abrufe, Provenienz, Parsing, Analyseläufe, Reprocessing, Exporte und manuelle Ausnahmen</w:t>
            </w:r>
          </w:p>
        </w:tc>
      </w:tr>
    </w:tbl>
    <w:p>
      <w:pPr>
        <w:keepLines/>
      </w:pPr>
    </w:p>
    <w:p>
      <w:pPr>
        <w:pStyle w:val="Heading2"/>
        <w:keepNext/>
        <w:keepLines/>
      </w:pPr>
      <w:r>
        <w:t>14.2 Reproduzierbare Analysis Runs</w:t>
      </w:r>
    </w:p>
    <w:p>
      <w:pPr>
        <w:pStyle w:val="ListBullet"/>
        <w:keepLines/>
      </w:pPr>
      <w:r>
        <w:t>AnalyzerId, AnalyzerVersion und ResultSchemaVersion sind stabil und unabhängig vom CLR-Typnamen.</w:t>
      </w:r>
    </w:p>
    <w:p>
      <w:pPr>
        <w:pStyle w:val="ListBullet"/>
        <w:keepLines/>
      </w:pPr>
      <w:r>
        <w:t>InputHash entspricht dem Rohmailhash oder dem explizit dokumentierten abgeleiteten Eingabehash.</w:t>
      </w:r>
    </w:p>
    <w:p>
      <w:pPr>
        <w:pStyle w:val="ListBullet"/>
        <w:keepLines/>
      </w:pPr>
      <w:r>
        <w:t>ConfigurationHash umfasst relevante Regel-, Markenprofil- und Analyzerparameter.</w:t>
      </w:r>
    </w:p>
    <w:p>
      <w:pPr>
        <w:pStyle w:val="ListBullet"/>
        <w:keepLines/>
      </w:pPr>
      <w:r>
        <w:t>Ergebnisse werden als strukturiertes JSON plus normalisierte Summary-/Finding-Tabellen gespeichert.</w:t>
      </w:r>
    </w:p>
    <w:p>
      <w:pPr>
        <w:pStyle w:val="ListBullet"/>
        <w:keepLines/>
      </w:pPr>
      <w:r>
        <w:t>Neue Analyzer-Versionen überschreiben alte Resultate nicht; Vergleich und Superseded-Markierung bleiben möglich.</w:t>
      </w:r>
    </w:p>
    <w:p>
      <w:pPr>
        <w:pStyle w:val="Heading2"/>
        <w:keepNext/>
        <w:keepLines/>
      </w:pPr>
      <w:r>
        <w:t>14.3 Datensätze und Exporte</w:t>
      </w:r>
    </w:p>
    <w:p>
      <w:pPr>
        <w:pStyle w:val="ListBullet"/>
        <w:keepLines/>
      </w:pPr>
      <w:r>
        <w:t>Dataset Builder ist als SOLL-Funktion implementierbar, sobald Kernabruf und Warnsystem stabil sind.</w:t>
      </w:r>
    </w:p>
    <w:p>
      <w:pPr>
        <w:pStyle w:val="ListBullet"/>
        <w:keepLines/>
      </w:pPr>
      <w:r>
        <w:t>Ein Dataset speichert Kriterien und explizite Mitglieder, damit dynamische Mailbestände das Ergebnis nicht still verändern.</w:t>
      </w:r>
    </w:p>
    <w:p>
      <w:pPr>
        <w:pStyle w:val="ListBullet"/>
        <w:keepLines/>
      </w:pPr>
      <w:r>
        <w:t>Exportmanifest enthält Softwareversion, Schema, Message-Hashes, Analysis Runs, Pseudonymisierungsprofil und Erstellzeit.</w:t>
      </w:r>
    </w:p>
    <w:p>
      <w:pPr>
        <w:pStyle w:val="ListBullet"/>
        <w:keepLines/>
      </w:pPr>
      <w:r>
        <w:t>Mögliche Formate: CSV, JSON, JSONL, SQLite und Markdown. EML-Originale werden nur nach ausdrücklicher Auswahl beigefügt.</w:t>
      </w:r>
    </w:p>
    <w:p>
      <w:pPr>
        <w:pStyle w:val="Heading1"/>
        <w:keepNext/>
        <w:keepLines/>
      </w:pPr>
      <w:r>
        <w:t>15. Extension Model und Plugin-Vorbereitung</w:t>
      </w:r>
    </w:p>
    <w:p>
      <w:pPr>
        <w:keepLines/>
      </w:pPr>
      <w:r>
        <w:drawing>
          <wp:inline xmlns:a="http://schemas.openxmlformats.org/drawingml/2006/main" xmlns:pic="http://schemas.openxmlformats.org/drawingml/2006/picture">
            <wp:extent cx="5903999" cy="3176743"/>
            <wp:docPr id="7" name="Picture 7" descr="Image: image6.png"/>
            <wp:cNvGraphicFramePr>
              <a:graphicFrameLocks noChangeAspect="1"/>
            </wp:cNvGraphicFramePr>
            <a:graphic>
              <a:graphicData uri="http://schemas.openxmlformats.org/drawingml/2006/picture">
                <pic:pic>
                  <pic:nvPicPr>
                    <pic:cNvPr id="0" name="extension_model.png"/>
                    <pic:cNvPicPr/>
                  </pic:nvPicPr>
                  <pic:blipFill>
                    <a:blip r:embed="rId16"/>
                    <a:stretch>
                      <a:fillRect/>
                    </a:stretch>
                  </pic:blipFill>
                  <pic:spPr>
                    <a:xfrm>
                      <a:off x="0" y="0"/>
                      <a:ext cx="5903999" cy="3176743"/>
                    </a:xfrm>
                    <a:prstGeom prst="rect"/>
                  </pic:spPr>
                </pic:pic>
              </a:graphicData>
            </a:graphic>
          </wp:inline>
        </w:drawing>
      </w:r>
    </w:p>
    <w:p>
      <w:pPr>
        <w:pStyle w:val="Caption"/>
        <w:jc w:val="center"/>
        <w:keepLines/>
      </w:pPr>
      <w:r>
        <w:t>Abbildung 7: Stabile Verträge ohne offenes DLL-Laden in Version 1</w:t>
      </w:r>
    </w:p>
    <w:tbl>
      <w:tblPr>
        <w:tblStyle w:val="TableGrid"/>
        <w:tblW w:type="auto" w:w="0"/>
        <w:tblLook w:firstColumn="1" w:firstRow="1" w:lastColumn="0" w:lastRow="0" w:noHBand="0" w:noVBand="1" w:val="04A0"/>
      </w:tblPr>
      <w:tblGrid>
        <w:gridCol w:w="10029"/>
      </w:tblGrid>
      <w:tr>
        <w:trPr>
          <w:cantSplit/>
          <w:tblHeader/>
        </w:trPr>
        <w:tc>
          <w:tcPr>
            <w:tcW w:type="dxa" w:w="10029"/>
            <w:shd w:fill="F1F3F4"/>
            <w:tcMar>
              <w:top w:w="60" w:type="dxa"/>
              <w:left w:w="80" w:type="dxa"/>
              <w:bottom w:w="60" w:type="dxa"/>
              <w:right w:w="80" w:type="dxa"/>
            </w:tcMar>
          </w:tcPr>
          <w:p>
            <w:pPr>
              <w:spacing w:after="0"/>
            </w:pPr>
            <w:r>
              <w:rPr>
                <w:rFonts w:ascii="Consolas" w:hAnsi="Consolas"/>
                <w:sz w:val="17"/>
              </w:rPr>
              <w:t>public interface IMessageAnalyzer</w:t>
              <w:br/>
              <w:t>{</w:t>
              <w:br/>
              <w:t xml:space="preserve">    ExtensionDescriptor Descriptor { get; }</w:t>
              <w:br/>
              <w:br/>
              <w:t xml:space="preserve">    Task&lt;AnalysisResultEnvelope&gt; AnalyzeAsync(</w:t>
              <w:br/>
              <w:t xml:space="preserve">        AnalysisInput input,</w:t>
              <w:br/>
              <w:t xml:space="preserve">        AnalyzerContext context,</w:t>
              <w:br/>
              <w:t xml:space="preserve">        CancellationToken cancellationToken);</w:t>
              <w:br/>
              <w:t>}</w:t>
              <w:br/>
              <w:br/>
              <w:t>public sealed record AnalysisResultEnvelope(</w:t>
              <w:br/>
              <w:t xml:space="preserve">    string ExtensionId,</w:t>
              <w:br/>
              <w:t xml:space="preserve">    string ExtensionVersion,</w:t>
              <w:br/>
              <w:t xml:space="preserve">    string ResultSchemaVersion,</w:t>
              <w:br/>
              <w:t xml:space="preserve">    AnalysisStatus Status,</w:t>
              <w:br/>
              <w:t xml:space="preserve">    JsonDocument Result,</w:t>
              <w:br/>
              <w:t xml:space="preserve">    IReadOnlyList&lt;WarningFindingDto&gt; Findings);</w:t>
              <w:br/>
            </w:r>
          </w:p>
        </w:tc>
      </w:tr>
    </w:tbl>
    <w:p>
      <w:pPr>
        <w:keepLines/>
      </w:pPr>
    </w:p>
    <w:p>
      <w:pPr>
        <w:pStyle w:val="ListBullet"/>
        <w:keepLines/>
      </w:pPr>
      <w:r>
        <w:t>ExtensionModel bleibt klein, binär stabil und frei von WinForms, MailKit und SQLite.</w:t>
      </w:r>
    </w:p>
    <w:p>
      <w:pPr>
        <w:pStyle w:val="ListBullet"/>
        <w:keepLines/>
      </w:pPr>
      <w:r>
        <w:t>Eingebaute Analyzer und Processor verwenden dieselben Verträge wie spätere Plugins.</w:t>
      </w:r>
    </w:p>
    <w:p>
      <w:pPr>
        <w:pStyle w:val="ListBullet"/>
        <w:keepLines/>
      </w:pPr>
      <w:r>
        <w:t>Host registriert Module in definierter Reihenfolge; zyklische Abhängigkeiten zwischen Modulen sind verboten.</w:t>
      </w:r>
    </w:p>
    <w:p>
      <w:pPr>
        <w:pStyle w:val="ListBullet"/>
        <w:keepLines/>
      </w:pPr>
      <w:r>
        <w:t>Persistenz speichert IDs, Versionen und Schema-Versionen, nicht konkrete Klassen oder Assemblynamen.</w:t>
      </w:r>
    </w:p>
    <w:p>
      <w:pPr>
        <w:pStyle w:val="ListBullet"/>
        <w:keepLines/>
      </w:pPr>
      <w:r>
        <w:t>Fremde DLLs, UI-Plugins, Marketplace, Auto-Update und Sandbox sind ausdrücklich nicht Bestandteil von Version 1.</w:t>
      </w:r>
    </w:p>
    <w:p>
      <w:pPr>
        <w:pStyle w:val="ListBullet"/>
        <w:keepLines/>
      </w:pPr>
      <w:r>
        <w:t>Für späteren nicht vertrauenswürdigen Code wird ein separater Prozess mit IPC statt In-Process-DLL als bevorzugte Option dokumentiert.</w:t>
      </w:r>
    </w:p>
    <w:p>
      <w:pPr>
        <w:pStyle w:val="Heading1"/>
        <w:keepNext/>
        <w:keepLines/>
      </w:pPr>
      <w:r>
        <w:t>16. Presentation Core und WinForms-Oberfläche</w:t>
      </w:r>
    </w:p>
    <w:p>
      <w:pPr>
        <w:pStyle w:val="Heading2"/>
        <w:keepNext/>
        <w:keepLines/>
      </w:pPr>
      <w:r>
        <w:t>16.1 Grundlayout</w:t>
      </w:r>
    </w:p>
    <w:p>
      <w:pPr>
        <w:pStyle w:val="ListBullet"/>
        <w:keepLines/>
      </w:pPr>
      <w:r>
        <w:t>Kopfbereich: Profilbild, aktives Konto, Online-/Abrufstatus und zentrale Aktionen.</w:t>
      </w:r>
    </w:p>
    <w:p>
      <w:pPr>
        <w:pStyle w:val="ListBullet"/>
        <w:keepLines/>
      </w:pPr>
      <w:r>
        <w:t>Linke Navigation: Konten, Systemordner, lokale Ordner, Tags und Workspaces.</w:t>
      </w:r>
    </w:p>
    <w:p>
      <w:pPr>
        <w:pStyle w:val="ListBullet"/>
        <w:keepLines/>
      </w:pPr>
      <w:r>
        <w:t>Mittlere Nachrichtenliste: virtualisiert, sortier- und filterbar, Status nicht nur per Farbe.</w:t>
      </w:r>
    </w:p>
    <w:p>
      <w:pPr>
        <w:pStyle w:val="ListBullet"/>
        <w:keepLines/>
      </w:pPr>
      <w:r>
        <w:t>Rechter Lesebereich: Nachricht/Analyse/Rohdaten/Historie, responsive über SplitContainer und gespeicherte Breiten.</w:t>
      </w:r>
    </w:p>
    <w:p>
      <w:pPr>
        <w:pStyle w:val="ListBullet"/>
        <w:keepLines/>
      </w:pPr>
      <w:r>
        <w:t>Unterer Statusbereich: laufender Job, Fortschritt, Fehleranzahl, Abbrechen und Detailbericht.</w:t>
      </w:r>
    </w:p>
    <w:p>
      <w:pPr>
        <w:pStyle w:val="Heading2"/>
        <w:keepNext/>
        <w:keepLines/>
      </w:pPr>
      <w:r>
        <w:t>16.2 Presentation Core</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948"/>
            <w:shd w:fill="244A5A"/>
            <w:vAlign w:val="center"/>
            <w:tcMar>
              <w:top w:w="60" w:type="dxa"/>
              <w:left w:w="80" w:type="dxa"/>
              <w:bottom w:w="60" w:type="dxa"/>
              <w:right w:w="80" w:type="dxa"/>
            </w:tcMar>
          </w:tcPr>
          <w:p>
            <w:pPr>
              <w:jc w:val="center"/>
            </w:pPr>
            <w:r>
              <w:rPr>
                <w:b/>
                <w:color w:val="FFFFFF"/>
                <w:sz w:val="16"/>
              </w:rPr>
              <w:t>ViewModel/Port</w:t>
            </w:r>
          </w:p>
        </w:tc>
        <w:tc>
          <w:tcPr>
            <w:tcW w:type="dxa" w:w="6406"/>
            <w:shd w:fill="244A5A"/>
            <w:vAlign w:val="center"/>
            <w:tcMar>
              <w:top w:w="60" w:type="dxa"/>
              <w:left w:w="80" w:type="dxa"/>
              <w:bottom w:w="60" w:type="dxa"/>
              <w:right w:w="80" w:type="dxa"/>
            </w:tcMar>
          </w:tcPr>
          <w:p>
            <w:pPr>
              <w:jc w:val="center"/>
            </w:pPr>
            <w:r>
              <w:rPr>
                <w:b/>
                <w:color w:val="FFFFFF"/>
                <w:sz w:val="16"/>
              </w:rPr>
              <w:t>Verantwortung</w:t>
            </w:r>
          </w:p>
        </w:tc>
      </w:tr>
      <w:tr>
        <w:trPr>
          <w:cantSplit/>
        </w:trPr>
        <w:tc>
          <w:tcPr>
            <w:tcW w:type="dxa" w:w="2948"/>
            <w:vAlign w:val="top"/>
            <w:shd w:fill="F4F7F8"/>
            <w:tcMar>
              <w:top w:w="60" w:type="dxa"/>
              <w:left w:w="80" w:type="dxa"/>
              <w:bottom w:w="60" w:type="dxa"/>
              <w:right w:w="80" w:type="dxa"/>
            </w:tcMar>
          </w:tcPr>
          <w:p>
            <w:pPr>
              <w:spacing w:after="40"/>
            </w:pPr>
            <w:r>
              <w:rPr>
                <w:sz w:val="16"/>
              </w:rPr>
              <w:t>MainShellViewModel</w:t>
            </w:r>
          </w:p>
        </w:tc>
        <w:tc>
          <w:tcPr>
            <w:tcW w:type="dxa" w:w="6406"/>
            <w:vAlign w:val="top"/>
            <w:shd w:fill="F4F7F8"/>
            <w:tcMar>
              <w:top w:w="60" w:type="dxa"/>
              <w:left w:w="80" w:type="dxa"/>
              <w:bottom w:w="60" w:type="dxa"/>
              <w:right w:w="80" w:type="dxa"/>
            </w:tcMar>
          </w:tcPr>
          <w:p>
            <w:pPr>
              <w:spacing w:after="40"/>
            </w:pPr>
            <w:r>
              <w:rPr>
                <w:sz w:val="16"/>
              </w:rPr>
              <w:t>Navigation, aktiver Workspace, globaler Status</w:t>
            </w:r>
          </w:p>
        </w:tc>
      </w:tr>
      <w:tr>
        <w:trPr>
          <w:cantSplit/>
        </w:trPr>
        <w:tc>
          <w:tcPr>
            <w:tcW w:type="dxa" w:w="2948"/>
            <w:vAlign w:val="top"/>
            <w:tcMar>
              <w:top w:w="60" w:type="dxa"/>
              <w:left w:w="80" w:type="dxa"/>
              <w:bottom w:w="60" w:type="dxa"/>
              <w:right w:w="80" w:type="dxa"/>
            </w:tcMar>
          </w:tcPr>
          <w:p>
            <w:pPr>
              <w:spacing w:after="40"/>
            </w:pPr>
            <w:r>
              <w:rPr>
                <w:sz w:val="16"/>
              </w:rPr>
              <w:t>AccountTreeViewModel</w:t>
            </w:r>
          </w:p>
        </w:tc>
        <w:tc>
          <w:tcPr>
            <w:tcW w:type="dxa" w:w="6406"/>
            <w:vAlign w:val="top"/>
            <w:tcMar>
              <w:top w:w="60" w:type="dxa"/>
              <w:left w:w="80" w:type="dxa"/>
              <w:bottom w:w="60" w:type="dxa"/>
              <w:right w:w="80" w:type="dxa"/>
            </w:tcMar>
          </w:tcPr>
          <w:p>
            <w:pPr>
              <w:spacing w:after="40"/>
            </w:pPr>
            <w:r>
              <w:rPr>
                <w:sz w:val="16"/>
              </w:rPr>
              <w:t>Konten/Ordner/Tags ohne WinForms-Typen</w:t>
            </w:r>
          </w:p>
        </w:tc>
      </w:tr>
      <w:tr>
        <w:trPr>
          <w:cantSplit/>
        </w:trPr>
        <w:tc>
          <w:tcPr>
            <w:tcW w:type="dxa" w:w="2948"/>
            <w:vAlign w:val="top"/>
            <w:shd w:fill="F4F7F8"/>
            <w:tcMar>
              <w:top w:w="60" w:type="dxa"/>
              <w:left w:w="80" w:type="dxa"/>
              <w:bottom w:w="60" w:type="dxa"/>
              <w:right w:w="80" w:type="dxa"/>
            </w:tcMar>
          </w:tcPr>
          <w:p>
            <w:pPr>
              <w:spacing w:after="40"/>
            </w:pPr>
            <w:r>
              <w:rPr>
                <w:sz w:val="16"/>
              </w:rPr>
              <w:t>MessageListViewModel</w:t>
            </w:r>
          </w:p>
        </w:tc>
        <w:tc>
          <w:tcPr>
            <w:tcW w:type="dxa" w:w="6406"/>
            <w:vAlign w:val="top"/>
            <w:shd w:fill="F4F7F8"/>
            <w:tcMar>
              <w:top w:w="60" w:type="dxa"/>
              <w:left w:w="80" w:type="dxa"/>
              <w:bottom w:w="60" w:type="dxa"/>
              <w:right w:w="80" w:type="dxa"/>
            </w:tcMar>
          </w:tcPr>
          <w:p>
            <w:pPr>
              <w:spacing w:after="40"/>
            </w:pPr>
            <w:r>
              <w:rPr>
                <w:sz w:val="16"/>
              </w:rPr>
              <w:t>Paging, Sortierung, Filter, Auswahl</w:t>
            </w:r>
          </w:p>
        </w:tc>
      </w:tr>
      <w:tr>
        <w:trPr>
          <w:cantSplit/>
        </w:trPr>
        <w:tc>
          <w:tcPr>
            <w:tcW w:type="dxa" w:w="2948"/>
            <w:vAlign w:val="top"/>
            <w:tcMar>
              <w:top w:w="60" w:type="dxa"/>
              <w:left w:w="80" w:type="dxa"/>
              <w:bottom w:w="60" w:type="dxa"/>
              <w:right w:w="80" w:type="dxa"/>
            </w:tcMar>
          </w:tcPr>
          <w:p>
            <w:pPr>
              <w:spacing w:after="40"/>
            </w:pPr>
            <w:r>
              <w:rPr>
                <w:sz w:val="16"/>
              </w:rPr>
              <w:t>MessageDetailsViewModel</w:t>
            </w:r>
          </w:p>
        </w:tc>
        <w:tc>
          <w:tcPr>
            <w:tcW w:type="dxa" w:w="6406"/>
            <w:vAlign w:val="top"/>
            <w:tcMar>
              <w:top w:w="60" w:type="dxa"/>
              <w:left w:w="80" w:type="dxa"/>
              <w:bottom w:w="60" w:type="dxa"/>
              <w:right w:w="80" w:type="dxa"/>
            </w:tcMar>
          </w:tcPr>
          <w:p>
            <w:pPr>
              <w:spacing w:after="40"/>
            </w:pPr>
            <w:r>
              <w:rPr>
                <w:sz w:val="16"/>
              </w:rPr>
              <w:t>Text/HTML/Raw/Analyse/Historie</w:t>
            </w:r>
          </w:p>
        </w:tc>
      </w:tr>
      <w:tr>
        <w:trPr>
          <w:cantSplit/>
        </w:trPr>
        <w:tc>
          <w:tcPr>
            <w:tcW w:type="dxa" w:w="2948"/>
            <w:vAlign w:val="top"/>
            <w:shd w:fill="F4F7F8"/>
            <w:tcMar>
              <w:top w:w="60" w:type="dxa"/>
              <w:left w:w="80" w:type="dxa"/>
              <w:bottom w:w="60" w:type="dxa"/>
              <w:right w:w="80" w:type="dxa"/>
            </w:tcMar>
          </w:tcPr>
          <w:p>
            <w:pPr>
              <w:spacing w:after="40"/>
            </w:pPr>
            <w:r>
              <w:rPr>
                <w:sz w:val="16"/>
              </w:rPr>
              <w:t>GetAllMessagesViewModel</w:t>
            </w:r>
          </w:p>
        </w:tc>
        <w:tc>
          <w:tcPr>
            <w:tcW w:type="dxa" w:w="6406"/>
            <w:vAlign w:val="top"/>
            <w:shd w:fill="F4F7F8"/>
            <w:tcMar>
              <w:top w:w="60" w:type="dxa"/>
              <w:left w:w="80" w:type="dxa"/>
              <w:bottom w:w="60" w:type="dxa"/>
              <w:right w:w="80" w:type="dxa"/>
            </w:tcMar>
          </w:tcPr>
          <w:p>
            <w:pPr>
              <w:spacing w:after="40"/>
            </w:pPr>
            <w:r>
              <w:rPr>
                <w:sz w:val="16"/>
              </w:rPr>
              <w:t>Start, Fortschritt, Abbruch, Bericht</w:t>
            </w:r>
          </w:p>
        </w:tc>
      </w:tr>
      <w:tr>
        <w:trPr>
          <w:cantSplit/>
        </w:trPr>
        <w:tc>
          <w:tcPr>
            <w:tcW w:type="dxa" w:w="2948"/>
            <w:vAlign w:val="top"/>
            <w:tcMar>
              <w:top w:w="60" w:type="dxa"/>
              <w:left w:w="80" w:type="dxa"/>
              <w:bottom w:w="60" w:type="dxa"/>
              <w:right w:w="80" w:type="dxa"/>
            </w:tcMar>
          </w:tcPr>
          <w:p>
            <w:pPr>
              <w:spacing w:after="40"/>
            </w:pPr>
            <w:r>
              <w:rPr>
                <w:sz w:val="16"/>
              </w:rPr>
              <w:t>ComposeMessageViewModel</w:t>
            </w:r>
          </w:p>
        </w:tc>
        <w:tc>
          <w:tcPr>
            <w:tcW w:type="dxa" w:w="6406"/>
            <w:vAlign w:val="top"/>
            <w:tcMar>
              <w:top w:w="60" w:type="dxa"/>
              <w:left w:w="80" w:type="dxa"/>
              <w:bottom w:w="60" w:type="dxa"/>
              <w:right w:w="80" w:type="dxa"/>
            </w:tcMar>
          </w:tcPr>
          <w:p>
            <w:pPr>
              <w:spacing w:after="40"/>
            </w:pPr>
            <w:r>
              <w:rPr>
                <w:sz w:val="16"/>
              </w:rPr>
              <w:t>Entwurf, Validierung, Anhänge, Versand</w:t>
            </w:r>
          </w:p>
        </w:tc>
      </w:tr>
      <w:tr>
        <w:trPr>
          <w:cantSplit/>
        </w:trPr>
        <w:tc>
          <w:tcPr>
            <w:tcW w:type="dxa" w:w="2948"/>
            <w:vAlign w:val="top"/>
            <w:shd w:fill="F4F7F8"/>
            <w:tcMar>
              <w:top w:w="60" w:type="dxa"/>
              <w:left w:w="80" w:type="dxa"/>
              <w:bottom w:w="60" w:type="dxa"/>
              <w:right w:w="80" w:type="dxa"/>
            </w:tcMar>
          </w:tcPr>
          <w:p>
            <w:pPr>
              <w:spacing w:after="40"/>
            </w:pPr>
            <w:r>
              <w:rPr>
                <w:sz w:val="16"/>
              </w:rPr>
              <w:t>SentUploadQueueViewModel</w:t>
            </w:r>
          </w:p>
        </w:tc>
        <w:tc>
          <w:tcPr>
            <w:tcW w:type="dxa" w:w="6406"/>
            <w:vAlign w:val="top"/>
            <w:shd w:fill="F4F7F8"/>
            <w:tcMar>
              <w:top w:w="60" w:type="dxa"/>
              <w:left w:w="80" w:type="dxa"/>
              <w:bottom w:w="60" w:type="dxa"/>
              <w:right w:w="80" w:type="dxa"/>
            </w:tcMar>
          </w:tcPr>
          <w:p>
            <w:pPr>
              <w:spacing w:after="40"/>
            </w:pPr>
            <w:r>
              <w:rPr>
                <w:sz w:val="16"/>
              </w:rPr>
              <w:t>Uploadstatus und Retry</w:t>
            </w:r>
          </w:p>
        </w:tc>
      </w:tr>
      <w:tr>
        <w:trPr>
          <w:cantSplit/>
        </w:trPr>
        <w:tc>
          <w:tcPr>
            <w:tcW w:type="dxa" w:w="2948"/>
            <w:vAlign w:val="top"/>
            <w:tcMar>
              <w:top w:w="60" w:type="dxa"/>
              <w:left w:w="80" w:type="dxa"/>
              <w:bottom w:w="60" w:type="dxa"/>
              <w:right w:w="80" w:type="dxa"/>
            </w:tcMar>
          </w:tcPr>
          <w:p>
            <w:pPr>
              <w:spacing w:after="40"/>
            </w:pPr>
            <w:r>
              <w:rPr>
                <w:sz w:val="16"/>
              </w:rPr>
              <w:t>IUserNotificationService</w:t>
            </w:r>
          </w:p>
        </w:tc>
        <w:tc>
          <w:tcPr>
            <w:tcW w:type="dxa" w:w="6406"/>
            <w:vAlign w:val="top"/>
            <w:tcMar>
              <w:top w:w="60" w:type="dxa"/>
              <w:left w:w="80" w:type="dxa"/>
              <w:bottom w:w="60" w:type="dxa"/>
              <w:right w:w="80" w:type="dxa"/>
            </w:tcMar>
          </w:tcPr>
          <w:p>
            <w:pPr>
              <w:spacing w:after="40"/>
            </w:pPr>
            <w:r>
              <w:rPr>
                <w:sz w:val="16"/>
              </w:rPr>
              <w:t>Info, Fehler, Bestätigung</w:t>
            </w:r>
          </w:p>
        </w:tc>
      </w:tr>
      <w:tr>
        <w:trPr>
          <w:cantSplit/>
        </w:trPr>
        <w:tc>
          <w:tcPr>
            <w:tcW w:type="dxa" w:w="2948"/>
            <w:vAlign w:val="top"/>
            <w:shd w:fill="F4F7F8"/>
            <w:tcMar>
              <w:top w:w="60" w:type="dxa"/>
              <w:left w:w="80" w:type="dxa"/>
              <w:bottom w:w="60" w:type="dxa"/>
              <w:right w:w="80" w:type="dxa"/>
            </w:tcMar>
          </w:tcPr>
          <w:p>
            <w:pPr>
              <w:spacing w:after="40"/>
            </w:pPr>
            <w:r>
              <w:rPr>
                <w:sz w:val="16"/>
              </w:rPr>
              <w:t>IFileDialogService</w:t>
            </w:r>
          </w:p>
        </w:tc>
        <w:tc>
          <w:tcPr>
            <w:tcW w:type="dxa" w:w="6406"/>
            <w:vAlign w:val="top"/>
            <w:shd w:fill="F4F7F8"/>
            <w:tcMar>
              <w:top w:w="60" w:type="dxa"/>
              <w:left w:w="80" w:type="dxa"/>
              <w:bottom w:w="60" w:type="dxa"/>
              <w:right w:w="80" w:type="dxa"/>
            </w:tcMar>
          </w:tcPr>
          <w:p>
            <w:pPr>
              <w:spacing w:after="40"/>
            </w:pPr>
            <w:r>
              <w:rPr>
                <w:sz w:val="16"/>
              </w:rPr>
              <w:t>Öffnen/Speichern ohne UI-Kopplung</w:t>
            </w:r>
          </w:p>
        </w:tc>
      </w:tr>
      <w:tr>
        <w:trPr>
          <w:cantSplit/>
        </w:trPr>
        <w:tc>
          <w:tcPr>
            <w:tcW w:type="dxa" w:w="2948"/>
            <w:vAlign w:val="top"/>
            <w:tcMar>
              <w:top w:w="60" w:type="dxa"/>
              <w:left w:w="80" w:type="dxa"/>
              <w:bottom w:w="60" w:type="dxa"/>
              <w:right w:w="80" w:type="dxa"/>
            </w:tcMar>
          </w:tcPr>
          <w:p>
            <w:pPr>
              <w:spacing w:after="40"/>
            </w:pPr>
            <w:r>
              <w:rPr>
                <w:sz w:val="16"/>
              </w:rPr>
              <w:t>ILinkOpenService</w:t>
            </w:r>
          </w:p>
        </w:tc>
        <w:tc>
          <w:tcPr>
            <w:tcW w:type="dxa" w:w="6406"/>
            <w:vAlign w:val="top"/>
            <w:tcMar>
              <w:top w:w="60" w:type="dxa"/>
              <w:left w:w="80" w:type="dxa"/>
              <w:bottom w:w="60" w:type="dxa"/>
              <w:right w:w="80" w:type="dxa"/>
            </w:tcMar>
          </w:tcPr>
          <w:p>
            <w:pPr>
              <w:spacing w:after="40"/>
            </w:pPr>
            <w:r>
              <w:rPr>
                <w:sz w:val="16"/>
              </w:rPr>
              <w:t>Warnbewertung und externes Öffnen</w:t>
            </w:r>
          </w:p>
        </w:tc>
      </w:tr>
      <w:tr>
        <w:trPr>
          <w:cantSplit/>
        </w:trPr>
        <w:tc>
          <w:tcPr>
            <w:tcW w:type="dxa" w:w="2948"/>
            <w:vAlign w:val="top"/>
            <w:shd w:fill="F4F7F8"/>
            <w:tcMar>
              <w:top w:w="60" w:type="dxa"/>
              <w:left w:w="80" w:type="dxa"/>
              <w:bottom w:w="60" w:type="dxa"/>
              <w:right w:w="80" w:type="dxa"/>
            </w:tcMar>
          </w:tcPr>
          <w:p>
            <w:pPr>
              <w:spacing w:after="40"/>
            </w:pPr>
            <w:r>
              <w:rPr>
                <w:sz w:val="16"/>
              </w:rPr>
              <w:t>INavigationService</w:t>
            </w:r>
          </w:p>
        </w:tc>
        <w:tc>
          <w:tcPr>
            <w:tcW w:type="dxa" w:w="6406"/>
            <w:vAlign w:val="top"/>
            <w:shd w:fill="F4F7F8"/>
            <w:tcMar>
              <w:top w:w="60" w:type="dxa"/>
              <w:left w:w="80" w:type="dxa"/>
              <w:bottom w:w="60" w:type="dxa"/>
              <w:right w:w="80" w:type="dxa"/>
            </w:tcMar>
          </w:tcPr>
          <w:p>
            <w:pPr>
              <w:spacing w:after="40"/>
            </w:pPr>
            <w:r>
              <w:rPr>
                <w:sz w:val="16"/>
              </w:rPr>
              <w:t>Workspace- und Detailnavigation</w:t>
            </w:r>
          </w:p>
        </w:tc>
      </w:tr>
    </w:tbl>
    <w:p>
      <w:pPr>
        <w:keepLines/>
      </w:pPr>
    </w:p>
    <w:p>
      <w:pPr>
        <w:pStyle w:val="Heading2"/>
        <w:keepNext/>
        <w:keepLines/>
      </w:pPr>
      <w:r>
        <w:t>16.3 WinForms-Partial-Class-Regeln</w:t>
      </w:r>
    </w:p>
    <w:tbl>
      <w:tblPr>
        <w:tblStyle w:val="TableGrid"/>
        <w:tblW w:type="auto" w:w="0"/>
        <w:tblLook w:firstColumn="1" w:firstRow="1" w:lastColumn="0" w:lastRow="0" w:noHBand="0" w:noVBand="1" w:val="04A0"/>
      </w:tblPr>
      <w:tblGrid>
        <w:gridCol w:w="10029"/>
      </w:tblGrid>
      <w:tr>
        <w:trPr>
          <w:cantSplit/>
          <w:tblHeader/>
        </w:trPr>
        <w:tc>
          <w:tcPr>
            <w:tcW w:type="dxa" w:w="10029"/>
            <w:shd w:fill="F1F3F4"/>
            <w:tcMar>
              <w:top w:w="60" w:type="dxa"/>
              <w:left w:w="80" w:type="dxa"/>
              <w:bottom w:w="60" w:type="dxa"/>
              <w:right w:w="80" w:type="dxa"/>
            </w:tcMar>
          </w:tcPr>
          <w:p>
            <w:pPr>
              <w:spacing w:after="0"/>
            </w:pPr>
            <w:r>
              <w:rPr>
                <w:rFonts w:ascii="Consolas" w:hAnsi="Consolas"/>
                <w:sz w:val="17"/>
              </w:rPr>
              <w:t>MainForm.cs                Konstruktor, Lebenszyklus, DI</w:t>
              <w:br/>
              <w:t>MainForm.Designer.cs       ausschließlich Visual-Studio-Designer</w:t>
              <w:br/>
              <w:t>MainForm.resx              Ressourcen</w:t>
              <w:br/>
              <w:t>MainForm.Events.cs         kleine Eventhandler, die ViewModel-Commands aufrufen</w:t>
              <w:br/>
              <w:t>MainForm.Binding.cs        UI-Binding und Zustandsprojektion</w:t>
              <w:br/>
              <w:t>MainForm.Presentation.cs   rein visuelle Hilfsmethoden</w:t>
              <w:br/>
            </w:r>
          </w:p>
        </w:tc>
      </w:tr>
    </w:tbl>
    <w:p>
      <w:pPr>
        <w:keepLines/>
      </w:pPr>
    </w:p>
    <w:p>
      <w:pPr>
        <w:pStyle w:val="ListBullet"/>
        <w:keepLines/>
      </w:pPr>
      <w:r>
        <w:t>Kein POP3-, SMTP-, IMAP-, SQL-, Hash-, Parser- oder Analyzer-Code in Forms.</w:t>
      </w:r>
    </w:p>
    <w:p>
      <w:pPr>
        <w:pStyle w:val="ListBullet"/>
        <w:keepLines/>
      </w:pPr>
      <w:r>
        <w:t>Eventhandler sind async void nur an der UI-Ereignisgrenze; Fehler werden zentral über SafeUiCommand/ExceptionHandler behandelt.</w:t>
      </w:r>
    </w:p>
    <w:p>
      <w:pPr>
        <w:pStyle w:val="ListBullet"/>
        <w:keepLines/>
      </w:pPr>
      <w:r>
        <w:t>Designerfelder werden nie doppelt deklariert; Designerdateien werden nicht manuell formatiert oder mit Geschäftslogik erweitert.</w:t>
      </w:r>
    </w:p>
    <w:p>
      <w:pPr>
        <w:pStyle w:val="ListBullet"/>
        <w:keepLines/>
      </w:pPr>
      <w:r>
        <w:t>Große Bereiche werden als UserControls mit eigenem ViewModel geteilt.</w:t>
      </w:r>
    </w:p>
    <w:p>
      <w:pPr>
        <w:pStyle w:val="ListBullet"/>
        <w:keepLines/>
      </w:pPr>
      <w:r>
        <w:t>Layout, Theme und Dichte werden über Konfigurationsmodelle getrennt gehalten, damit frühere Designstudien später als Templates umgesetzt werden können.</w:t>
      </w:r>
    </w:p>
    <w:p>
      <w:pPr>
        <w:pStyle w:val="Heading1"/>
        <w:keepNext/>
        <w:keepLines/>
      </w:pPr>
      <w:r>
        <w:t>17. Logging, Diagnose, Backup und Wiederherstellung</w:t>
      </w:r>
    </w:p>
    <w:p>
      <w:pPr>
        <w:pStyle w:val="Heading2"/>
        <w:keepNext/>
        <w:keepLines/>
      </w:pPr>
      <w:r>
        <w:t>17.1 Strukturierte Logs</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835"/>
            <w:shd w:fill="244A5A"/>
            <w:vAlign w:val="center"/>
            <w:tcMar>
              <w:top w:w="60" w:type="dxa"/>
              <w:left w:w="80" w:type="dxa"/>
              <w:bottom w:w="60" w:type="dxa"/>
              <w:right w:w="80" w:type="dxa"/>
            </w:tcMar>
          </w:tcPr>
          <w:p>
            <w:pPr>
              <w:jc w:val="center"/>
            </w:pPr>
            <w:r>
              <w:rPr>
                <w:b/>
                <w:color w:val="FFFFFF"/>
                <w:sz w:val="17"/>
              </w:rPr>
              <w:t>Property</w:t>
            </w:r>
          </w:p>
        </w:tc>
        <w:tc>
          <w:tcPr>
            <w:tcW w:type="dxa" w:w="6520"/>
            <w:shd w:fill="244A5A"/>
            <w:vAlign w:val="center"/>
            <w:tcMar>
              <w:top w:w="60" w:type="dxa"/>
              <w:left w:w="80" w:type="dxa"/>
              <w:bottom w:w="60" w:type="dxa"/>
              <w:right w:w="80" w:type="dxa"/>
            </w:tcMar>
          </w:tcPr>
          <w:p>
            <w:pPr>
              <w:jc w:val="center"/>
            </w:pPr>
            <w:r>
              <w:rPr>
                <w:b/>
                <w:color w:val="FFFFFF"/>
                <w:sz w:val="17"/>
              </w:rPr>
              <w:t>Bedeutung</w:t>
            </w:r>
          </w:p>
        </w:tc>
      </w:tr>
      <w:tr>
        <w:trPr>
          <w:cantSplit/>
        </w:trPr>
        <w:tc>
          <w:tcPr>
            <w:tcW w:type="dxa" w:w="2835"/>
            <w:vAlign w:val="top"/>
            <w:shd w:fill="F4F7F8"/>
            <w:tcMar>
              <w:top w:w="60" w:type="dxa"/>
              <w:left w:w="80" w:type="dxa"/>
              <w:bottom w:w="60" w:type="dxa"/>
              <w:right w:w="80" w:type="dxa"/>
            </w:tcMar>
          </w:tcPr>
          <w:p>
            <w:pPr>
              <w:spacing w:after="40"/>
            </w:pPr>
            <w:r>
              <w:rPr>
                <w:sz w:val="17"/>
              </w:rPr>
              <w:t>CorrelationId</w:t>
            </w:r>
          </w:p>
        </w:tc>
        <w:tc>
          <w:tcPr>
            <w:tcW w:type="dxa" w:w="6520"/>
            <w:vAlign w:val="top"/>
            <w:shd w:fill="F4F7F8"/>
            <w:tcMar>
              <w:top w:w="60" w:type="dxa"/>
              <w:left w:w="80" w:type="dxa"/>
              <w:bottom w:w="60" w:type="dxa"/>
              <w:right w:w="80" w:type="dxa"/>
            </w:tcMar>
          </w:tcPr>
          <w:p>
            <w:pPr>
              <w:spacing w:after="40"/>
            </w:pPr>
            <w:r>
              <w:rPr>
                <w:sz w:val="17"/>
              </w:rPr>
              <w:t>übergreifender Use-Case-/UI-Vorgang</w:t>
            </w:r>
          </w:p>
        </w:tc>
      </w:tr>
      <w:tr>
        <w:trPr>
          <w:cantSplit/>
        </w:trPr>
        <w:tc>
          <w:tcPr>
            <w:tcW w:type="dxa" w:w="2835"/>
            <w:vAlign w:val="top"/>
            <w:tcMar>
              <w:top w:w="60" w:type="dxa"/>
              <w:left w:w="80" w:type="dxa"/>
              <w:bottom w:w="60" w:type="dxa"/>
              <w:right w:w="80" w:type="dxa"/>
            </w:tcMar>
          </w:tcPr>
          <w:p>
            <w:pPr>
              <w:spacing w:after="40"/>
            </w:pPr>
            <w:r>
              <w:rPr>
                <w:sz w:val="17"/>
              </w:rPr>
              <w:t>AccountId</w:t>
            </w:r>
          </w:p>
        </w:tc>
        <w:tc>
          <w:tcPr>
            <w:tcW w:type="dxa" w:w="6520"/>
            <w:vAlign w:val="top"/>
            <w:tcMar>
              <w:top w:w="60" w:type="dxa"/>
              <w:left w:w="80" w:type="dxa"/>
              <w:bottom w:w="60" w:type="dxa"/>
              <w:right w:w="80" w:type="dxa"/>
            </w:tcMar>
          </w:tcPr>
          <w:p>
            <w:pPr>
              <w:spacing w:after="40"/>
            </w:pPr>
            <w:r>
              <w:rPr>
                <w:sz w:val="17"/>
              </w:rPr>
              <w:t>betroffenes Konto, niemals Adresse als Pflichtfeld</w:t>
            </w:r>
          </w:p>
        </w:tc>
      </w:tr>
      <w:tr>
        <w:trPr>
          <w:cantSplit/>
        </w:trPr>
        <w:tc>
          <w:tcPr>
            <w:tcW w:type="dxa" w:w="2835"/>
            <w:vAlign w:val="top"/>
            <w:shd w:fill="F4F7F8"/>
            <w:tcMar>
              <w:top w:w="60" w:type="dxa"/>
              <w:left w:w="80" w:type="dxa"/>
              <w:bottom w:w="60" w:type="dxa"/>
              <w:right w:w="80" w:type="dxa"/>
            </w:tcMar>
          </w:tcPr>
          <w:p>
            <w:pPr>
              <w:spacing w:after="40"/>
            </w:pPr>
            <w:r>
              <w:rPr>
                <w:sz w:val="17"/>
              </w:rPr>
              <w:t>MessageId</w:t>
            </w:r>
          </w:p>
        </w:tc>
        <w:tc>
          <w:tcPr>
            <w:tcW w:type="dxa" w:w="6520"/>
            <w:vAlign w:val="top"/>
            <w:shd w:fill="F4F7F8"/>
            <w:tcMar>
              <w:top w:w="60" w:type="dxa"/>
              <w:left w:w="80" w:type="dxa"/>
              <w:bottom w:w="60" w:type="dxa"/>
              <w:right w:w="80" w:type="dxa"/>
            </w:tcMar>
          </w:tcPr>
          <w:p>
            <w:pPr>
              <w:spacing w:after="40"/>
            </w:pPr>
            <w:r>
              <w:rPr>
                <w:sz w:val="17"/>
              </w:rPr>
              <w:t>interne Nachricht</w:t>
            </w:r>
          </w:p>
        </w:tc>
      </w:tr>
      <w:tr>
        <w:trPr>
          <w:cantSplit/>
        </w:trPr>
        <w:tc>
          <w:tcPr>
            <w:tcW w:type="dxa" w:w="2835"/>
            <w:vAlign w:val="top"/>
            <w:tcMar>
              <w:top w:w="60" w:type="dxa"/>
              <w:left w:w="80" w:type="dxa"/>
              <w:bottom w:w="60" w:type="dxa"/>
              <w:right w:w="80" w:type="dxa"/>
            </w:tcMar>
          </w:tcPr>
          <w:p>
            <w:pPr>
              <w:spacing w:after="40"/>
            </w:pPr>
            <w:r>
              <w:rPr>
                <w:sz w:val="17"/>
              </w:rPr>
              <w:t>FetchRunId</w:t>
            </w:r>
          </w:p>
        </w:tc>
        <w:tc>
          <w:tcPr>
            <w:tcW w:type="dxa" w:w="6520"/>
            <w:vAlign w:val="top"/>
            <w:tcMar>
              <w:top w:w="60" w:type="dxa"/>
              <w:left w:w="80" w:type="dxa"/>
              <w:bottom w:w="60" w:type="dxa"/>
              <w:right w:w="80" w:type="dxa"/>
            </w:tcMar>
          </w:tcPr>
          <w:p>
            <w:pPr>
              <w:spacing w:after="40"/>
            </w:pPr>
            <w:r>
              <w:rPr>
                <w:sz w:val="17"/>
              </w:rPr>
              <w:t>Abruflauf</w:t>
            </w:r>
          </w:p>
        </w:tc>
      </w:tr>
      <w:tr>
        <w:trPr>
          <w:cantSplit/>
        </w:trPr>
        <w:tc>
          <w:tcPr>
            <w:tcW w:type="dxa" w:w="2835"/>
            <w:vAlign w:val="top"/>
            <w:shd w:fill="F4F7F8"/>
            <w:tcMar>
              <w:top w:w="60" w:type="dxa"/>
              <w:left w:w="80" w:type="dxa"/>
              <w:bottom w:w="60" w:type="dxa"/>
              <w:right w:w="80" w:type="dxa"/>
            </w:tcMar>
          </w:tcPr>
          <w:p>
            <w:pPr>
              <w:spacing w:after="40"/>
            </w:pPr>
            <w:r>
              <w:rPr>
                <w:sz w:val="17"/>
              </w:rPr>
              <w:t>OutboxId / UploadId</w:t>
            </w:r>
          </w:p>
        </w:tc>
        <w:tc>
          <w:tcPr>
            <w:tcW w:type="dxa" w:w="6520"/>
            <w:vAlign w:val="top"/>
            <w:shd w:fill="F4F7F8"/>
            <w:tcMar>
              <w:top w:w="60" w:type="dxa"/>
              <w:left w:w="80" w:type="dxa"/>
              <w:bottom w:w="60" w:type="dxa"/>
              <w:right w:w="80" w:type="dxa"/>
            </w:tcMar>
          </w:tcPr>
          <w:p>
            <w:pPr>
              <w:spacing w:after="40"/>
            </w:pPr>
            <w:r>
              <w:rPr>
                <w:sz w:val="17"/>
              </w:rPr>
              <w:t>Versand- beziehungsweise Uploadjob</w:t>
            </w:r>
          </w:p>
        </w:tc>
      </w:tr>
      <w:tr>
        <w:trPr>
          <w:cantSplit/>
        </w:trPr>
        <w:tc>
          <w:tcPr>
            <w:tcW w:type="dxa" w:w="2835"/>
            <w:vAlign w:val="top"/>
            <w:tcMar>
              <w:top w:w="60" w:type="dxa"/>
              <w:left w:w="80" w:type="dxa"/>
              <w:bottom w:w="60" w:type="dxa"/>
              <w:right w:w="80" w:type="dxa"/>
            </w:tcMar>
          </w:tcPr>
          <w:p>
            <w:pPr>
              <w:spacing w:after="40"/>
            </w:pPr>
            <w:r>
              <w:rPr>
                <w:sz w:val="17"/>
              </w:rPr>
              <w:t>AnalysisRunId</w:t>
            </w:r>
          </w:p>
        </w:tc>
        <w:tc>
          <w:tcPr>
            <w:tcW w:type="dxa" w:w="6520"/>
            <w:vAlign w:val="top"/>
            <w:tcMar>
              <w:top w:w="60" w:type="dxa"/>
              <w:left w:w="80" w:type="dxa"/>
              <w:bottom w:w="60" w:type="dxa"/>
              <w:right w:w="80" w:type="dxa"/>
            </w:tcMar>
          </w:tcPr>
          <w:p>
            <w:pPr>
              <w:spacing w:after="40"/>
            </w:pPr>
            <w:r>
              <w:rPr>
                <w:sz w:val="17"/>
              </w:rPr>
              <w:t>Analyselauf</w:t>
            </w:r>
          </w:p>
        </w:tc>
      </w:tr>
      <w:tr>
        <w:trPr>
          <w:cantSplit/>
        </w:trPr>
        <w:tc>
          <w:tcPr>
            <w:tcW w:type="dxa" w:w="2835"/>
            <w:vAlign w:val="top"/>
            <w:shd w:fill="F4F7F8"/>
            <w:tcMar>
              <w:top w:w="60" w:type="dxa"/>
              <w:left w:w="80" w:type="dxa"/>
              <w:bottom w:w="60" w:type="dxa"/>
              <w:right w:w="80" w:type="dxa"/>
            </w:tcMar>
          </w:tcPr>
          <w:p>
            <w:pPr>
              <w:spacing w:after="40"/>
            </w:pPr>
            <w:r>
              <w:rPr>
                <w:sz w:val="17"/>
              </w:rPr>
              <w:t>EventId</w:t>
            </w:r>
          </w:p>
        </w:tc>
        <w:tc>
          <w:tcPr>
            <w:tcW w:type="dxa" w:w="6520"/>
            <w:vAlign w:val="top"/>
            <w:shd w:fill="F4F7F8"/>
            <w:tcMar>
              <w:top w:w="60" w:type="dxa"/>
              <w:left w:w="80" w:type="dxa"/>
              <w:bottom w:w="60" w:type="dxa"/>
              <w:right w:w="80" w:type="dxa"/>
            </w:tcMar>
          </w:tcPr>
          <w:p>
            <w:pPr>
              <w:spacing w:after="40"/>
            </w:pPr>
            <w:r>
              <w:rPr>
                <w:sz w:val="17"/>
              </w:rPr>
              <w:t>stabile Ereignisnummer</w:t>
            </w:r>
          </w:p>
        </w:tc>
      </w:tr>
      <w:tr>
        <w:trPr>
          <w:cantSplit/>
        </w:trPr>
        <w:tc>
          <w:tcPr>
            <w:tcW w:type="dxa" w:w="2835"/>
            <w:vAlign w:val="top"/>
            <w:tcMar>
              <w:top w:w="60" w:type="dxa"/>
              <w:left w:w="80" w:type="dxa"/>
              <w:bottom w:w="60" w:type="dxa"/>
              <w:right w:w="80" w:type="dxa"/>
            </w:tcMar>
          </w:tcPr>
          <w:p>
            <w:pPr>
              <w:spacing w:after="40"/>
            </w:pPr>
            <w:r>
              <w:rPr>
                <w:sz w:val="17"/>
              </w:rPr>
              <w:t>ErrorCode</w:t>
            </w:r>
          </w:p>
        </w:tc>
        <w:tc>
          <w:tcPr>
            <w:tcW w:type="dxa" w:w="6520"/>
            <w:vAlign w:val="top"/>
            <w:tcMar>
              <w:top w:w="60" w:type="dxa"/>
              <w:left w:w="80" w:type="dxa"/>
              <w:bottom w:w="60" w:type="dxa"/>
              <w:right w:w="80" w:type="dxa"/>
            </w:tcMar>
          </w:tcPr>
          <w:p>
            <w:pPr>
              <w:spacing w:after="40"/>
            </w:pPr>
            <w:r>
              <w:rPr>
                <w:sz w:val="17"/>
              </w:rPr>
              <w:t>stabiler fachlicher/technischer Fehlercode</w:t>
            </w:r>
          </w:p>
        </w:tc>
      </w:tr>
    </w:tbl>
    <w:p>
      <w:pPr>
        <w:keepLines/>
      </w:pPr>
    </w:p>
    <w:p>
      <w:pPr>
        <w:pStyle w:val="ListBullet"/>
        <w:keepLines/>
      </w:pPr>
      <w:r>
        <w:t>Bodies, vollständige Betreffzeilen, Adressen, Secrets und Token werden nicht standardmäßig geloggt.</w:t>
      </w:r>
    </w:p>
    <w:p>
      <w:pPr>
        <w:pStyle w:val="ListBullet"/>
        <w:keepLines/>
      </w:pPr>
      <w:r>
        <w:t>Sensible Werte werden bereits vor Übergabe an den Logger maskiert; ein automatisierter Test sucht bekannte Testmarker.</w:t>
      </w:r>
    </w:p>
    <w:p>
      <w:pPr>
        <w:pStyle w:val="ListBullet"/>
        <w:keepLines/>
      </w:pPr>
      <w:r>
        <w:t>Protokolldateien rotieren nach Größe/Alter und können über die Anwendung bereinigt werden.</w:t>
      </w:r>
    </w:p>
    <w:p>
      <w:pPr>
        <w:pStyle w:val="Heading2"/>
        <w:keepNext/>
        <w:keepLines/>
      </w:pPr>
      <w:r>
        <w:t>17.2 Diagnosepaket</w:t>
      </w:r>
    </w:p>
    <w:p>
      <w:pPr>
        <w:pStyle w:val="ListBullet"/>
        <w:keepLines/>
      </w:pPr>
      <w:r>
        <w:t>Vorschau aller einzuschließenden Dateien und Kategorien vor Export.</w:t>
      </w:r>
    </w:p>
    <w:p>
      <w:pPr>
        <w:pStyle w:val="ListBullet"/>
        <w:keepLines/>
      </w:pPr>
      <w:r>
        <w:t>Standard: Versionsinformationen, anonymisierte Konfiguration, Migrationen, Integritätsresultate, ausgewählte Logs, keine Bodies/EMLs/Secrets.</w:t>
      </w:r>
    </w:p>
    <w:p>
      <w:pPr>
        <w:pStyle w:val="ListBullet"/>
        <w:keepLines/>
      </w:pPr>
      <w:r>
        <w:t>Optionale Pseudonymisierung stabiler IDs für Konto, Adresse, Host und IP.</w:t>
      </w:r>
    </w:p>
    <w:p>
      <w:pPr>
        <w:pStyle w:val="ListBullet"/>
        <w:keepLines/>
      </w:pPr>
      <w:r>
        <w:t>Manifest mit Hashes, Erstellzeit und angewendetem Redaktionsprofil.</w:t>
      </w:r>
    </w:p>
    <w:p>
      <w:pPr>
        <w:pStyle w:val="Heading2"/>
        <w:keepNext/>
        <w:keepLines/>
      </w:pPr>
      <w:r>
        <w:t>17.3 Backup und Restore</w:t>
      </w:r>
    </w:p>
    <w:p>
      <w:pPr>
        <w:pStyle w:val="ListNumber"/>
        <w:keepLines/>
      </w:pPr>
      <w:r>
        <w:t>Neue Schreibjobs anhalten beziehungsweise in sicheren Zustand bringen.</w:t>
      </w:r>
    </w:p>
    <w:p>
      <w:pPr>
        <w:pStyle w:val="ListNumber"/>
        <w:keepLines/>
      </w:pPr>
      <w:r>
        <w:t>SQLite-Onlinebackup oder kontrollierter Snapshot mit WAL-Konsolidierung erzeugen.</w:t>
      </w:r>
    </w:p>
    <w:p>
      <w:pPr>
        <w:pStyle w:val="ListNumber"/>
        <w:keepLines/>
      </w:pPr>
      <w:r>
        <w:t>Referenzierte Rohmaildateien, Provider-/Markenprofile und nicht geheime Einstellungen kopieren.</w:t>
      </w:r>
    </w:p>
    <w:p>
      <w:pPr>
        <w:pStyle w:val="ListNumber"/>
        <w:keepLines/>
      </w:pPr>
      <w:r>
        <w:t>Manifest mit Version, Dateilänge und SHA-256 erzeugen; stichprobenlose vollständige Validierung durchführen.</w:t>
      </w:r>
    </w:p>
    <w:p>
      <w:pPr>
        <w:pStyle w:val="ListNumber"/>
        <w:keepLines/>
      </w:pPr>
      <w:r>
        <w:t>Restore nur in leeres Profil oder nach expliziter Sicherung/Bestätigung; Secrets müssen separat erneut zugeordnet werden.</w:t>
      </w:r>
    </w:p>
    <w:p>
      <w:pPr>
        <w:pStyle w:val="ListNumber"/>
        <w:keepLines/>
      </w:pPr>
      <w:r>
        <w:t>Nach Restore Datenbankintegrität, Fremdschlüssel, Rohdateien und Suchindex prüfen; FTS5 kann neu aufgebaut werden.</w:t>
      </w:r>
    </w:p>
    <w:p>
      <w:pPr>
        <w:pStyle w:val="Heading1"/>
        <w:keepNext/>
        <w:keepLines/>
      </w:pPr>
      <w:r>
        <w:t>18. Fehlerbehandlung, Wiederanlauf und Parallelität</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984"/>
            <w:shd w:fill="244A5A"/>
            <w:vAlign w:val="center"/>
            <w:tcMar>
              <w:top w:w="60" w:type="dxa"/>
              <w:left w:w="80" w:type="dxa"/>
              <w:bottom w:w="60" w:type="dxa"/>
              <w:right w:w="80" w:type="dxa"/>
            </w:tcMar>
          </w:tcPr>
          <w:p>
            <w:pPr>
              <w:jc w:val="center"/>
            </w:pPr>
            <w:r>
              <w:rPr>
                <w:b/>
                <w:color w:val="FFFFFF"/>
                <w:sz w:val="16"/>
              </w:rPr>
              <w:t>Fehlerklasse</w:t>
            </w:r>
          </w:p>
        </w:tc>
        <w:tc>
          <w:tcPr>
            <w:tcW w:type="dxa" w:w="2948"/>
            <w:shd w:fill="244A5A"/>
            <w:vAlign w:val="center"/>
            <w:tcMar>
              <w:top w:w="60" w:type="dxa"/>
              <w:left w:w="80" w:type="dxa"/>
              <w:bottom w:w="60" w:type="dxa"/>
              <w:right w:w="80" w:type="dxa"/>
            </w:tcMar>
          </w:tcPr>
          <w:p>
            <w:pPr>
              <w:jc w:val="center"/>
            </w:pPr>
            <w:r>
              <w:rPr>
                <w:b/>
                <w:color w:val="FFFFFF"/>
                <w:sz w:val="16"/>
              </w:rPr>
              <w:t>Codebeispiele</w:t>
            </w:r>
          </w:p>
        </w:tc>
        <w:tc>
          <w:tcPr>
            <w:tcW w:type="dxa" w:w="4422"/>
            <w:shd w:fill="244A5A"/>
            <w:vAlign w:val="center"/>
            <w:tcMar>
              <w:top w:w="60" w:type="dxa"/>
              <w:left w:w="80" w:type="dxa"/>
              <w:bottom w:w="60" w:type="dxa"/>
              <w:right w:w="80" w:type="dxa"/>
            </w:tcMar>
          </w:tcPr>
          <w:p>
            <w:pPr>
              <w:jc w:val="center"/>
            </w:pPr>
            <w:r>
              <w:rPr>
                <w:b/>
                <w:color w:val="FFFFFF"/>
                <w:sz w:val="16"/>
              </w:rPr>
              <w:t>Behandlung</w:t>
            </w:r>
          </w:p>
        </w:tc>
      </w:tr>
      <w:tr>
        <w:trPr>
          <w:cantSplit/>
        </w:trPr>
        <w:tc>
          <w:tcPr>
            <w:tcW w:type="dxa" w:w="1984"/>
            <w:vAlign w:val="top"/>
            <w:shd w:fill="F4F7F8"/>
            <w:tcMar>
              <w:top w:w="60" w:type="dxa"/>
              <w:left w:w="80" w:type="dxa"/>
              <w:bottom w:w="60" w:type="dxa"/>
              <w:right w:w="80" w:type="dxa"/>
            </w:tcMar>
          </w:tcPr>
          <w:p>
            <w:pPr>
              <w:spacing w:after="40"/>
            </w:pPr>
            <w:r>
              <w:rPr>
                <w:sz w:val="16"/>
              </w:rPr>
              <w:t>Konfiguration</w:t>
            </w:r>
          </w:p>
        </w:tc>
        <w:tc>
          <w:tcPr>
            <w:tcW w:type="dxa" w:w="2948"/>
            <w:vAlign w:val="top"/>
            <w:shd w:fill="F4F7F8"/>
            <w:tcMar>
              <w:top w:w="60" w:type="dxa"/>
              <w:left w:w="80" w:type="dxa"/>
              <w:bottom w:w="60" w:type="dxa"/>
              <w:right w:w="80" w:type="dxa"/>
            </w:tcMar>
          </w:tcPr>
          <w:p>
            <w:pPr>
              <w:spacing w:after="40"/>
            </w:pPr>
            <w:r>
              <w:rPr>
                <w:sz w:val="16"/>
              </w:rPr>
              <w:t>CFG-VALIDATION, CFG-SECRET-MISSING</w:t>
            </w:r>
          </w:p>
        </w:tc>
        <w:tc>
          <w:tcPr>
            <w:tcW w:type="dxa" w:w="4422"/>
            <w:vAlign w:val="top"/>
            <w:shd w:fill="F4F7F8"/>
            <w:tcMar>
              <w:top w:w="60" w:type="dxa"/>
              <w:left w:w="80" w:type="dxa"/>
              <w:bottom w:w="60" w:type="dxa"/>
              <w:right w:w="80" w:type="dxa"/>
            </w:tcMar>
          </w:tcPr>
          <w:p>
            <w:pPr>
              <w:spacing w:after="40"/>
            </w:pPr>
            <w:r>
              <w:rPr>
                <w:sz w:val="16"/>
              </w:rPr>
              <w:t>Speichern blockieren; Feldbezug und Korrekturhinweis anzeigen.</w:t>
            </w:r>
          </w:p>
        </w:tc>
      </w:tr>
      <w:tr>
        <w:trPr>
          <w:cantSplit/>
        </w:trPr>
        <w:tc>
          <w:tcPr>
            <w:tcW w:type="dxa" w:w="1984"/>
            <w:vAlign w:val="top"/>
            <w:tcMar>
              <w:top w:w="60" w:type="dxa"/>
              <w:left w:w="80" w:type="dxa"/>
              <w:bottom w:w="60" w:type="dxa"/>
              <w:right w:w="80" w:type="dxa"/>
            </w:tcMar>
          </w:tcPr>
          <w:p>
            <w:pPr>
              <w:spacing w:after="40"/>
            </w:pPr>
            <w:r>
              <w:rPr>
                <w:sz w:val="16"/>
              </w:rPr>
              <w:t>DNS/TCP/TLS</w:t>
            </w:r>
          </w:p>
        </w:tc>
        <w:tc>
          <w:tcPr>
            <w:tcW w:type="dxa" w:w="2948"/>
            <w:vAlign w:val="top"/>
            <w:tcMar>
              <w:top w:w="60" w:type="dxa"/>
              <w:left w:w="80" w:type="dxa"/>
              <w:bottom w:w="60" w:type="dxa"/>
              <w:right w:w="80" w:type="dxa"/>
            </w:tcMar>
          </w:tcPr>
          <w:p>
            <w:pPr>
              <w:spacing w:after="40"/>
            </w:pPr>
            <w:r>
              <w:rPr>
                <w:sz w:val="16"/>
              </w:rPr>
              <w:t>NET-DNS, NET-CONNECT, TLS-CERTIFICATE</w:t>
            </w:r>
          </w:p>
        </w:tc>
        <w:tc>
          <w:tcPr>
            <w:tcW w:type="dxa" w:w="4422"/>
            <w:vAlign w:val="top"/>
            <w:tcMar>
              <w:top w:w="60" w:type="dxa"/>
              <w:left w:w="80" w:type="dxa"/>
              <w:bottom w:w="60" w:type="dxa"/>
              <w:right w:w="80" w:type="dxa"/>
            </w:tcMar>
          </w:tcPr>
          <w:p>
            <w:pPr>
              <w:spacing w:after="40"/>
            </w:pPr>
            <w:r>
              <w:rPr>
                <w:sz w:val="16"/>
              </w:rPr>
              <w:t>Schrittgenaue Diagnose; keine stille Sicherheitsabsenkung.</w:t>
            </w:r>
          </w:p>
        </w:tc>
      </w:tr>
      <w:tr>
        <w:trPr>
          <w:cantSplit/>
        </w:trPr>
        <w:tc>
          <w:tcPr>
            <w:tcW w:type="dxa" w:w="1984"/>
            <w:vAlign w:val="top"/>
            <w:shd w:fill="F4F7F8"/>
            <w:tcMar>
              <w:top w:w="60" w:type="dxa"/>
              <w:left w:w="80" w:type="dxa"/>
              <w:bottom w:w="60" w:type="dxa"/>
              <w:right w:w="80" w:type="dxa"/>
            </w:tcMar>
          </w:tcPr>
          <w:p>
            <w:pPr>
              <w:spacing w:after="40"/>
            </w:pPr>
            <w:r>
              <w:rPr>
                <w:sz w:val="16"/>
              </w:rPr>
              <w:t>Authentifizierung</w:t>
            </w:r>
          </w:p>
        </w:tc>
        <w:tc>
          <w:tcPr>
            <w:tcW w:type="dxa" w:w="2948"/>
            <w:vAlign w:val="top"/>
            <w:shd w:fill="F4F7F8"/>
            <w:tcMar>
              <w:top w:w="60" w:type="dxa"/>
              <w:left w:w="80" w:type="dxa"/>
              <w:bottom w:w="60" w:type="dxa"/>
              <w:right w:w="80" w:type="dxa"/>
            </w:tcMar>
          </w:tcPr>
          <w:p>
            <w:pPr>
              <w:spacing w:after="40"/>
            </w:pPr>
            <w:r>
              <w:rPr>
                <w:sz w:val="16"/>
              </w:rPr>
              <w:t>AUTH-REJECTED, AUTH-MECHANISM</w:t>
            </w:r>
          </w:p>
        </w:tc>
        <w:tc>
          <w:tcPr>
            <w:tcW w:type="dxa" w:w="4422"/>
            <w:vAlign w:val="top"/>
            <w:shd w:fill="F4F7F8"/>
            <w:tcMar>
              <w:top w:w="60" w:type="dxa"/>
              <w:left w:w="80" w:type="dxa"/>
              <w:bottom w:w="60" w:type="dxa"/>
              <w:right w:w="80" w:type="dxa"/>
            </w:tcMar>
          </w:tcPr>
          <w:p>
            <w:pPr>
              <w:spacing w:after="40"/>
            </w:pPr>
            <w:r>
              <w:rPr>
                <w:sz w:val="16"/>
              </w:rPr>
              <w:t>Konto nicht automatisch sperren; Providerhinweis und Secretprüfung anbieten.</w:t>
            </w:r>
          </w:p>
        </w:tc>
      </w:tr>
      <w:tr>
        <w:trPr>
          <w:cantSplit/>
        </w:trPr>
        <w:tc>
          <w:tcPr>
            <w:tcW w:type="dxa" w:w="1984"/>
            <w:vAlign w:val="top"/>
            <w:tcMar>
              <w:top w:w="60" w:type="dxa"/>
              <w:left w:w="80" w:type="dxa"/>
              <w:bottom w:w="60" w:type="dxa"/>
              <w:right w:w="80" w:type="dxa"/>
            </w:tcMar>
          </w:tcPr>
          <w:p>
            <w:pPr>
              <w:spacing w:after="40"/>
            </w:pPr>
            <w:r>
              <w:rPr>
                <w:sz w:val="16"/>
              </w:rPr>
              <w:t>POP3 Nachricht</w:t>
            </w:r>
          </w:p>
        </w:tc>
        <w:tc>
          <w:tcPr>
            <w:tcW w:type="dxa" w:w="2948"/>
            <w:vAlign w:val="top"/>
            <w:tcMar>
              <w:top w:w="60" w:type="dxa"/>
              <w:left w:w="80" w:type="dxa"/>
              <w:bottom w:w="60" w:type="dxa"/>
              <w:right w:w="80" w:type="dxa"/>
            </w:tcMar>
          </w:tcPr>
          <w:p>
            <w:pPr>
              <w:spacing w:after="40"/>
            </w:pPr>
            <w:r>
              <w:rPr>
                <w:sz w:val="16"/>
              </w:rPr>
              <w:t>POP3-ITEM-FAILED</w:t>
            </w:r>
          </w:p>
        </w:tc>
        <w:tc>
          <w:tcPr>
            <w:tcW w:type="dxa" w:w="4422"/>
            <w:vAlign w:val="top"/>
            <w:tcMar>
              <w:top w:w="60" w:type="dxa"/>
              <w:left w:w="80" w:type="dxa"/>
              <w:bottom w:w="60" w:type="dxa"/>
              <w:right w:w="80" w:type="dxa"/>
            </w:tcMar>
          </w:tcPr>
          <w:p>
            <w:pPr>
              <w:spacing w:after="40"/>
            </w:pPr>
            <w:r>
              <w:rPr>
                <w:sz w:val="16"/>
              </w:rPr>
              <w:t>FetchItem als fehlerhaft, Lauf fortsetzen, Retry einzeln ermöglichen.</w:t>
            </w:r>
          </w:p>
        </w:tc>
      </w:tr>
      <w:tr>
        <w:trPr>
          <w:cantSplit/>
        </w:trPr>
        <w:tc>
          <w:tcPr>
            <w:tcW w:type="dxa" w:w="1984"/>
            <w:vAlign w:val="top"/>
            <w:shd w:fill="F4F7F8"/>
            <w:tcMar>
              <w:top w:w="60" w:type="dxa"/>
              <w:left w:w="80" w:type="dxa"/>
              <w:bottom w:w="60" w:type="dxa"/>
              <w:right w:w="80" w:type="dxa"/>
            </w:tcMar>
          </w:tcPr>
          <w:p>
            <w:pPr>
              <w:spacing w:after="40"/>
            </w:pPr>
            <w:r>
              <w:rPr>
                <w:sz w:val="16"/>
              </w:rPr>
              <w:t>Persistenz</w:t>
            </w:r>
          </w:p>
        </w:tc>
        <w:tc>
          <w:tcPr>
            <w:tcW w:type="dxa" w:w="2948"/>
            <w:vAlign w:val="top"/>
            <w:shd w:fill="F4F7F8"/>
            <w:tcMar>
              <w:top w:w="60" w:type="dxa"/>
              <w:left w:w="80" w:type="dxa"/>
              <w:bottom w:w="60" w:type="dxa"/>
              <w:right w:w="80" w:type="dxa"/>
            </w:tcMar>
          </w:tcPr>
          <w:p>
            <w:pPr>
              <w:spacing w:after="40"/>
            </w:pPr>
            <w:r>
              <w:rPr>
                <w:sz w:val="16"/>
              </w:rPr>
              <w:t>DB-CONSTRAINT, RAW-MISSING, STORAGE-FULL</w:t>
            </w:r>
          </w:p>
        </w:tc>
        <w:tc>
          <w:tcPr>
            <w:tcW w:type="dxa" w:w="4422"/>
            <w:vAlign w:val="top"/>
            <w:shd w:fill="F4F7F8"/>
            <w:tcMar>
              <w:top w:w="60" w:type="dxa"/>
              <w:left w:w="80" w:type="dxa"/>
              <w:bottom w:w="60" w:type="dxa"/>
              <w:right w:w="80" w:type="dxa"/>
            </w:tcMar>
          </w:tcPr>
          <w:p>
            <w:pPr>
              <w:spacing w:after="40"/>
            </w:pPr>
            <w:r>
              <w:rPr>
                <w:sz w:val="16"/>
              </w:rPr>
              <w:t>Transaktion rollback; Job stoppen, Datenkonsistenz priorisieren.</w:t>
            </w:r>
          </w:p>
        </w:tc>
      </w:tr>
      <w:tr>
        <w:trPr>
          <w:cantSplit/>
        </w:trPr>
        <w:tc>
          <w:tcPr>
            <w:tcW w:type="dxa" w:w="1984"/>
            <w:vAlign w:val="top"/>
            <w:tcMar>
              <w:top w:w="60" w:type="dxa"/>
              <w:left w:w="80" w:type="dxa"/>
              <w:bottom w:w="60" w:type="dxa"/>
              <w:right w:w="80" w:type="dxa"/>
            </w:tcMar>
          </w:tcPr>
          <w:p>
            <w:pPr>
              <w:spacing w:after="40"/>
            </w:pPr>
            <w:r>
              <w:rPr>
                <w:sz w:val="16"/>
              </w:rPr>
              <w:t>Parsing</w:t>
            </w:r>
          </w:p>
        </w:tc>
        <w:tc>
          <w:tcPr>
            <w:tcW w:type="dxa" w:w="2948"/>
            <w:vAlign w:val="top"/>
            <w:tcMar>
              <w:top w:w="60" w:type="dxa"/>
              <w:left w:w="80" w:type="dxa"/>
              <w:bottom w:w="60" w:type="dxa"/>
              <w:right w:w="80" w:type="dxa"/>
            </w:tcMar>
          </w:tcPr>
          <w:p>
            <w:pPr>
              <w:spacing w:after="40"/>
            </w:pPr>
            <w:r>
              <w:rPr>
                <w:sz w:val="16"/>
              </w:rPr>
              <w:t>MIME-PARSE-WARNING, MIME-PARSE-FAILED</w:t>
            </w:r>
          </w:p>
        </w:tc>
        <w:tc>
          <w:tcPr>
            <w:tcW w:type="dxa" w:w="4422"/>
            <w:vAlign w:val="top"/>
            <w:tcMar>
              <w:top w:w="60" w:type="dxa"/>
              <w:left w:w="80" w:type="dxa"/>
              <w:bottom w:w="60" w:type="dxa"/>
              <w:right w:w="80" w:type="dxa"/>
            </w:tcMar>
          </w:tcPr>
          <w:p>
            <w:pPr>
              <w:spacing w:after="40"/>
            </w:pPr>
            <w:r>
              <w:rPr>
                <w:sz w:val="16"/>
              </w:rPr>
              <w:t>Rohmail bleibt zugänglich; Teilresultate/Warnungen speichern; Reprocessing anbieten.</w:t>
            </w:r>
          </w:p>
        </w:tc>
      </w:tr>
      <w:tr>
        <w:trPr>
          <w:cantSplit/>
        </w:trPr>
        <w:tc>
          <w:tcPr>
            <w:tcW w:type="dxa" w:w="1984"/>
            <w:vAlign w:val="top"/>
            <w:shd w:fill="F4F7F8"/>
            <w:tcMar>
              <w:top w:w="60" w:type="dxa"/>
              <w:left w:w="80" w:type="dxa"/>
              <w:bottom w:w="60" w:type="dxa"/>
              <w:right w:w="80" w:type="dxa"/>
            </w:tcMar>
          </w:tcPr>
          <w:p>
            <w:pPr>
              <w:spacing w:after="40"/>
            </w:pPr>
            <w:r>
              <w:rPr>
                <w:sz w:val="16"/>
              </w:rPr>
              <w:t>SMTP</w:t>
            </w:r>
          </w:p>
        </w:tc>
        <w:tc>
          <w:tcPr>
            <w:tcW w:type="dxa" w:w="2948"/>
            <w:vAlign w:val="top"/>
            <w:shd w:fill="F4F7F8"/>
            <w:tcMar>
              <w:top w:w="60" w:type="dxa"/>
              <w:left w:w="80" w:type="dxa"/>
              <w:bottom w:w="60" w:type="dxa"/>
              <w:right w:w="80" w:type="dxa"/>
            </w:tcMar>
          </w:tcPr>
          <w:p>
            <w:pPr>
              <w:spacing w:after="40"/>
            </w:pPr>
            <w:r>
              <w:rPr>
                <w:sz w:val="16"/>
              </w:rPr>
              <w:t>SMTP-TEMPORARY, SMTP-PERMANENT, SMTP-UNCERTAIN</w:t>
            </w:r>
          </w:p>
        </w:tc>
        <w:tc>
          <w:tcPr>
            <w:tcW w:type="dxa" w:w="4422"/>
            <w:vAlign w:val="top"/>
            <w:shd w:fill="F4F7F8"/>
            <w:tcMar>
              <w:top w:w="60" w:type="dxa"/>
              <w:left w:w="80" w:type="dxa"/>
              <w:bottom w:w="60" w:type="dxa"/>
              <w:right w:w="80" w:type="dxa"/>
            </w:tcMar>
          </w:tcPr>
          <w:p>
            <w:pPr>
              <w:spacing w:after="40"/>
            </w:pPr>
            <w:r>
              <w:rPr>
                <w:sz w:val="16"/>
              </w:rPr>
              <w:t>temporär mit Backoff; permanent ohne Auto-Retry; unklar nie blind wiederholen.</w:t>
            </w:r>
          </w:p>
        </w:tc>
      </w:tr>
      <w:tr>
        <w:trPr>
          <w:cantSplit/>
        </w:trPr>
        <w:tc>
          <w:tcPr>
            <w:tcW w:type="dxa" w:w="1984"/>
            <w:vAlign w:val="top"/>
            <w:tcMar>
              <w:top w:w="60" w:type="dxa"/>
              <w:left w:w="80" w:type="dxa"/>
              <w:bottom w:w="60" w:type="dxa"/>
              <w:right w:w="80" w:type="dxa"/>
            </w:tcMar>
          </w:tcPr>
          <w:p>
            <w:pPr>
              <w:spacing w:after="40"/>
            </w:pPr>
            <w:r>
              <w:rPr>
                <w:sz w:val="16"/>
              </w:rPr>
              <w:t>IMAP APPEND</w:t>
            </w:r>
          </w:p>
        </w:tc>
        <w:tc>
          <w:tcPr>
            <w:tcW w:type="dxa" w:w="2948"/>
            <w:vAlign w:val="top"/>
            <w:tcMar>
              <w:top w:w="60" w:type="dxa"/>
              <w:left w:w="80" w:type="dxa"/>
              <w:bottom w:w="60" w:type="dxa"/>
              <w:right w:w="80" w:type="dxa"/>
            </w:tcMar>
          </w:tcPr>
          <w:p>
            <w:pPr>
              <w:spacing w:after="40"/>
            </w:pPr>
            <w:r>
              <w:rPr>
                <w:sz w:val="16"/>
              </w:rPr>
              <w:t>IMAP-FOLDER, IMAP-APPEND, IMAP-UNCERTAIN</w:t>
            </w:r>
          </w:p>
        </w:tc>
        <w:tc>
          <w:tcPr>
            <w:tcW w:type="dxa" w:w="4422"/>
            <w:vAlign w:val="top"/>
            <w:tcMar>
              <w:top w:w="60" w:type="dxa"/>
              <w:left w:w="80" w:type="dxa"/>
              <w:bottom w:w="60" w:type="dxa"/>
              <w:right w:w="80" w:type="dxa"/>
            </w:tcMar>
          </w:tcPr>
          <w:p>
            <w:pPr>
              <w:spacing w:after="40"/>
            </w:pPr>
            <w:r>
              <w:rPr>
                <w:sz w:val="16"/>
              </w:rPr>
              <w:t>separate Uploadqueue; Zielordner prüfen; vor Retry deduplizieren.</w:t>
            </w:r>
          </w:p>
        </w:tc>
      </w:tr>
      <w:tr>
        <w:trPr>
          <w:cantSplit/>
        </w:trPr>
        <w:tc>
          <w:tcPr>
            <w:tcW w:type="dxa" w:w="1984"/>
            <w:vAlign w:val="top"/>
            <w:shd w:fill="F4F7F8"/>
            <w:tcMar>
              <w:top w:w="60" w:type="dxa"/>
              <w:left w:w="80" w:type="dxa"/>
              <w:bottom w:w="60" w:type="dxa"/>
              <w:right w:w="80" w:type="dxa"/>
            </w:tcMar>
          </w:tcPr>
          <w:p>
            <w:pPr>
              <w:spacing w:after="40"/>
            </w:pPr>
            <w:r>
              <w:rPr>
                <w:sz w:val="16"/>
              </w:rPr>
              <w:t>Analyse</w:t>
            </w:r>
          </w:p>
        </w:tc>
        <w:tc>
          <w:tcPr>
            <w:tcW w:type="dxa" w:w="2948"/>
            <w:vAlign w:val="top"/>
            <w:shd w:fill="F4F7F8"/>
            <w:tcMar>
              <w:top w:w="60" w:type="dxa"/>
              <w:left w:w="80" w:type="dxa"/>
              <w:bottom w:w="60" w:type="dxa"/>
              <w:right w:w="80" w:type="dxa"/>
            </w:tcMar>
          </w:tcPr>
          <w:p>
            <w:pPr>
              <w:spacing w:after="40"/>
            </w:pPr>
            <w:r>
              <w:rPr>
                <w:sz w:val="16"/>
              </w:rPr>
              <w:t>ANALYZER-FAILED, RESULT-SCHEMA</w:t>
            </w:r>
          </w:p>
        </w:tc>
        <w:tc>
          <w:tcPr>
            <w:tcW w:type="dxa" w:w="4422"/>
            <w:vAlign w:val="top"/>
            <w:shd w:fill="F4F7F8"/>
            <w:tcMar>
              <w:top w:w="60" w:type="dxa"/>
              <w:left w:w="80" w:type="dxa"/>
              <w:bottom w:w="60" w:type="dxa"/>
              <w:right w:w="80" w:type="dxa"/>
            </w:tcMar>
          </w:tcPr>
          <w:p>
            <w:pPr>
              <w:spacing w:after="40"/>
            </w:pPr>
            <w:r>
              <w:rPr>
                <w:sz w:val="16"/>
              </w:rPr>
              <w:t>anderen Analyzer nicht blockieren; Lauf mit Fehler und Diagnose speichern.</w:t>
            </w:r>
          </w:p>
        </w:tc>
      </w:tr>
      <w:tr>
        <w:trPr>
          <w:cantSplit/>
        </w:trPr>
        <w:tc>
          <w:tcPr>
            <w:tcW w:type="dxa" w:w="1984"/>
            <w:vAlign w:val="top"/>
            <w:tcMar>
              <w:top w:w="60" w:type="dxa"/>
              <w:left w:w="80" w:type="dxa"/>
              <w:bottom w:w="60" w:type="dxa"/>
              <w:right w:w="80" w:type="dxa"/>
            </w:tcMar>
          </w:tcPr>
          <w:p>
            <w:pPr>
              <w:spacing w:after="40"/>
            </w:pPr>
            <w:r>
              <w:rPr>
                <w:sz w:val="16"/>
              </w:rPr>
              <w:t>UI</w:t>
            </w:r>
          </w:p>
        </w:tc>
        <w:tc>
          <w:tcPr>
            <w:tcW w:type="dxa" w:w="2948"/>
            <w:vAlign w:val="top"/>
            <w:tcMar>
              <w:top w:w="60" w:type="dxa"/>
              <w:left w:w="80" w:type="dxa"/>
              <w:bottom w:w="60" w:type="dxa"/>
              <w:right w:w="80" w:type="dxa"/>
            </w:tcMar>
          </w:tcPr>
          <w:p>
            <w:pPr>
              <w:spacing w:after="40"/>
            </w:pPr>
            <w:r>
              <w:rPr>
                <w:sz w:val="16"/>
              </w:rPr>
              <w:t>UI-CANCELLED, UI-UNHANDLED</w:t>
            </w:r>
          </w:p>
        </w:tc>
        <w:tc>
          <w:tcPr>
            <w:tcW w:type="dxa" w:w="4422"/>
            <w:vAlign w:val="top"/>
            <w:tcMar>
              <w:top w:w="60" w:type="dxa"/>
              <w:left w:w="80" w:type="dxa"/>
              <w:bottom w:w="60" w:type="dxa"/>
              <w:right w:w="80" w:type="dxa"/>
            </w:tcMar>
          </w:tcPr>
          <w:p>
            <w:pPr>
              <w:spacing w:after="40"/>
            </w:pPr>
            <w:r>
              <w:rPr>
                <w:sz w:val="16"/>
              </w:rPr>
              <w:t>Cancellation normal behandeln; unerwartete Ausnahme zentral protokollieren und sichere Benutzeranzeige.</w:t>
            </w:r>
          </w:p>
        </w:tc>
      </w:tr>
    </w:tbl>
    <w:p>
      <w:pPr>
        <w:keepLines/>
      </w:pPr>
    </w:p>
    <w:p>
      <w:pPr>
        <w:pStyle w:val="Heading2"/>
        <w:keepNext/>
        <w:keepLines/>
      </w:pPr>
      <w:r>
        <w:t>18.1 Wiederanlauf</w:t>
      </w:r>
    </w:p>
    <w:p>
      <w:pPr>
        <w:pStyle w:val="ListBullet"/>
        <w:keepLines/>
      </w:pPr>
      <w:r>
        <w:t>Beim Start werden Jobs in transienten Zuständen geprüft: Fetching, TempStored, Sending, Uploading und Running.</w:t>
      </w:r>
    </w:p>
    <w:p>
      <w:pPr>
        <w:pStyle w:val="ListBullet"/>
        <w:keepLines/>
      </w:pPr>
      <w:r>
        <w:t>Fetching/TempStored wird anhand Temp-Datei, Rohdatei und DB-Eintrag rekonstruiert oder sicher abgebrochen.</w:t>
      </w:r>
    </w:p>
    <w:p>
      <w:pPr>
        <w:pStyle w:val="ListBullet"/>
        <w:keepLines/>
      </w:pPr>
      <w:r>
        <w:t>Sending wird nicht automatisch auf Pending zurückgesetzt; bei möglicher Serverannahme wird SendUncertain verwendet.</w:t>
      </w:r>
    </w:p>
    <w:p>
      <w:pPr>
        <w:pStyle w:val="ListBullet"/>
        <w:keepLines/>
      </w:pPr>
      <w:r>
        <w:t>Uploading wird UploadUncertain, wenn nicht eindeutig nachweisbar ist, dass APPEND fehlgeschlagen ist.</w:t>
      </w:r>
    </w:p>
    <w:p>
      <w:pPr>
        <w:pStyle w:val="ListBullet"/>
        <w:keepLines/>
      </w:pPr>
      <w:r>
        <w:t>Running Analysis wird Failed/Interrupted; ein neuer Lauf kann explizit gestartet werden.</w:t>
      </w:r>
    </w:p>
    <w:p>
      <w:pPr>
        <w:pStyle w:val="ListBullet"/>
        <w:keepLines/>
      </w:pPr>
      <w:r>
        <w:t>Alle Wiederanlaufentscheidungen erzeugen AuditEvent und verständliche UI-Mitteilung.</w:t>
      </w:r>
    </w:p>
    <w:p>
      <w:pPr>
        <w:pStyle w:val="Heading2"/>
        <w:keepNext/>
        <w:keepLines/>
      </w:pPr>
      <w:r>
        <w:t>18.2 Parallelität</w:t>
      </w:r>
    </w:p>
    <w:p>
      <w:pPr>
        <w:pStyle w:val="ListBullet"/>
        <w:keepLines/>
      </w:pPr>
      <w:r>
        <w:t>Pro Konto läuft höchstens eine POP3-Sitzung gleichzeitig. Unterschiedliche Konten dürfen parallel verarbeitet werden, sofern Ressourcenlimits eingehalten werden.</w:t>
      </w:r>
    </w:p>
    <w:p>
      <w:pPr>
        <w:pStyle w:val="ListBullet"/>
        <w:keepLines/>
      </w:pPr>
      <w:r>
        <w:t>Deduplizierungs-UNIQUE-Index und Transaktionen schützen auch vor konkurrierenden Importen.</w:t>
      </w:r>
    </w:p>
    <w:p>
      <w:pPr>
        <w:pStyle w:val="ListBullet"/>
        <w:keepLines/>
      </w:pPr>
      <w:r>
        <w:t>Parsing und Analyse können über eine begrenzte Worker-Queue parallelisiert werden; Anzahl ist konfigurierbar und standardmäßig konservativ.</w:t>
      </w:r>
    </w:p>
    <w:p>
      <w:pPr>
        <w:pStyle w:val="ListBullet"/>
        <w:keepLines/>
      </w:pPr>
      <w:r>
        <w:t>Datenbankzugriffe verwenden kurze Transaktionen. Langsame Netzwerk- oder Dateivorgänge dürfen keine SQLite-Schreibtransaktion offen halten.</w:t>
      </w:r>
    </w:p>
    <w:p>
      <w:pPr>
        <w:pStyle w:val="ListBullet"/>
        <w:keepLines/>
      </w:pPr>
      <w:r>
        <w:t>UI erhält immutable Snapshots/DTOs; Hintergrundthreads greifen nicht direkt auf Controls zu.</w:t>
      </w:r>
    </w:p>
    <w:p>
      <w:pPr>
        <w:pStyle w:val="Heading1"/>
        <w:keepNext/>
        <w:keepLines/>
      </w:pPr>
      <w:r>
        <w:t>19. Nichtfunktionale Umsetzung und Qualitätsziele</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814"/>
            <w:shd w:fill="244A5A"/>
            <w:vAlign w:val="center"/>
            <w:tcMar>
              <w:top w:w="60" w:type="dxa"/>
              <w:left w:w="80" w:type="dxa"/>
              <w:bottom w:w="60" w:type="dxa"/>
              <w:right w:w="80" w:type="dxa"/>
            </w:tcMar>
          </w:tcPr>
          <w:p>
            <w:pPr>
              <w:jc w:val="center"/>
            </w:pPr>
            <w:r>
              <w:rPr>
                <w:b/>
                <w:color w:val="FFFFFF"/>
                <w:sz w:val="16"/>
              </w:rPr>
              <w:t>Qualitätsbereich</w:t>
            </w:r>
          </w:p>
        </w:tc>
        <w:tc>
          <w:tcPr>
            <w:tcW w:type="dxa" w:w="4309"/>
            <w:shd w:fill="244A5A"/>
            <w:vAlign w:val="center"/>
            <w:tcMar>
              <w:top w:w="60" w:type="dxa"/>
              <w:left w:w="80" w:type="dxa"/>
              <w:bottom w:w="60" w:type="dxa"/>
              <w:right w:w="80" w:type="dxa"/>
            </w:tcMar>
          </w:tcPr>
          <w:p>
            <w:pPr>
              <w:jc w:val="center"/>
            </w:pPr>
            <w:r>
              <w:rPr>
                <w:b/>
                <w:color w:val="FFFFFF"/>
                <w:sz w:val="16"/>
              </w:rPr>
              <w:t>Technische Festlegung</w:t>
            </w:r>
          </w:p>
        </w:tc>
        <w:tc>
          <w:tcPr>
            <w:tcW w:type="dxa" w:w="3231"/>
            <w:shd w:fill="244A5A"/>
            <w:vAlign w:val="center"/>
            <w:tcMar>
              <w:top w:w="60" w:type="dxa"/>
              <w:left w:w="80" w:type="dxa"/>
              <w:bottom w:w="60" w:type="dxa"/>
              <w:right w:w="80" w:type="dxa"/>
            </w:tcMar>
          </w:tcPr>
          <w:p>
            <w:pPr>
              <w:jc w:val="center"/>
            </w:pPr>
            <w:r>
              <w:rPr>
                <w:b/>
                <w:color w:val="FFFFFF"/>
                <w:sz w:val="16"/>
              </w:rPr>
              <w:t>Mess-/Nachweisverfahren</w:t>
            </w:r>
          </w:p>
        </w:tc>
      </w:tr>
      <w:tr>
        <w:trPr>
          <w:cantSplit/>
        </w:trPr>
        <w:tc>
          <w:tcPr>
            <w:tcW w:type="dxa" w:w="1814"/>
            <w:vAlign w:val="top"/>
            <w:shd w:fill="F4F7F8"/>
            <w:tcMar>
              <w:top w:w="60" w:type="dxa"/>
              <w:left w:w="80" w:type="dxa"/>
              <w:bottom w:w="60" w:type="dxa"/>
              <w:right w:w="80" w:type="dxa"/>
            </w:tcMar>
          </w:tcPr>
          <w:p>
            <w:pPr>
              <w:spacing w:after="40"/>
            </w:pPr>
            <w:r>
              <w:rPr>
                <w:sz w:val="16"/>
              </w:rPr>
              <w:t>Zuverlässigkeit</w:t>
            </w:r>
          </w:p>
        </w:tc>
        <w:tc>
          <w:tcPr>
            <w:tcW w:type="dxa" w:w="4309"/>
            <w:vAlign w:val="top"/>
            <w:shd w:fill="F4F7F8"/>
            <w:tcMar>
              <w:top w:w="60" w:type="dxa"/>
              <w:left w:w="80" w:type="dxa"/>
              <w:bottom w:w="60" w:type="dxa"/>
              <w:right w:w="80" w:type="dxa"/>
            </w:tcMar>
          </w:tcPr>
          <w:p>
            <w:pPr>
              <w:spacing w:after="40"/>
            </w:pPr>
            <w:r>
              <w:rPr>
                <w:sz w:val="16"/>
              </w:rPr>
              <w:t>atomare Rohübernahme, explizite Zustände, Idempotenz, Startup-Reconciliation</w:t>
            </w:r>
          </w:p>
        </w:tc>
        <w:tc>
          <w:tcPr>
            <w:tcW w:type="dxa" w:w="3231"/>
            <w:vAlign w:val="top"/>
            <w:shd w:fill="F4F7F8"/>
            <w:tcMar>
              <w:top w:w="60" w:type="dxa"/>
              <w:left w:w="80" w:type="dxa"/>
              <w:bottom w:w="60" w:type="dxa"/>
              <w:right w:w="80" w:type="dxa"/>
            </w:tcMar>
          </w:tcPr>
          <w:p>
            <w:pPr>
              <w:spacing w:after="40"/>
            </w:pPr>
            <w:r>
              <w:rPr>
                <w:sz w:val="16"/>
              </w:rPr>
              <w:t>Crash-/Abbruchtests an definierten Übergängen</w:t>
            </w:r>
          </w:p>
        </w:tc>
      </w:tr>
      <w:tr>
        <w:trPr>
          <w:cantSplit/>
        </w:trPr>
        <w:tc>
          <w:tcPr>
            <w:tcW w:type="dxa" w:w="1814"/>
            <w:vAlign w:val="top"/>
            <w:tcMar>
              <w:top w:w="60" w:type="dxa"/>
              <w:left w:w="80" w:type="dxa"/>
              <w:bottom w:w="60" w:type="dxa"/>
              <w:right w:w="80" w:type="dxa"/>
            </w:tcMar>
          </w:tcPr>
          <w:p>
            <w:pPr>
              <w:spacing w:after="40"/>
            </w:pPr>
            <w:r>
              <w:rPr>
                <w:sz w:val="16"/>
              </w:rPr>
              <w:t>Performance</w:t>
            </w:r>
          </w:p>
        </w:tc>
        <w:tc>
          <w:tcPr>
            <w:tcW w:type="dxa" w:w="4309"/>
            <w:vAlign w:val="top"/>
            <w:tcMar>
              <w:top w:w="60" w:type="dxa"/>
              <w:left w:w="80" w:type="dxa"/>
              <w:bottom w:w="60" w:type="dxa"/>
              <w:right w:w="80" w:type="dxa"/>
            </w:tcMar>
          </w:tcPr>
          <w:p>
            <w:pPr>
              <w:spacing w:after="40"/>
            </w:pPr>
            <w:r>
              <w:rPr>
                <w:sz w:val="16"/>
              </w:rPr>
              <w:t>100.000 Nachrichten, Paging, FTS5, streambasierter Hash, Lazy Loading</w:t>
            </w:r>
          </w:p>
        </w:tc>
        <w:tc>
          <w:tcPr>
            <w:tcW w:type="dxa" w:w="3231"/>
            <w:vAlign w:val="top"/>
            <w:tcMar>
              <w:top w:w="60" w:type="dxa"/>
              <w:left w:w="80" w:type="dxa"/>
              <w:bottom w:w="60" w:type="dxa"/>
              <w:right w:w="80" w:type="dxa"/>
            </w:tcMar>
          </w:tcPr>
          <w:p>
            <w:pPr>
              <w:spacing w:after="40"/>
            </w:pPr>
            <w:r>
              <w:rPr>
                <w:sz w:val="16"/>
              </w:rPr>
              <w:t>synthetischer 100k-Datensatz; Antwortzeiten messen</w:t>
            </w:r>
          </w:p>
        </w:tc>
      </w:tr>
      <w:tr>
        <w:trPr>
          <w:cantSplit/>
        </w:trPr>
        <w:tc>
          <w:tcPr>
            <w:tcW w:type="dxa" w:w="1814"/>
            <w:vAlign w:val="top"/>
            <w:shd w:fill="F4F7F8"/>
            <w:tcMar>
              <w:top w:w="60" w:type="dxa"/>
              <w:left w:w="80" w:type="dxa"/>
              <w:bottom w:w="60" w:type="dxa"/>
              <w:right w:w="80" w:type="dxa"/>
            </w:tcMar>
          </w:tcPr>
          <w:p>
            <w:pPr>
              <w:spacing w:after="40"/>
            </w:pPr>
            <w:r>
              <w:rPr>
                <w:sz w:val="16"/>
              </w:rPr>
              <w:t>Sicherheit</w:t>
            </w:r>
          </w:p>
        </w:tc>
        <w:tc>
          <w:tcPr>
            <w:tcW w:type="dxa" w:w="4309"/>
            <w:vAlign w:val="top"/>
            <w:shd w:fill="F4F7F8"/>
            <w:tcMar>
              <w:top w:w="60" w:type="dxa"/>
              <w:left w:w="80" w:type="dxa"/>
              <w:bottom w:w="60" w:type="dxa"/>
              <w:right w:w="80" w:type="dxa"/>
            </w:tcMar>
          </w:tcPr>
          <w:p>
            <w:pPr>
              <w:spacing w:after="40"/>
            </w:pPr>
            <w:r>
              <w:rPr>
                <w:sz w:val="16"/>
              </w:rPr>
              <w:t>TLS erforderlich, Secrets außerhalb DB, HTML untrusted, keine Onlineanalyse default</w:t>
            </w:r>
          </w:p>
        </w:tc>
        <w:tc>
          <w:tcPr>
            <w:tcW w:type="dxa" w:w="3231"/>
            <w:vAlign w:val="top"/>
            <w:shd w:fill="F4F7F8"/>
            <w:tcMar>
              <w:top w:w="60" w:type="dxa"/>
              <w:left w:w="80" w:type="dxa"/>
              <w:bottom w:w="60" w:type="dxa"/>
              <w:right w:w="80" w:type="dxa"/>
            </w:tcMar>
          </w:tcPr>
          <w:p>
            <w:pPr>
              <w:spacing w:after="40"/>
            </w:pPr>
            <w:r>
              <w:rPr>
                <w:sz w:val="16"/>
              </w:rPr>
              <w:t>Security-Tests, Log-Secret-Scan, Renderer-Fuzz-Fixtures</w:t>
            </w:r>
          </w:p>
        </w:tc>
      </w:tr>
      <w:tr>
        <w:trPr>
          <w:cantSplit/>
        </w:trPr>
        <w:tc>
          <w:tcPr>
            <w:tcW w:type="dxa" w:w="1814"/>
            <w:vAlign w:val="top"/>
            <w:tcMar>
              <w:top w:w="60" w:type="dxa"/>
              <w:left w:w="80" w:type="dxa"/>
              <w:bottom w:w="60" w:type="dxa"/>
              <w:right w:w="80" w:type="dxa"/>
            </w:tcMar>
          </w:tcPr>
          <w:p>
            <w:pPr>
              <w:spacing w:after="40"/>
            </w:pPr>
            <w:r>
              <w:rPr>
                <w:sz w:val="16"/>
              </w:rPr>
              <w:t>Datenschutz</w:t>
            </w:r>
          </w:p>
        </w:tc>
        <w:tc>
          <w:tcPr>
            <w:tcW w:type="dxa" w:w="4309"/>
            <w:vAlign w:val="top"/>
            <w:tcMar>
              <w:top w:w="60" w:type="dxa"/>
              <w:left w:w="80" w:type="dxa"/>
              <w:bottom w:w="60" w:type="dxa"/>
              <w:right w:w="80" w:type="dxa"/>
            </w:tcMar>
          </w:tcPr>
          <w:p>
            <w:pPr>
              <w:spacing w:after="40"/>
            </w:pPr>
            <w:r>
              <w:rPr>
                <w:sz w:val="16"/>
              </w:rPr>
              <w:t>lokale Verarbeitung, Exportvorschau, Pseudonymisierung, keine Pflichttelemetrie</w:t>
            </w:r>
          </w:p>
        </w:tc>
        <w:tc>
          <w:tcPr>
            <w:tcW w:type="dxa" w:w="3231"/>
            <w:vAlign w:val="top"/>
            <w:tcMar>
              <w:top w:w="60" w:type="dxa"/>
              <w:left w:w="80" w:type="dxa"/>
              <w:bottom w:w="60" w:type="dxa"/>
              <w:right w:w="80" w:type="dxa"/>
            </w:tcMar>
          </w:tcPr>
          <w:p>
            <w:pPr>
              <w:spacing w:after="40"/>
            </w:pPr>
            <w:r>
              <w:rPr>
                <w:sz w:val="16"/>
              </w:rPr>
              <w:t>Konfigurationsprüfung und Diagnosepaket-Review</w:t>
            </w:r>
          </w:p>
        </w:tc>
      </w:tr>
      <w:tr>
        <w:trPr>
          <w:cantSplit/>
        </w:trPr>
        <w:tc>
          <w:tcPr>
            <w:tcW w:type="dxa" w:w="1814"/>
            <w:vAlign w:val="top"/>
            <w:shd w:fill="F4F7F8"/>
            <w:tcMar>
              <w:top w:w="60" w:type="dxa"/>
              <w:left w:w="80" w:type="dxa"/>
              <w:bottom w:w="60" w:type="dxa"/>
              <w:right w:w="80" w:type="dxa"/>
            </w:tcMar>
          </w:tcPr>
          <w:p>
            <w:pPr>
              <w:spacing w:after="40"/>
            </w:pPr>
            <w:r>
              <w:rPr>
                <w:sz w:val="16"/>
              </w:rPr>
              <w:t>Bedienbarkeit</w:t>
            </w:r>
          </w:p>
        </w:tc>
        <w:tc>
          <w:tcPr>
            <w:tcW w:type="dxa" w:w="4309"/>
            <w:vAlign w:val="top"/>
            <w:shd w:fill="F4F7F8"/>
            <w:tcMar>
              <w:top w:w="60" w:type="dxa"/>
              <w:left w:w="80" w:type="dxa"/>
              <w:bottom w:w="60" w:type="dxa"/>
              <w:right w:w="80" w:type="dxa"/>
            </w:tcMar>
          </w:tcPr>
          <w:p>
            <w:pPr>
              <w:spacing w:after="40"/>
            </w:pPr>
            <w:r>
              <w:rPr>
                <w:sz w:val="16"/>
              </w:rPr>
              <w:t>Tastatur, 150 % DPI, sichtbarer Fokus, erklärbare Fehler</w:t>
            </w:r>
          </w:p>
        </w:tc>
        <w:tc>
          <w:tcPr>
            <w:tcW w:type="dxa" w:w="3231"/>
            <w:vAlign w:val="top"/>
            <w:shd w:fill="F4F7F8"/>
            <w:tcMar>
              <w:top w:w="60" w:type="dxa"/>
              <w:left w:w="80" w:type="dxa"/>
              <w:bottom w:w="60" w:type="dxa"/>
              <w:right w:w="80" w:type="dxa"/>
            </w:tcMar>
          </w:tcPr>
          <w:p>
            <w:pPr>
              <w:spacing w:after="40"/>
            </w:pPr>
            <w:r>
              <w:rPr>
                <w:sz w:val="16"/>
              </w:rPr>
              <w:t>manuelle Accessibility-Checkliste + UI-Smoke-Tests</w:t>
            </w:r>
          </w:p>
        </w:tc>
      </w:tr>
      <w:tr>
        <w:trPr>
          <w:cantSplit/>
        </w:trPr>
        <w:tc>
          <w:tcPr>
            <w:tcW w:type="dxa" w:w="1814"/>
            <w:vAlign w:val="top"/>
            <w:tcMar>
              <w:top w:w="60" w:type="dxa"/>
              <w:left w:w="80" w:type="dxa"/>
              <w:bottom w:w="60" w:type="dxa"/>
              <w:right w:w="80" w:type="dxa"/>
            </w:tcMar>
          </w:tcPr>
          <w:p>
            <w:pPr>
              <w:spacing w:after="40"/>
            </w:pPr>
            <w:r>
              <w:rPr>
                <w:sz w:val="16"/>
              </w:rPr>
              <w:t>Wartbarkeit</w:t>
            </w:r>
          </w:p>
        </w:tc>
        <w:tc>
          <w:tcPr>
            <w:tcW w:type="dxa" w:w="4309"/>
            <w:vAlign w:val="top"/>
            <w:tcMar>
              <w:top w:w="60" w:type="dxa"/>
              <w:left w:w="80" w:type="dxa"/>
              <w:bottom w:w="60" w:type="dxa"/>
              <w:right w:w="80" w:type="dxa"/>
            </w:tcMar>
          </w:tcPr>
          <w:p>
            <w:pPr>
              <w:spacing w:after="40"/>
            </w:pPr>
            <w:r>
              <w:rPr>
                <w:sz w:val="16"/>
              </w:rPr>
              <w:t>XML-Dokumentation, ADRs, kleine Projekte, zentrale Paketversionen</w:t>
            </w:r>
          </w:p>
        </w:tc>
        <w:tc>
          <w:tcPr>
            <w:tcW w:type="dxa" w:w="3231"/>
            <w:vAlign w:val="top"/>
            <w:tcMar>
              <w:top w:w="60" w:type="dxa"/>
              <w:left w:w="80" w:type="dxa"/>
              <w:bottom w:w="60" w:type="dxa"/>
              <w:right w:w="80" w:type="dxa"/>
            </w:tcMar>
          </w:tcPr>
          <w:p>
            <w:pPr>
              <w:spacing w:after="40"/>
            </w:pPr>
            <w:r>
              <w:rPr>
                <w:sz w:val="16"/>
              </w:rPr>
              <w:t>Compiler-Dokumentationswarnungen, Architekturtests, Review-Checkliste</w:t>
            </w:r>
          </w:p>
        </w:tc>
      </w:tr>
      <w:tr>
        <w:trPr>
          <w:cantSplit/>
        </w:trPr>
        <w:tc>
          <w:tcPr>
            <w:tcW w:type="dxa" w:w="1814"/>
            <w:vAlign w:val="top"/>
            <w:shd w:fill="F4F7F8"/>
            <w:tcMar>
              <w:top w:w="60" w:type="dxa"/>
              <w:left w:w="80" w:type="dxa"/>
              <w:bottom w:w="60" w:type="dxa"/>
              <w:right w:w="80" w:type="dxa"/>
            </w:tcMar>
          </w:tcPr>
          <w:p>
            <w:pPr>
              <w:spacing w:after="40"/>
            </w:pPr>
            <w:r>
              <w:rPr>
                <w:sz w:val="16"/>
              </w:rPr>
              <w:t>Testbarkeit</w:t>
            </w:r>
          </w:p>
        </w:tc>
        <w:tc>
          <w:tcPr>
            <w:tcW w:type="dxa" w:w="4309"/>
            <w:vAlign w:val="top"/>
            <w:shd w:fill="F4F7F8"/>
            <w:tcMar>
              <w:top w:w="60" w:type="dxa"/>
              <w:left w:w="80" w:type="dxa"/>
              <w:bottom w:w="60" w:type="dxa"/>
              <w:right w:w="80" w:type="dxa"/>
            </w:tcMar>
          </w:tcPr>
          <w:p>
            <w:pPr>
              <w:spacing w:after="40"/>
            </w:pPr>
            <w:r>
              <w:rPr>
                <w:sz w:val="16"/>
              </w:rPr>
              <w:t>Ports/Adapter, Fake-Mailserver, isolierte Profile</w:t>
            </w:r>
          </w:p>
        </w:tc>
        <w:tc>
          <w:tcPr>
            <w:tcW w:type="dxa" w:w="3231"/>
            <w:vAlign w:val="top"/>
            <w:shd w:fill="F4F7F8"/>
            <w:tcMar>
              <w:top w:w="60" w:type="dxa"/>
              <w:left w:w="80" w:type="dxa"/>
              <w:bottom w:w="60" w:type="dxa"/>
              <w:right w:w="80" w:type="dxa"/>
            </w:tcMar>
          </w:tcPr>
          <w:p>
            <w:pPr>
              <w:spacing w:after="40"/>
            </w:pPr>
            <w:r>
              <w:rPr>
                <w:sz w:val="16"/>
              </w:rPr>
              <w:t>automatisierte Unit-/Integration-/Architekturtests</w:t>
            </w:r>
          </w:p>
        </w:tc>
      </w:tr>
      <w:tr>
        <w:trPr>
          <w:cantSplit/>
        </w:trPr>
        <w:tc>
          <w:tcPr>
            <w:tcW w:type="dxa" w:w="1814"/>
            <w:vAlign w:val="top"/>
            <w:tcMar>
              <w:top w:w="60" w:type="dxa"/>
              <w:left w:w="80" w:type="dxa"/>
              <w:bottom w:w="60" w:type="dxa"/>
              <w:right w:w="80" w:type="dxa"/>
            </w:tcMar>
          </w:tcPr>
          <w:p>
            <w:pPr>
              <w:spacing w:after="40"/>
            </w:pPr>
            <w:r>
              <w:rPr>
                <w:sz w:val="16"/>
              </w:rPr>
              <w:t>Portierbarkeit</w:t>
            </w:r>
          </w:p>
        </w:tc>
        <w:tc>
          <w:tcPr>
            <w:tcW w:type="dxa" w:w="4309"/>
            <w:vAlign w:val="top"/>
            <w:tcMar>
              <w:top w:w="60" w:type="dxa"/>
              <w:left w:w="80" w:type="dxa"/>
              <w:bottom w:w="60" w:type="dxa"/>
              <w:right w:w="80" w:type="dxa"/>
            </w:tcMar>
          </w:tcPr>
          <w:p>
            <w:pPr>
              <w:spacing w:after="40"/>
            </w:pPr>
            <w:r>
              <w:rPr>
                <w:sz w:val="16"/>
              </w:rPr>
              <w:t>kein WinForms außerhalb Presentation/Host</w:t>
            </w:r>
          </w:p>
        </w:tc>
        <w:tc>
          <w:tcPr>
            <w:tcW w:type="dxa" w:w="3231"/>
            <w:vAlign w:val="top"/>
            <w:tcMar>
              <w:top w:w="60" w:type="dxa"/>
              <w:left w:w="80" w:type="dxa"/>
              <w:bottom w:w="60" w:type="dxa"/>
              <w:right w:w="80" w:type="dxa"/>
            </w:tcMar>
          </w:tcPr>
          <w:p>
            <w:pPr>
              <w:spacing w:after="40"/>
            </w:pPr>
            <w:r>
              <w:rPr>
                <w:sz w:val="16"/>
              </w:rPr>
              <w:t>Referenz- und Namespace-Architekturtests</w:t>
            </w:r>
          </w:p>
        </w:tc>
      </w:tr>
      <w:tr>
        <w:trPr>
          <w:cantSplit/>
        </w:trPr>
        <w:tc>
          <w:tcPr>
            <w:tcW w:type="dxa" w:w="1814"/>
            <w:vAlign w:val="top"/>
            <w:shd w:fill="F4F7F8"/>
            <w:tcMar>
              <w:top w:w="60" w:type="dxa"/>
              <w:left w:w="80" w:type="dxa"/>
              <w:bottom w:w="60" w:type="dxa"/>
              <w:right w:w="80" w:type="dxa"/>
            </w:tcMar>
          </w:tcPr>
          <w:p>
            <w:pPr>
              <w:spacing w:after="40"/>
            </w:pPr>
            <w:r>
              <w:rPr>
                <w:sz w:val="16"/>
              </w:rPr>
              <w:t>Interoperabilität</w:t>
            </w:r>
          </w:p>
        </w:tc>
        <w:tc>
          <w:tcPr>
            <w:tcW w:type="dxa" w:w="4309"/>
            <w:vAlign w:val="top"/>
            <w:shd w:fill="F4F7F8"/>
            <w:tcMar>
              <w:top w:w="60" w:type="dxa"/>
              <w:left w:w="80" w:type="dxa"/>
              <w:bottom w:w="60" w:type="dxa"/>
              <w:right w:w="80" w:type="dxa"/>
            </w:tcMar>
          </w:tcPr>
          <w:p>
            <w:pPr>
              <w:spacing w:after="40"/>
            </w:pPr>
            <w:r>
              <w:rPr>
                <w:sz w:val="16"/>
              </w:rPr>
              <w:t>EML/MIME/POP3/SMTP/IMAP APPEND/SQLite</w:t>
            </w:r>
          </w:p>
        </w:tc>
        <w:tc>
          <w:tcPr>
            <w:tcW w:type="dxa" w:w="3231"/>
            <w:vAlign w:val="top"/>
            <w:shd w:fill="F4F7F8"/>
            <w:tcMar>
              <w:top w:w="60" w:type="dxa"/>
              <w:left w:w="80" w:type="dxa"/>
              <w:bottom w:w="60" w:type="dxa"/>
              <w:right w:w="80" w:type="dxa"/>
            </w:tcMar>
          </w:tcPr>
          <w:p>
            <w:pPr>
              <w:spacing w:after="40"/>
            </w:pPr>
            <w:r>
              <w:rPr>
                <w:sz w:val="16"/>
              </w:rPr>
              <w:t>Roundtrip- und kontrollierte Protokolltests</w:t>
            </w:r>
          </w:p>
        </w:tc>
      </w:tr>
      <w:tr>
        <w:trPr>
          <w:cantSplit/>
        </w:trPr>
        <w:tc>
          <w:tcPr>
            <w:tcW w:type="dxa" w:w="1814"/>
            <w:vAlign w:val="top"/>
            <w:tcMar>
              <w:top w:w="60" w:type="dxa"/>
              <w:left w:w="80" w:type="dxa"/>
              <w:bottom w:w="60" w:type="dxa"/>
              <w:right w:w="80" w:type="dxa"/>
            </w:tcMar>
          </w:tcPr>
          <w:p>
            <w:pPr>
              <w:spacing w:after="40"/>
            </w:pPr>
            <w:r>
              <w:rPr>
                <w:sz w:val="16"/>
              </w:rPr>
              <w:t>Dokumentation</w:t>
            </w:r>
          </w:p>
        </w:tc>
        <w:tc>
          <w:tcPr>
            <w:tcW w:type="dxa" w:w="4309"/>
            <w:vAlign w:val="top"/>
            <w:tcMar>
              <w:top w:w="60" w:type="dxa"/>
              <w:left w:w="80" w:type="dxa"/>
              <w:bottom w:w="60" w:type="dxa"/>
              <w:right w:w="80" w:type="dxa"/>
            </w:tcMar>
          </w:tcPr>
          <w:p>
            <w:pPr>
              <w:spacing w:after="40"/>
            </w:pPr>
            <w:r>
              <w:rPr>
                <w:sz w:val="16"/>
              </w:rPr>
              <w:t>Installations-, Entwickler-, Test-, Admin- und Restore-Dokumente</w:t>
            </w:r>
          </w:p>
        </w:tc>
        <w:tc>
          <w:tcPr>
            <w:tcW w:type="dxa" w:w="3231"/>
            <w:vAlign w:val="top"/>
            <w:tcMar>
              <w:top w:w="60" w:type="dxa"/>
              <w:left w:w="80" w:type="dxa"/>
              <w:bottom w:w="60" w:type="dxa"/>
              <w:right w:w="80" w:type="dxa"/>
            </w:tcMar>
          </w:tcPr>
          <w:p>
            <w:pPr>
              <w:spacing w:after="40"/>
            </w:pPr>
            <w:r>
              <w:rPr>
                <w:sz w:val="16"/>
              </w:rPr>
              <w:t>Release-Gate: Dokumente aktuell und gegen Version geprüft</w:t>
            </w:r>
          </w:p>
        </w:tc>
      </w:tr>
    </w:tbl>
    <w:p>
      <w:pPr>
        <w:keepLines/>
      </w:pPr>
    </w:p>
    <w:p>
      <w:pPr>
        <w:pStyle w:val="Heading2"/>
        <w:keepNext/>
        <w:keepLines/>
      </w:pPr>
      <w:r>
        <w:t>19.1 Performance-Budgets</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551"/>
            <w:shd w:fill="244A5A"/>
            <w:vAlign w:val="center"/>
            <w:tcMar>
              <w:top w:w="60" w:type="dxa"/>
              <w:left w:w="80" w:type="dxa"/>
              <w:bottom w:w="60" w:type="dxa"/>
              <w:right w:w="80" w:type="dxa"/>
            </w:tcMar>
          </w:tcPr>
          <w:p>
            <w:pPr>
              <w:jc w:val="center"/>
            </w:pPr>
            <w:r>
              <w:rPr>
                <w:b/>
                <w:color w:val="FFFFFF"/>
                <w:sz w:val="16"/>
              </w:rPr>
              <w:t>Vorgang</w:t>
            </w:r>
          </w:p>
        </w:tc>
        <w:tc>
          <w:tcPr>
            <w:tcW w:type="dxa" w:w="2948"/>
            <w:shd w:fill="244A5A"/>
            <w:vAlign w:val="center"/>
            <w:tcMar>
              <w:top w:w="60" w:type="dxa"/>
              <w:left w:w="80" w:type="dxa"/>
              <w:bottom w:w="60" w:type="dxa"/>
              <w:right w:w="80" w:type="dxa"/>
            </w:tcMar>
          </w:tcPr>
          <w:p>
            <w:pPr>
              <w:jc w:val="center"/>
            </w:pPr>
            <w:r>
              <w:rPr>
                <w:b/>
                <w:color w:val="FFFFFF"/>
                <w:sz w:val="16"/>
              </w:rPr>
              <w:t>Zielwert auf Referenzsystem</w:t>
            </w:r>
          </w:p>
        </w:tc>
        <w:tc>
          <w:tcPr>
            <w:tcW w:type="dxa" w:w="3855"/>
            <w:shd w:fill="244A5A"/>
            <w:vAlign w:val="center"/>
            <w:tcMar>
              <w:top w:w="60" w:type="dxa"/>
              <w:left w:w="80" w:type="dxa"/>
              <w:bottom w:w="60" w:type="dxa"/>
              <w:right w:w="80" w:type="dxa"/>
            </w:tcMar>
          </w:tcPr>
          <w:p>
            <w:pPr>
              <w:jc w:val="center"/>
            </w:pPr>
            <w:r>
              <w:rPr>
                <w:b/>
                <w:color w:val="FFFFFF"/>
                <w:sz w:val="16"/>
              </w:rPr>
              <w:t>Hinweis</w:t>
            </w:r>
          </w:p>
        </w:tc>
      </w:tr>
      <w:tr>
        <w:trPr>
          <w:cantSplit/>
        </w:trPr>
        <w:tc>
          <w:tcPr>
            <w:tcW w:type="dxa" w:w="2551"/>
            <w:vAlign w:val="top"/>
            <w:shd w:fill="F4F7F8"/>
            <w:tcMar>
              <w:top w:w="60" w:type="dxa"/>
              <w:left w:w="80" w:type="dxa"/>
              <w:bottom w:w="60" w:type="dxa"/>
              <w:right w:w="80" w:type="dxa"/>
            </w:tcMar>
          </w:tcPr>
          <w:p>
            <w:pPr>
              <w:spacing w:after="40"/>
            </w:pPr>
            <w:r>
              <w:rPr>
                <w:sz w:val="16"/>
              </w:rPr>
              <w:t>Start bis Hauptfenster</w:t>
            </w:r>
          </w:p>
        </w:tc>
        <w:tc>
          <w:tcPr>
            <w:tcW w:type="dxa" w:w="2948"/>
            <w:vAlign w:val="top"/>
            <w:shd w:fill="F4F7F8"/>
            <w:tcMar>
              <w:top w:w="60" w:type="dxa"/>
              <w:left w:w="80" w:type="dxa"/>
              <w:bottom w:w="60" w:type="dxa"/>
              <w:right w:w="80" w:type="dxa"/>
            </w:tcMar>
          </w:tcPr>
          <w:p>
            <w:pPr>
              <w:spacing w:after="40"/>
            </w:pPr>
            <w:r>
              <w:rPr>
                <w:sz w:val="16"/>
              </w:rPr>
              <w:t>&lt; 5 Sekunden ohne Migration/Recovery</w:t>
            </w:r>
          </w:p>
        </w:tc>
        <w:tc>
          <w:tcPr>
            <w:tcW w:type="dxa" w:w="3855"/>
            <w:vAlign w:val="top"/>
            <w:shd w:fill="F4F7F8"/>
            <w:tcMar>
              <w:top w:w="60" w:type="dxa"/>
              <w:left w:w="80" w:type="dxa"/>
              <w:bottom w:w="60" w:type="dxa"/>
              <w:right w:w="80" w:type="dxa"/>
            </w:tcMar>
          </w:tcPr>
          <w:p>
            <w:pPr>
              <w:spacing w:after="40"/>
            </w:pPr>
            <w:r>
              <w:rPr>
                <w:sz w:val="16"/>
              </w:rPr>
              <w:t>Hintergrundindizes verzögert laden.</w:t>
            </w:r>
          </w:p>
        </w:tc>
      </w:tr>
      <w:tr>
        <w:trPr>
          <w:cantSplit/>
        </w:trPr>
        <w:tc>
          <w:tcPr>
            <w:tcW w:type="dxa" w:w="2551"/>
            <w:vAlign w:val="top"/>
            <w:tcMar>
              <w:top w:w="60" w:type="dxa"/>
              <w:left w:w="80" w:type="dxa"/>
              <w:bottom w:w="60" w:type="dxa"/>
              <w:right w:w="80" w:type="dxa"/>
            </w:tcMar>
          </w:tcPr>
          <w:p>
            <w:pPr>
              <w:spacing w:after="40"/>
            </w:pPr>
            <w:r>
              <w:rPr>
                <w:sz w:val="16"/>
              </w:rPr>
              <w:t>Nachrichtenliste erste Seite</w:t>
            </w:r>
          </w:p>
        </w:tc>
        <w:tc>
          <w:tcPr>
            <w:tcW w:type="dxa" w:w="2948"/>
            <w:vAlign w:val="top"/>
            <w:tcMar>
              <w:top w:w="60" w:type="dxa"/>
              <w:left w:w="80" w:type="dxa"/>
              <w:bottom w:w="60" w:type="dxa"/>
              <w:right w:w="80" w:type="dxa"/>
            </w:tcMar>
          </w:tcPr>
          <w:p>
            <w:pPr>
              <w:spacing w:after="40"/>
            </w:pPr>
            <w:r>
              <w:rPr>
                <w:sz w:val="16"/>
              </w:rPr>
              <w:t>&lt; 1 Sekunde bei 100.000 Nachrichten</w:t>
            </w:r>
          </w:p>
        </w:tc>
        <w:tc>
          <w:tcPr>
            <w:tcW w:type="dxa" w:w="3855"/>
            <w:vAlign w:val="top"/>
            <w:tcMar>
              <w:top w:w="60" w:type="dxa"/>
              <w:left w:w="80" w:type="dxa"/>
              <w:bottom w:w="60" w:type="dxa"/>
              <w:right w:w="80" w:type="dxa"/>
            </w:tcMar>
          </w:tcPr>
          <w:p>
            <w:pPr>
              <w:spacing w:after="40"/>
            </w:pPr>
            <w:r>
              <w:rPr>
                <w:sz w:val="16"/>
              </w:rPr>
              <w:t>nur Summaryfelder, Paging.</w:t>
            </w:r>
          </w:p>
        </w:tc>
      </w:tr>
      <w:tr>
        <w:trPr>
          <w:cantSplit/>
        </w:trPr>
        <w:tc>
          <w:tcPr>
            <w:tcW w:type="dxa" w:w="2551"/>
            <w:vAlign w:val="top"/>
            <w:shd w:fill="F4F7F8"/>
            <w:tcMar>
              <w:top w:w="60" w:type="dxa"/>
              <w:left w:w="80" w:type="dxa"/>
              <w:bottom w:w="60" w:type="dxa"/>
              <w:right w:w="80" w:type="dxa"/>
            </w:tcMar>
          </w:tcPr>
          <w:p>
            <w:pPr>
              <w:spacing w:after="40"/>
            </w:pPr>
            <w:r>
              <w:rPr>
                <w:sz w:val="16"/>
              </w:rPr>
              <w:t>Lokale Standardsuche</w:t>
            </w:r>
          </w:p>
        </w:tc>
        <w:tc>
          <w:tcPr>
            <w:tcW w:type="dxa" w:w="2948"/>
            <w:vAlign w:val="top"/>
            <w:shd w:fill="F4F7F8"/>
            <w:tcMar>
              <w:top w:w="60" w:type="dxa"/>
              <w:left w:w="80" w:type="dxa"/>
              <w:bottom w:w="60" w:type="dxa"/>
              <w:right w:w="80" w:type="dxa"/>
            </w:tcMar>
          </w:tcPr>
          <w:p>
            <w:pPr>
              <w:spacing w:after="40"/>
            </w:pPr>
            <w:r>
              <w:rPr>
                <w:sz w:val="16"/>
              </w:rPr>
              <w:t>&lt; 2 Sekunden für typische Query</w:t>
            </w:r>
          </w:p>
        </w:tc>
        <w:tc>
          <w:tcPr>
            <w:tcW w:type="dxa" w:w="3855"/>
            <w:vAlign w:val="top"/>
            <w:shd w:fill="F4F7F8"/>
            <w:tcMar>
              <w:top w:w="60" w:type="dxa"/>
              <w:left w:w="80" w:type="dxa"/>
              <w:bottom w:w="60" w:type="dxa"/>
              <w:right w:w="80" w:type="dxa"/>
            </w:tcMar>
          </w:tcPr>
          <w:p>
            <w:pPr>
              <w:spacing w:after="40"/>
            </w:pPr>
            <w:r>
              <w:rPr>
                <w:sz w:val="16"/>
              </w:rPr>
              <w:t>FTS5 warm; komplexe Filter dürfen progressiv laden.</w:t>
            </w:r>
          </w:p>
        </w:tc>
      </w:tr>
      <w:tr>
        <w:trPr>
          <w:cantSplit/>
        </w:trPr>
        <w:tc>
          <w:tcPr>
            <w:tcW w:type="dxa" w:w="2551"/>
            <w:vAlign w:val="top"/>
            <w:tcMar>
              <w:top w:w="60" w:type="dxa"/>
              <w:left w:w="80" w:type="dxa"/>
              <w:bottom w:w="60" w:type="dxa"/>
              <w:right w:w="80" w:type="dxa"/>
            </w:tcMar>
          </w:tcPr>
          <w:p>
            <w:pPr>
              <w:spacing w:after="40"/>
            </w:pPr>
            <w:r>
              <w:rPr>
                <w:sz w:val="16"/>
              </w:rPr>
              <w:t>Öffnen einer normalen Mail</w:t>
            </w:r>
          </w:p>
        </w:tc>
        <w:tc>
          <w:tcPr>
            <w:tcW w:type="dxa" w:w="2948"/>
            <w:vAlign w:val="top"/>
            <w:tcMar>
              <w:top w:w="60" w:type="dxa"/>
              <w:left w:w="80" w:type="dxa"/>
              <w:bottom w:w="60" w:type="dxa"/>
              <w:right w:w="80" w:type="dxa"/>
            </w:tcMar>
          </w:tcPr>
          <w:p>
            <w:pPr>
              <w:spacing w:after="40"/>
            </w:pPr>
            <w:r>
              <w:rPr>
                <w:sz w:val="16"/>
              </w:rPr>
              <w:t>&lt; 1 Sekunde ohne großen Attachment-Download</w:t>
            </w:r>
          </w:p>
        </w:tc>
        <w:tc>
          <w:tcPr>
            <w:tcW w:type="dxa" w:w="3855"/>
            <w:vAlign w:val="top"/>
            <w:tcMar>
              <w:top w:w="60" w:type="dxa"/>
              <w:left w:w="80" w:type="dxa"/>
              <w:bottom w:w="60" w:type="dxa"/>
              <w:right w:w="80" w:type="dxa"/>
            </w:tcMar>
          </w:tcPr>
          <w:p>
            <w:pPr>
              <w:spacing w:after="40"/>
            </w:pPr>
            <w:r>
              <w:rPr>
                <w:sz w:val="16"/>
              </w:rPr>
              <w:t>Rohdatei lokal; Analyse ggf. nachladen.</w:t>
            </w:r>
          </w:p>
        </w:tc>
      </w:tr>
      <w:tr>
        <w:trPr>
          <w:cantSplit/>
        </w:trPr>
        <w:tc>
          <w:tcPr>
            <w:tcW w:type="dxa" w:w="2551"/>
            <w:vAlign w:val="top"/>
            <w:shd w:fill="F4F7F8"/>
            <w:tcMar>
              <w:top w:w="60" w:type="dxa"/>
              <w:left w:w="80" w:type="dxa"/>
              <w:bottom w:w="60" w:type="dxa"/>
              <w:right w:w="80" w:type="dxa"/>
            </w:tcMar>
          </w:tcPr>
          <w:p>
            <w:pPr>
              <w:spacing w:after="40"/>
            </w:pPr>
            <w:r>
              <w:rPr>
                <w:sz w:val="16"/>
              </w:rPr>
              <w:t>UI-Reaktion</w:t>
            </w:r>
          </w:p>
        </w:tc>
        <w:tc>
          <w:tcPr>
            <w:tcW w:type="dxa" w:w="2948"/>
            <w:vAlign w:val="top"/>
            <w:shd w:fill="F4F7F8"/>
            <w:tcMar>
              <w:top w:w="60" w:type="dxa"/>
              <w:left w:w="80" w:type="dxa"/>
              <w:bottom w:w="60" w:type="dxa"/>
              <w:right w:w="80" w:type="dxa"/>
            </w:tcMar>
          </w:tcPr>
          <w:p>
            <w:pPr>
              <w:spacing w:after="40"/>
            </w:pPr>
            <w:r>
              <w:rPr>
                <w:sz w:val="16"/>
              </w:rPr>
              <w:t>keine Blockade &gt; 200 ms auf UI-Thread</w:t>
            </w:r>
          </w:p>
        </w:tc>
        <w:tc>
          <w:tcPr>
            <w:tcW w:type="dxa" w:w="3855"/>
            <w:vAlign w:val="top"/>
            <w:shd w:fill="F4F7F8"/>
            <w:tcMar>
              <w:top w:w="60" w:type="dxa"/>
              <w:left w:w="80" w:type="dxa"/>
              <w:bottom w:w="60" w:type="dxa"/>
              <w:right w:w="80" w:type="dxa"/>
            </w:tcMar>
          </w:tcPr>
          <w:p>
            <w:pPr>
              <w:spacing w:after="40"/>
            </w:pPr>
            <w:r>
              <w:rPr>
                <w:sz w:val="16"/>
              </w:rPr>
              <w:t>I/O stets async; CPU-Arbeit im Worker.</w:t>
            </w:r>
          </w:p>
        </w:tc>
      </w:tr>
      <w:tr>
        <w:trPr>
          <w:cantSplit/>
        </w:trPr>
        <w:tc>
          <w:tcPr>
            <w:tcW w:type="dxa" w:w="2551"/>
            <w:vAlign w:val="top"/>
            <w:tcMar>
              <w:top w:w="60" w:type="dxa"/>
              <w:left w:w="80" w:type="dxa"/>
              <w:bottom w:w="60" w:type="dxa"/>
              <w:right w:w="80" w:type="dxa"/>
            </w:tcMar>
          </w:tcPr>
          <w:p>
            <w:pPr>
              <w:spacing w:after="40"/>
            </w:pPr>
            <w:r>
              <w:rPr>
                <w:sz w:val="16"/>
              </w:rPr>
              <w:t>Speicher</w:t>
            </w:r>
          </w:p>
        </w:tc>
        <w:tc>
          <w:tcPr>
            <w:tcW w:type="dxa" w:w="2948"/>
            <w:vAlign w:val="top"/>
            <w:tcMar>
              <w:top w:w="60" w:type="dxa"/>
              <w:left w:w="80" w:type="dxa"/>
              <w:bottom w:w="60" w:type="dxa"/>
              <w:right w:w="80" w:type="dxa"/>
            </w:tcMar>
          </w:tcPr>
          <w:p>
            <w:pPr>
              <w:spacing w:after="40"/>
            </w:pPr>
            <w:r>
              <w:rPr>
                <w:sz w:val="16"/>
              </w:rPr>
              <w:t>kein vollständiges Laden großer Mailbox oder aller Bodies</w:t>
            </w:r>
          </w:p>
        </w:tc>
        <w:tc>
          <w:tcPr>
            <w:tcW w:type="dxa" w:w="3855"/>
            <w:vAlign w:val="top"/>
            <w:tcMar>
              <w:top w:w="60" w:type="dxa"/>
              <w:left w:w="80" w:type="dxa"/>
              <w:bottom w:w="60" w:type="dxa"/>
              <w:right w:w="80" w:type="dxa"/>
            </w:tcMar>
          </w:tcPr>
          <w:p>
            <w:pPr>
              <w:spacing w:after="40"/>
            </w:pPr>
            <w:r>
              <w:rPr>
                <w:sz w:val="16"/>
              </w:rPr>
              <w:t>streaming, paging, bounded caches.</w:t>
            </w:r>
          </w:p>
        </w:tc>
      </w:tr>
    </w:tbl>
    <w:p>
      <w:pPr>
        <w:keepLines/>
      </w:pP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F4F7F8"/>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Referenzsystem</w:t>
            </w:r>
            <w:r>
              <w:br/>
              <w:t>Die endgültigen Hardwaredaten des Abnahmesystems werden vor Performance-Abnahme festgeschrieben. Zielwerte sind keine Garantie für jeden Rechner, sondern ein reproduzierbares Qualitätsbudget.</w:t>
            </w:r>
          </w:p>
        </w:tc>
      </w:tr>
    </w:tbl>
    <w:p>
      <w:pPr>
        <w:keepLines/>
      </w:pPr>
    </w:p>
    <w:p>
      <w:pPr>
        <w:pStyle w:val="Heading1"/>
        <w:keepNext/>
        <w:keepLines/>
      </w:pPr>
      <w:r>
        <w:t>20. Teststrategie und Abnahme</w:t>
      </w:r>
    </w:p>
    <w:p>
      <w:pPr>
        <w:pStyle w:val="Heading2"/>
        <w:keepNext/>
        <w:keepLines/>
      </w:pPr>
      <w:r>
        <w:t>20.1 Testpyramide</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814"/>
            <w:shd w:fill="244A5A"/>
            <w:vAlign w:val="center"/>
            <w:tcMar>
              <w:top w:w="60" w:type="dxa"/>
              <w:left w:w="80" w:type="dxa"/>
              <w:bottom w:w="60" w:type="dxa"/>
              <w:right w:w="80" w:type="dxa"/>
            </w:tcMar>
          </w:tcPr>
          <w:p>
            <w:pPr>
              <w:jc w:val="center"/>
            </w:pPr>
            <w:r>
              <w:rPr>
                <w:b/>
                <w:color w:val="FFFFFF"/>
                <w:sz w:val="16"/>
              </w:rPr>
              <w:t>Ebene</w:t>
            </w:r>
          </w:p>
        </w:tc>
        <w:tc>
          <w:tcPr>
            <w:tcW w:type="dxa" w:w="4535"/>
            <w:shd w:fill="244A5A"/>
            <w:vAlign w:val="center"/>
            <w:tcMar>
              <w:top w:w="60" w:type="dxa"/>
              <w:left w:w="80" w:type="dxa"/>
              <w:bottom w:w="60" w:type="dxa"/>
              <w:right w:w="80" w:type="dxa"/>
            </w:tcMar>
          </w:tcPr>
          <w:p>
            <w:pPr>
              <w:jc w:val="center"/>
            </w:pPr>
            <w:r>
              <w:rPr>
                <w:b/>
                <w:color w:val="FFFFFF"/>
                <w:sz w:val="16"/>
              </w:rPr>
              <w:t>Inhalt</w:t>
            </w:r>
          </w:p>
        </w:tc>
        <w:tc>
          <w:tcPr>
            <w:tcW w:type="dxa" w:w="3005"/>
            <w:shd w:fill="244A5A"/>
            <w:vAlign w:val="center"/>
            <w:tcMar>
              <w:top w:w="60" w:type="dxa"/>
              <w:left w:w="80" w:type="dxa"/>
              <w:bottom w:w="60" w:type="dxa"/>
              <w:right w:w="80" w:type="dxa"/>
            </w:tcMar>
          </w:tcPr>
          <w:p>
            <w:pPr>
              <w:jc w:val="center"/>
            </w:pPr>
            <w:r>
              <w:rPr>
                <w:b/>
                <w:color w:val="FFFFFF"/>
                <w:sz w:val="16"/>
              </w:rPr>
              <w:t>Ausführung</w:t>
            </w:r>
          </w:p>
        </w:tc>
      </w:tr>
      <w:tr>
        <w:trPr>
          <w:cantSplit/>
        </w:trPr>
        <w:tc>
          <w:tcPr>
            <w:tcW w:type="dxa" w:w="1814"/>
            <w:vAlign w:val="top"/>
            <w:shd w:fill="F4F7F8"/>
            <w:tcMar>
              <w:top w:w="60" w:type="dxa"/>
              <w:left w:w="80" w:type="dxa"/>
              <w:bottom w:w="60" w:type="dxa"/>
              <w:right w:w="80" w:type="dxa"/>
            </w:tcMar>
          </w:tcPr>
          <w:p>
            <w:pPr>
              <w:spacing w:after="40"/>
            </w:pPr>
            <w:r>
              <w:rPr>
                <w:sz w:val="16"/>
              </w:rPr>
              <w:t>Unit</w:t>
            </w:r>
          </w:p>
        </w:tc>
        <w:tc>
          <w:tcPr>
            <w:tcW w:type="dxa" w:w="4535"/>
            <w:vAlign w:val="top"/>
            <w:shd w:fill="F4F7F8"/>
            <w:tcMar>
              <w:top w:w="60" w:type="dxa"/>
              <w:left w:w="80" w:type="dxa"/>
              <w:bottom w:w="60" w:type="dxa"/>
              <w:right w:w="80" w:type="dxa"/>
            </w:tcMar>
          </w:tcPr>
          <w:p>
            <w:pPr>
              <w:spacing w:after="40"/>
            </w:pPr>
            <w:r>
              <w:rPr>
                <w:sz w:val="16"/>
              </w:rPr>
              <w:t>Domainregeln, Validatoren, Aggregatoren, URL-/IDN-Analyse, ViewModels</w:t>
            </w:r>
          </w:p>
        </w:tc>
        <w:tc>
          <w:tcPr>
            <w:tcW w:type="dxa" w:w="3005"/>
            <w:vAlign w:val="top"/>
            <w:shd w:fill="F4F7F8"/>
            <w:tcMar>
              <w:top w:w="60" w:type="dxa"/>
              <w:left w:w="80" w:type="dxa"/>
              <w:bottom w:w="60" w:type="dxa"/>
              <w:right w:w="80" w:type="dxa"/>
            </w:tcMar>
          </w:tcPr>
          <w:p>
            <w:pPr>
              <w:spacing w:after="40"/>
            </w:pPr>
            <w:r>
              <w:rPr>
                <w:sz w:val="16"/>
              </w:rPr>
              <w:t>bei jedem Build</w:t>
            </w:r>
          </w:p>
        </w:tc>
      </w:tr>
      <w:tr>
        <w:trPr>
          <w:cantSplit/>
        </w:trPr>
        <w:tc>
          <w:tcPr>
            <w:tcW w:type="dxa" w:w="1814"/>
            <w:vAlign w:val="top"/>
            <w:tcMar>
              <w:top w:w="60" w:type="dxa"/>
              <w:left w:w="80" w:type="dxa"/>
              <w:bottom w:w="60" w:type="dxa"/>
              <w:right w:w="80" w:type="dxa"/>
            </w:tcMar>
          </w:tcPr>
          <w:p>
            <w:pPr>
              <w:spacing w:after="40"/>
            </w:pPr>
            <w:r>
              <w:rPr>
                <w:sz w:val="16"/>
              </w:rPr>
              <w:t>Component</w:t>
            </w:r>
          </w:p>
        </w:tc>
        <w:tc>
          <w:tcPr>
            <w:tcW w:type="dxa" w:w="4535"/>
            <w:vAlign w:val="top"/>
            <w:tcMar>
              <w:top w:w="60" w:type="dxa"/>
              <w:left w:w="80" w:type="dxa"/>
              <w:bottom w:w="60" w:type="dxa"/>
              <w:right w:w="80" w:type="dxa"/>
            </w:tcMar>
          </w:tcPr>
          <w:p>
            <w:pPr>
              <w:spacing w:after="40"/>
            </w:pPr>
            <w:r>
              <w:rPr>
                <w:sz w:val="16"/>
              </w:rPr>
              <w:t>Parser, Analyzer, Repository gegen temporäre SQLite-DB, Raw Store</w:t>
            </w:r>
          </w:p>
        </w:tc>
        <w:tc>
          <w:tcPr>
            <w:tcW w:type="dxa" w:w="3005"/>
            <w:vAlign w:val="top"/>
            <w:tcMar>
              <w:top w:w="60" w:type="dxa"/>
              <w:left w:w="80" w:type="dxa"/>
              <w:bottom w:w="60" w:type="dxa"/>
              <w:right w:w="80" w:type="dxa"/>
            </w:tcMar>
          </w:tcPr>
          <w:p>
            <w:pPr>
              <w:spacing w:after="40"/>
            </w:pPr>
            <w:r>
              <w:rPr>
                <w:sz w:val="16"/>
              </w:rPr>
              <w:t>bei jedem Pull Request</w:t>
            </w:r>
          </w:p>
        </w:tc>
      </w:tr>
      <w:tr>
        <w:trPr>
          <w:cantSplit/>
        </w:trPr>
        <w:tc>
          <w:tcPr>
            <w:tcW w:type="dxa" w:w="1814"/>
            <w:vAlign w:val="top"/>
            <w:shd w:fill="F4F7F8"/>
            <w:tcMar>
              <w:top w:w="60" w:type="dxa"/>
              <w:left w:w="80" w:type="dxa"/>
              <w:bottom w:w="60" w:type="dxa"/>
              <w:right w:w="80" w:type="dxa"/>
            </w:tcMar>
          </w:tcPr>
          <w:p>
            <w:pPr>
              <w:spacing w:after="40"/>
            </w:pPr>
            <w:r>
              <w:rPr>
                <w:sz w:val="16"/>
              </w:rPr>
              <w:t>Integration</w:t>
            </w:r>
          </w:p>
        </w:tc>
        <w:tc>
          <w:tcPr>
            <w:tcW w:type="dxa" w:w="4535"/>
            <w:vAlign w:val="top"/>
            <w:shd w:fill="F4F7F8"/>
            <w:tcMar>
              <w:top w:w="60" w:type="dxa"/>
              <w:left w:w="80" w:type="dxa"/>
              <w:bottom w:w="60" w:type="dxa"/>
              <w:right w:w="80" w:type="dxa"/>
            </w:tcMar>
          </w:tcPr>
          <w:p>
            <w:pPr>
              <w:spacing w:after="40"/>
            </w:pPr>
            <w:r>
              <w:rPr>
                <w:sz w:val="16"/>
              </w:rPr>
              <w:t>Application Use Cases mit realen Adaptern/Fakes, kontrollierte Protokollserver</w:t>
            </w:r>
          </w:p>
        </w:tc>
        <w:tc>
          <w:tcPr>
            <w:tcW w:type="dxa" w:w="3005"/>
            <w:vAlign w:val="top"/>
            <w:shd w:fill="F4F7F8"/>
            <w:tcMar>
              <w:top w:w="60" w:type="dxa"/>
              <w:left w:w="80" w:type="dxa"/>
              <w:bottom w:w="60" w:type="dxa"/>
              <w:right w:w="80" w:type="dxa"/>
            </w:tcMar>
          </w:tcPr>
          <w:p>
            <w:pPr>
              <w:spacing w:after="40"/>
            </w:pPr>
            <w:r>
              <w:rPr>
                <w:sz w:val="16"/>
              </w:rPr>
              <w:t>CI und vor Release</w:t>
            </w:r>
          </w:p>
        </w:tc>
      </w:tr>
      <w:tr>
        <w:trPr>
          <w:cantSplit/>
        </w:trPr>
        <w:tc>
          <w:tcPr>
            <w:tcW w:type="dxa" w:w="1814"/>
            <w:vAlign w:val="top"/>
            <w:tcMar>
              <w:top w:w="60" w:type="dxa"/>
              <w:left w:w="80" w:type="dxa"/>
              <w:bottom w:w="60" w:type="dxa"/>
              <w:right w:w="80" w:type="dxa"/>
            </w:tcMar>
          </w:tcPr>
          <w:p>
            <w:pPr>
              <w:spacing w:after="40"/>
            </w:pPr>
            <w:r>
              <w:rPr>
                <w:sz w:val="16"/>
              </w:rPr>
              <w:t>Architecture</w:t>
            </w:r>
          </w:p>
        </w:tc>
        <w:tc>
          <w:tcPr>
            <w:tcW w:type="dxa" w:w="4535"/>
            <w:vAlign w:val="top"/>
            <w:tcMar>
              <w:top w:w="60" w:type="dxa"/>
              <w:left w:w="80" w:type="dxa"/>
              <w:bottom w:w="60" w:type="dxa"/>
              <w:right w:w="80" w:type="dxa"/>
            </w:tcMar>
          </w:tcPr>
          <w:p>
            <w:pPr>
              <w:spacing w:after="40"/>
            </w:pPr>
            <w:r>
              <w:rPr>
                <w:sz w:val="16"/>
              </w:rPr>
              <w:t>verbotene Referenzen, Namespaces, Package-Abhängigkeiten</w:t>
            </w:r>
          </w:p>
        </w:tc>
        <w:tc>
          <w:tcPr>
            <w:tcW w:type="dxa" w:w="3005"/>
            <w:vAlign w:val="top"/>
            <w:tcMar>
              <w:top w:w="60" w:type="dxa"/>
              <w:left w:w="80" w:type="dxa"/>
              <w:bottom w:w="60" w:type="dxa"/>
              <w:right w:w="80" w:type="dxa"/>
            </w:tcMar>
          </w:tcPr>
          <w:p>
            <w:pPr>
              <w:spacing w:after="40"/>
            </w:pPr>
            <w:r>
              <w:rPr>
                <w:sz w:val="16"/>
              </w:rPr>
              <w:t>bei jedem Build</w:t>
            </w:r>
          </w:p>
        </w:tc>
      </w:tr>
      <w:tr>
        <w:trPr>
          <w:cantSplit/>
        </w:trPr>
        <w:tc>
          <w:tcPr>
            <w:tcW w:type="dxa" w:w="1814"/>
            <w:vAlign w:val="top"/>
            <w:shd w:fill="F4F7F8"/>
            <w:tcMar>
              <w:top w:w="60" w:type="dxa"/>
              <w:left w:w="80" w:type="dxa"/>
              <w:bottom w:w="60" w:type="dxa"/>
              <w:right w:w="80" w:type="dxa"/>
            </w:tcMar>
          </w:tcPr>
          <w:p>
            <w:pPr>
              <w:spacing w:after="40"/>
            </w:pPr>
            <w:r>
              <w:rPr>
                <w:sz w:val="16"/>
              </w:rPr>
              <w:t>Security</w:t>
            </w:r>
          </w:p>
        </w:tc>
        <w:tc>
          <w:tcPr>
            <w:tcW w:type="dxa" w:w="4535"/>
            <w:vAlign w:val="top"/>
            <w:shd w:fill="F4F7F8"/>
            <w:tcMar>
              <w:top w:w="60" w:type="dxa"/>
              <w:left w:w="80" w:type="dxa"/>
              <w:bottom w:w="60" w:type="dxa"/>
              <w:right w:w="80" w:type="dxa"/>
            </w:tcMar>
          </w:tcPr>
          <w:p>
            <w:pPr>
              <w:spacing w:after="40"/>
            </w:pPr>
            <w:r>
              <w:rPr>
                <w:sz w:val="16"/>
              </w:rPr>
              <w:t>HTML-/URL-Fixtures, Secret-Scan, Pfad-/Dateinametests</w:t>
            </w:r>
          </w:p>
        </w:tc>
        <w:tc>
          <w:tcPr>
            <w:tcW w:type="dxa" w:w="3005"/>
            <w:vAlign w:val="top"/>
            <w:shd w:fill="F4F7F8"/>
            <w:tcMar>
              <w:top w:w="60" w:type="dxa"/>
              <w:left w:w="80" w:type="dxa"/>
              <w:bottom w:w="60" w:type="dxa"/>
              <w:right w:w="80" w:type="dxa"/>
            </w:tcMar>
          </w:tcPr>
          <w:p>
            <w:pPr>
              <w:spacing w:after="40"/>
            </w:pPr>
            <w:r>
              <w:rPr>
                <w:sz w:val="16"/>
              </w:rPr>
              <w:t>CI und Release</w:t>
            </w:r>
          </w:p>
        </w:tc>
      </w:tr>
      <w:tr>
        <w:trPr>
          <w:cantSplit/>
        </w:trPr>
        <w:tc>
          <w:tcPr>
            <w:tcW w:type="dxa" w:w="1814"/>
            <w:vAlign w:val="top"/>
            <w:tcMar>
              <w:top w:w="60" w:type="dxa"/>
              <w:left w:w="80" w:type="dxa"/>
              <w:bottom w:w="60" w:type="dxa"/>
              <w:right w:w="80" w:type="dxa"/>
            </w:tcMar>
          </w:tcPr>
          <w:p>
            <w:pPr>
              <w:spacing w:after="40"/>
            </w:pPr>
            <w:r>
              <w:rPr>
                <w:sz w:val="16"/>
              </w:rPr>
              <w:t>Performance</w:t>
            </w:r>
          </w:p>
        </w:tc>
        <w:tc>
          <w:tcPr>
            <w:tcW w:type="dxa" w:w="4535"/>
            <w:vAlign w:val="top"/>
            <w:tcMar>
              <w:top w:w="60" w:type="dxa"/>
              <w:left w:w="80" w:type="dxa"/>
              <w:bottom w:w="60" w:type="dxa"/>
              <w:right w:w="80" w:type="dxa"/>
            </w:tcMar>
          </w:tcPr>
          <w:p>
            <w:pPr>
              <w:spacing w:after="40"/>
            </w:pPr>
            <w:r>
              <w:rPr>
                <w:sz w:val="16"/>
              </w:rPr>
              <w:t>100k-Datensatz, Streaming großer EMLs, Suchindex</w:t>
            </w:r>
          </w:p>
        </w:tc>
        <w:tc>
          <w:tcPr>
            <w:tcW w:type="dxa" w:w="3005"/>
            <w:vAlign w:val="top"/>
            <w:tcMar>
              <w:top w:w="60" w:type="dxa"/>
              <w:left w:w="80" w:type="dxa"/>
              <w:bottom w:w="60" w:type="dxa"/>
              <w:right w:w="80" w:type="dxa"/>
            </w:tcMar>
          </w:tcPr>
          <w:p>
            <w:pPr>
              <w:spacing w:after="40"/>
            </w:pPr>
            <w:r>
              <w:rPr>
                <w:sz w:val="16"/>
              </w:rPr>
              <w:t>Nightly/Release Candidate</w:t>
            </w:r>
          </w:p>
        </w:tc>
      </w:tr>
      <w:tr>
        <w:trPr>
          <w:cantSplit/>
        </w:trPr>
        <w:tc>
          <w:tcPr>
            <w:tcW w:type="dxa" w:w="1814"/>
            <w:vAlign w:val="top"/>
            <w:shd w:fill="F4F7F8"/>
            <w:tcMar>
              <w:top w:w="60" w:type="dxa"/>
              <w:left w:w="80" w:type="dxa"/>
              <w:bottom w:w="60" w:type="dxa"/>
              <w:right w:w="80" w:type="dxa"/>
            </w:tcMar>
          </w:tcPr>
          <w:p>
            <w:pPr>
              <w:spacing w:after="40"/>
            </w:pPr>
            <w:r>
              <w:rPr>
                <w:sz w:val="16"/>
              </w:rPr>
              <w:t>UI Smoke</w:t>
            </w:r>
          </w:p>
        </w:tc>
        <w:tc>
          <w:tcPr>
            <w:tcW w:type="dxa" w:w="4535"/>
            <w:vAlign w:val="top"/>
            <w:shd w:fill="F4F7F8"/>
            <w:tcMar>
              <w:top w:w="60" w:type="dxa"/>
              <w:left w:w="80" w:type="dxa"/>
              <w:bottom w:w="60" w:type="dxa"/>
              <w:right w:w="80" w:type="dxa"/>
            </w:tcMar>
          </w:tcPr>
          <w:p>
            <w:pPr>
              <w:spacing w:after="40"/>
            </w:pPr>
            <w:r>
              <w:rPr>
                <w:sz w:val="16"/>
              </w:rPr>
              <w:t>Start, Navigation, Tastatur, 100/150 % DPI</w:t>
            </w:r>
          </w:p>
        </w:tc>
        <w:tc>
          <w:tcPr>
            <w:tcW w:type="dxa" w:w="3005"/>
            <w:vAlign w:val="top"/>
            <w:shd w:fill="F4F7F8"/>
            <w:tcMar>
              <w:top w:w="60" w:type="dxa"/>
              <w:left w:w="80" w:type="dxa"/>
              <w:bottom w:w="60" w:type="dxa"/>
              <w:right w:w="80" w:type="dxa"/>
            </w:tcMar>
          </w:tcPr>
          <w:p>
            <w:pPr>
              <w:spacing w:after="40"/>
            </w:pPr>
            <w:r>
              <w:rPr>
                <w:sz w:val="16"/>
              </w:rPr>
              <w:t>Release Candidate</w:t>
            </w:r>
          </w:p>
        </w:tc>
      </w:tr>
      <w:tr>
        <w:trPr>
          <w:cantSplit/>
        </w:trPr>
        <w:tc>
          <w:tcPr>
            <w:tcW w:type="dxa" w:w="1814"/>
            <w:vAlign w:val="top"/>
            <w:tcMar>
              <w:top w:w="60" w:type="dxa"/>
              <w:left w:w="80" w:type="dxa"/>
              <w:bottom w:w="60" w:type="dxa"/>
              <w:right w:w="80" w:type="dxa"/>
            </w:tcMar>
          </w:tcPr>
          <w:p>
            <w:pPr>
              <w:spacing w:after="40"/>
            </w:pPr>
            <w:r>
              <w:rPr>
                <w:sz w:val="16"/>
              </w:rPr>
              <w:t>Acceptance</w:t>
            </w:r>
          </w:p>
        </w:tc>
        <w:tc>
          <w:tcPr>
            <w:tcW w:type="dxa" w:w="4535"/>
            <w:vAlign w:val="top"/>
            <w:tcMar>
              <w:top w:w="60" w:type="dxa"/>
              <w:left w:w="80" w:type="dxa"/>
              <w:bottom w:w="60" w:type="dxa"/>
              <w:right w:w="80" w:type="dxa"/>
            </w:tcMar>
          </w:tcPr>
          <w:p>
            <w:pPr>
              <w:spacing w:after="40"/>
            </w:pPr>
            <w:r>
              <w:rPr>
                <w:sz w:val="16"/>
              </w:rPr>
              <w:t>AT-001 bis AT-017</w:t>
            </w:r>
          </w:p>
        </w:tc>
        <w:tc>
          <w:tcPr>
            <w:tcW w:type="dxa" w:w="3005"/>
            <w:vAlign w:val="top"/>
            <w:tcMar>
              <w:top w:w="60" w:type="dxa"/>
              <w:left w:w="80" w:type="dxa"/>
              <w:bottom w:w="60" w:type="dxa"/>
              <w:right w:w="80" w:type="dxa"/>
            </w:tcMar>
          </w:tcPr>
          <w:p>
            <w:pPr>
              <w:spacing w:after="40"/>
            </w:pPr>
            <w:r>
              <w:rPr>
                <w:sz w:val="16"/>
              </w:rPr>
              <w:t>formale Release-Abnahme</w:t>
            </w:r>
          </w:p>
        </w:tc>
      </w:tr>
    </w:tbl>
    <w:p>
      <w:pPr>
        <w:keepLines/>
      </w:pPr>
    </w:p>
    <w:p>
      <w:pPr>
        <w:pStyle w:val="Heading2"/>
        <w:keepNext/>
        <w:keepLines/>
      </w:pPr>
      <w:r>
        <w:t>20.2 Testserver und Testdaten</w:t>
      </w:r>
    </w:p>
    <w:p>
      <w:pPr>
        <w:pStyle w:val="ListBullet"/>
        <w:keepLines/>
      </w:pPr>
      <w:r>
        <w:t>Keine automatisierten Tests verwenden produktive GMX-/IONOS-Postfächer.</w:t>
      </w:r>
    </w:p>
    <w:p>
      <w:pPr>
        <w:pStyle w:val="ListBullet"/>
        <w:keepLines/>
      </w:pPr>
      <w:r>
        <w:t>POP3/SMTP/IMAP werden über kontrollierte lokale Testserver, Container oder deterministische Fake-Adapter geprüft.</w:t>
      </w:r>
    </w:p>
    <w:p>
      <w:pPr>
        <w:pStyle w:val="ListBullet"/>
        <w:keepLines/>
      </w:pPr>
      <w:r>
        <w:t>Die EML-Fixture-Sammlung enthält Plaintext, HTML, Multipart, defekte Encodings, Inline-CID, große Attachments, Linkmismatch, IDN/Punycode, Authentication-Results und riskante Dateinamen.</w:t>
      </w:r>
    </w:p>
    <w:p>
      <w:pPr>
        <w:pStyle w:val="ListBullet"/>
        <w:keepLines/>
      </w:pPr>
      <w:r>
        <w:t>Jede Sicherheitsregel erhält mindestens einen positiven, einen negativen und einen legitimen Ausnahmefall.</w:t>
      </w:r>
    </w:p>
    <w:p>
      <w:pPr>
        <w:pStyle w:val="ListBullet"/>
        <w:keepLines/>
      </w:pPr>
      <w:r>
        <w:t>Testmails enthalten ausschließlich synthetische, nicht personenbezogene Inhalte.</w:t>
      </w:r>
    </w:p>
    <w:p>
      <w:pPr>
        <w:pStyle w:val="Heading2"/>
        <w:keepNext/>
        <w:keepLines/>
      </w:pPr>
      <w:r>
        <w:t>20.3 Abnahmeszenarien</w:t>
      </w: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1247"/>
            <w:shd w:fill="244A5A"/>
            <w:vAlign w:val="center"/>
            <w:tcMar>
              <w:top w:w="60" w:type="dxa"/>
              <w:left w:w="80" w:type="dxa"/>
              <w:bottom w:w="60" w:type="dxa"/>
              <w:right w:w="80" w:type="dxa"/>
            </w:tcMar>
          </w:tcPr>
          <w:p>
            <w:pPr>
              <w:jc w:val="center"/>
            </w:pPr>
            <w:r>
              <w:rPr>
                <w:b/>
                <w:color w:val="FFFFFF"/>
                <w:sz w:val="15"/>
              </w:rPr>
              <w:t>ID</w:t>
            </w:r>
          </w:p>
        </w:tc>
        <w:tc>
          <w:tcPr>
            <w:tcW w:type="dxa" w:w="4649"/>
            <w:shd w:fill="244A5A"/>
            <w:vAlign w:val="center"/>
            <w:tcMar>
              <w:top w:w="60" w:type="dxa"/>
              <w:left w:w="80" w:type="dxa"/>
              <w:bottom w:w="60" w:type="dxa"/>
              <w:right w:w="80" w:type="dxa"/>
            </w:tcMar>
          </w:tcPr>
          <w:p>
            <w:pPr>
              <w:jc w:val="center"/>
            </w:pPr>
            <w:r>
              <w:rPr>
                <w:b/>
                <w:color w:val="FFFFFF"/>
                <w:sz w:val="15"/>
              </w:rPr>
              <w:t>Szenario</w:t>
            </w:r>
          </w:p>
        </w:tc>
        <w:tc>
          <w:tcPr>
            <w:tcW w:type="dxa" w:w="2268"/>
            <w:shd w:fill="244A5A"/>
            <w:vAlign w:val="center"/>
            <w:tcMar>
              <w:top w:w="60" w:type="dxa"/>
              <w:left w:w="80" w:type="dxa"/>
              <w:bottom w:w="60" w:type="dxa"/>
              <w:right w:w="80" w:type="dxa"/>
            </w:tcMar>
          </w:tcPr>
          <w:p>
            <w:pPr>
              <w:jc w:val="center"/>
            </w:pPr>
            <w:r>
              <w:rPr>
                <w:b/>
                <w:color w:val="FFFFFF"/>
                <w:sz w:val="15"/>
              </w:rPr>
              <w:t>Testumgebung</w:t>
            </w:r>
          </w:p>
        </w:tc>
        <w:tc>
          <w:tcPr>
            <w:tcW w:type="dxa" w:w="1757"/>
            <w:shd w:fill="244A5A"/>
            <w:vAlign w:val="center"/>
            <w:tcMar>
              <w:top w:w="60" w:type="dxa"/>
              <w:left w:w="80" w:type="dxa"/>
              <w:bottom w:w="60" w:type="dxa"/>
              <w:right w:w="80" w:type="dxa"/>
            </w:tcMar>
          </w:tcPr>
          <w:p>
            <w:pPr>
              <w:jc w:val="center"/>
            </w:pPr>
            <w:r>
              <w:rPr>
                <w:b/>
                <w:color w:val="FFFFFF"/>
                <w:sz w:val="15"/>
              </w:rPr>
              <w:t>Nachweis</w:t>
            </w:r>
          </w:p>
        </w:tc>
      </w:tr>
      <w:tr>
        <w:trPr>
          <w:cantSplit/>
        </w:trPr>
        <w:tc>
          <w:tcPr>
            <w:tcW w:type="dxa" w:w="1247"/>
            <w:vAlign w:val="top"/>
            <w:shd w:fill="F4F7F8"/>
            <w:tcMar>
              <w:top w:w="60" w:type="dxa"/>
              <w:left w:w="80" w:type="dxa"/>
              <w:bottom w:w="60" w:type="dxa"/>
              <w:right w:w="80" w:type="dxa"/>
            </w:tcMar>
          </w:tcPr>
          <w:p>
            <w:pPr>
              <w:spacing w:after="40"/>
            </w:pPr>
            <w:r>
              <w:rPr>
                <w:sz w:val="15"/>
              </w:rPr>
              <w:t>AT-001</w:t>
            </w:r>
          </w:p>
        </w:tc>
        <w:tc>
          <w:tcPr>
            <w:tcW w:type="dxa" w:w="4649"/>
            <w:vAlign w:val="top"/>
            <w:shd w:fill="F4F7F8"/>
            <w:tcMar>
              <w:top w:w="60" w:type="dxa"/>
              <w:left w:w="80" w:type="dxa"/>
              <w:bottom w:w="60" w:type="dxa"/>
              <w:right w:w="80" w:type="dxa"/>
            </w:tcMar>
          </w:tcPr>
          <w:p>
            <w:pPr>
              <w:spacing w:after="40"/>
            </w:pPr>
            <w:r>
              <w:rPr>
                <w:sz w:val="15"/>
              </w:rPr>
              <w:t>Zwei Konten (GMX/IONOS oder Testäquivalente) konfigurieren und getrennt testen.</w:t>
            </w:r>
          </w:p>
        </w:tc>
        <w:tc>
          <w:tcPr>
            <w:tcW w:type="dxa" w:w="2268"/>
            <w:vAlign w:val="top"/>
            <w:shd w:fill="F4F7F8"/>
            <w:tcMar>
              <w:top w:w="60" w:type="dxa"/>
              <w:left w:w="80" w:type="dxa"/>
              <w:bottom w:w="60" w:type="dxa"/>
              <w:right w:w="80" w:type="dxa"/>
            </w:tcMar>
          </w:tcPr>
          <w:p>
            <w:pPr>
              <w:spacing w:after="40"/>
            </w:pPr>
            <w:r>
              <w:rPr>
                <w:sz w:val="15"/>
              </w:rPr>
              <w:t>kontrollierter POP3-Testserver + isoliertes Profil</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AT-002</w:t>
            </w:r>
          </w:p>
        </w:tc>
        <w:tc>
          <w:tcPr>
            <w:tcW w:type="dxa" w:w="4649"/>
            <w:vAlign w:val="top"/>
            <w:tcMar>
              <w:top w:w="60" w:type="dxa"/>
              <w:left w:w="80" w:type="dxa"/>
              <w:bottom w:w="60" w:type="dxa"/>
              <w:right w:w="80" w:type="dxa"/>
            </w:tcMar>
          </w:tcPr>
          <w:p>
            <w:pPr>
              <w:spacing w:after="40"/>
            </w:pPr>
            <w:r>
              <w:rPr>
                <w:sz w:val="15"/>
              </w:rPr>
              <w:t>Normaler POP3-Abruf übernimmt neue Mails und überspringt bekannte UIDLs.</w:t>
            </w:r>
          </w:p>
        </w:tc>
        <w:tc>
          <w:tcPr>
            <w:tcW w:type="dxa" w:w="2268"/>
            <w:vAlign w:val="top"/>
            <w:tcMar>
              <w:top w:w="60" w:type="dxa"/>
              <w:left w:w="80" w:type="dxa"/>
              <w:bottom w:w="60" w:type="dxa"/>
              <w:right w:w="80" w:type="dxa"/>
            </w:tcMar>
          </w:tcPr>
          <w:p>
            <w:pPr>
              <w:spacing w:after="40"/>
            </w:pPr>
            <w:r>
              <w:rPr>
                <w:sz w:val="15"/>
              </w:rPr>
              <w:t>kontrollierter POP3-Testserver + isoliertes Profil</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AT-003</w:t>
            </w:r>
          </w:p>
        </w:tc>
        <w:tc>
          <w:tcPr>
            <w:tcW w:type="dxa" w:w="4649"/>
            <w:vAlign w:val="top"/>
            <w:shd w:fill="F4F7F8"/>
            <w:tcMar>
              <w:top w:w="60" w:type="dxa"/>
              <w:left w:w="80" w:type="dxa"/>
              <w:bottom w:w="60" w:type="dxa"/>
              <w:right w:w="80" w:type="dxa"/>
            </w:tcMar>
          </w:tcPr>
          <w:p>
            <w:pPr>
              <w:spacing w:after="40"/>
            </w:pPr>
            <w:r>
              <w:rPr>
                <w:sz w:val="15"/>
              </w:rPr>
              <w:t>„Get all“ lädt den gesamten Serverbestand, ergänzt fehlende Mails und erzeugt keine exakten lokalen Duplikate.</w:t>
            </w:r>
          </w:p>
        </w:tc>
        <w:tc>
          <w:tcPr>
            <w:tcW w:type="dxa" w:w="2268"/>
            <w:vAlign w:val="top"/>
            <w:shd w:fill="F4F7F8"/>
            <w:tcMar>
              <w:top w:w="60" w:type="dxa"/>
              <w:left w:w="80" w:type="dxa"/>
              <w:bottom w:w="60" w:type="dxa"/>
              <w:right w:w="80" w:type="dxa"/>
            </w:tcMar>
          </w:tcPr>
          <w:p>
            <w:pPr>
              <w:spacing w:after="40"/>
            </w:pPr>
            <w:r>
              <w:rPr>
                <w:sz w:val="15"/>
              </w:rPr>
              <w:t>kontrollierter POP3-Testserver + isoliertes Profil</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AT-004</w:t>
            </w:r>
          </w:p>
        </w:tc>
        <w:tc>
          <w:tcPr>
            <w:tcW w:type="dxa" w:w="4649"/>
            <w:vAlign w:val="top"/>
            <w:tcMar>
              <w:top w:w="60" w:type="dxa"/>
              <w:left w:w="80" w:type="dxa"/>
              <w:bottom w:w="60" w:type="dxa"/>
              <w:right w:w="80" w:type="dxa"/>
            </w:tcMar>
          </w:tcPr>
          <w:p>
            <w:pPr>
              <w:spacing w:after="40"/>
            </w:pPr>
            <w:r>
              <w:rPr>
                <w:sz w:val="15"/>
              </w:rPr>
              <w:t>Wiederholter „Get all“-Lauf bei unverändertem Serverbestand erhöht die Zahl kanonischer Mails nicht.</w:t>
            </w:r>
          </w:p>
        </w:tc>
        <w:tc>
          <w:tcPr>
            <w:tcW w:type="dxa" w:w="2268"/>
            <w:vAlign w:val="top"/>
            <w:tcMar>
              <w:top w:w="60" w:type="dxa"/>
              <w:left w:w="80" w:type="dxa"/>
              <w:bottom w:w="60" w:type="dxa"/>
              <w:right w:w="80" w:type="dxa"/>
            </w:tcMar>
          </w:tcPr>
          <w:p>
            <w:pPr>
              <w:spacing w:after="40"/>
            </w:pPr>
            <w:r>
              <w:rPr>
                <w:sz w:val="15"/>
              </w:rPr>
              <w:t>kontrollierter POP3-Testserver + isoliertes Profil</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AT-005</w:t>
            </w:r>
          </w:p>
        </w:tc>
        <w:tc>
          <w:tcPr>
            <w:tcW w:type="dxa" w:w="4649"/>
            <w:vAlign w:val="top"/>
            <w:shd w:fill="F4F7F8"/>
            <w:tcMar>
              <w:top w:w="60" w:type="dxa"/>
              <w:left w:w="80" w:type="dxa"/>
              <w:bottom w:w="60" w:type="dxa"/>
              <w:right w:w="80" w:type="dxa"/>
            </w:tcMar>
          </w:tcPr>
          <w:p>
            <w:pPr>
              <w:spacing w:after="40"/>
            </w:pPr>
            <w:r>
              <w:rPr>
                <w:sz w:val="15"/>
              </w:rPr>
              <w:t>Servermails bleiben nach Standardabruf erhalten.</w:t>
            </w:r>
          </w:p>
        </w:tc>
        <w:tc>
          <w:tcPr>
            <w:tcW w:type="dxa" w:w="2268"/>
            <w:vAlign w:val="top"/>
            <w:shd w:fill="F4F7F8"/>
            <w:tcMar>
              <w:top w:w="60" w:type="dxa"/>
              <w:left w:w="80" w:type="dxa"/>
              <w:bottom w:w="60" w:type="dxa"/>
              <w:right w:w="80" w:type="dxa"/>
            </w:tcMar>
          </w:tcPr>
          <w:p>
            <w:pPr>
              <w:spacing w:after="40"/>
            </w:pPr>
            <w:r>
              <w:rPr>
                <w:sz w:val="15"/>
              </w:rPr>
              <w:t>kontrollierter POP3-Testserver + isoliertes Profil</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AT-006</w:t>
            </w:r>
          </w:p>
        </w:tc>
        <w:tc>
          <w:tcPr>
            <w:tcW w:type="dxa" w:w="4649"/>
            <w:vAlign w:val="top"/>
            <w:tcMar>
              <w:top w:w="60" w:type="dxa"/>
              <w:left w:w="80" w:type="dxa"/>
              <w:bottom w:w="60" w:type="dxa"/>
              <w:right w:w="80" w:type="dxa"/>
            </w:tcMar>
          </w:tcPr>
          <w:p>
            <w:pPr>
              <w:spacing w:after="40"/>
            </w:pPr>
            <w:r>
              <w:rPr>
                <w:sz w:val="15"/>
              </w:rPr>
              <w:t>Eine HTML-Testmail mit sichtbarem Sparkassenlink und fremdem href erzeugt eine erklärbare Warnung.</w:t>
            </w:r>
          </w:p>
        </w:tc>
        <w:tc>
          <w:tcPr>
            <w:tcW w:type="dxa" w:w="2268"/>
            <w:vAlign w:val="top"/>
            <w:tcMar>
              <w:top w:w="60" w:type="dxa"/>
              <w:left w:w="80" w:type="dxa"/>
              <w:bottom w:w="60" w:type="dxa"/>
              <w:right w:w="80" w:type="dxa"/>
            </w:tcMar>
          </w:tcPr>
          <w:p>
            <w:pPr>
              <w:spacing w:after="40"/>
            </w:pPr>
            <w:r>
              <w:rPr>
                <w:sz w:val="15"/>
              </w:rPr>
              <w:t>versionierte EML-Fixtures + Analysis/Persistence</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AT-007</w:t>
            </w:r>
          </w:p>
        </w:tc>
        <w:tc>
          <w:tcPr>
            <w:tcW w:type="dxa" w:w="4649"/>
            <w:vAlign w:val="top"/>
            <w:shd w:fill="F4F7F8"/>
            <w:tcMar>
              <w:top w:w="60" w:type="dxa"/>
              <w:left w:w="80" w:type="dxa"/>
              <w:bottom w:w="60" w:type="dxa"/>
              <w:right w:w="80" w:type="dxa"/>
            </w:tcMar>
          </w:tcPr>
          <w:p>
            <w:pPr>
              <w:spacing w:after="40"/>
            </w:pPr>
            <w:r>
              <w:rPr>
                <w:sz w:val="15"/>
              </w:rPr>
              <w:t>Punycode-/Homograph-, IP-URL-, HTTP- und Reply-To-Abweichungen werden einzeln angezeigt.</w:t>
            </w:r>
          </w:p>
        </w:tc>
        <w:tc>
          <w:tcPr>
            <w:tcW w:type="dxa" w:w="2268"/>
            <w:vAlign w:val="top"/>
            <w:shd w:fill="F4F7F8"/>
            <w:tcMar>
              <w:top w:w="60" w:type="dxa"/>
              <w:left w:w="80" w:type="dxa"/>
              <w:bottom w:w="60" w:type="dxa"/>
              <w:right w:w="80" w:type="dxa"/>
            </w:tcMar>
          </w:tcPr>
          <w:p>
            <w:pPr>
              <w:spacing w:after="40"/>
            </w:pPr>
            <w:r>
              <w:rPr>
                <w:sz w:val="15"/>
              </w:rPr>
              <w:t>versionierte EML-Fixtures + Analysis/Persistence</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AT-008</w:t>
            </w:r>
          </w:p>
        </w:tc>
        <w:tc>
          <w:tcPr>
            <w:tcW w:type="dxa" w:w="4649"/>
            <w:vAlign w:val="top"/>
            <w:tcMar>
              <w:top w:w="60" w:type="dxa"/>
              <w:left w:w="80" w:type="dxa"/>
              <w:bottom w:w="60" w:type="dxa"/>
              <w:right w:w="80" w:type="dxa"/>
            </w:tcMar>
          </w:tcPr>
          <w:p>
            <w:pPr>
              <w:spacing w:after="40"/>
            </w:pPr>
            <w:r>
              <w:rPr>
                <w:sz w:val="15"/>
              </w:rPr>
              <w:t>Eine legitime, im Markenprofil gepflegte Dienstleisterdomain lässt sich als nachvollziehbare Ausnahme modellieren.</w:t>
            </w:r>
          </w:p>
        </w:tc>
        <w:tc>
          <w:tcPr>
            <w:tcW w:type="dxa" w:w="2268"/>
            <w:vAlign w:val="top"/>
            <w:tcMar>
              <w:top w:w="60" w:type="dxa"/>
              <w:left w:w="80" w:type="dxa"/>
              <w:bottom w:w="60" w:type="dxa"/>
              <w:right w:w="80" w:type="dxa"/>
            </w:tcMar>
          </w:tcPr>
          <w:p>
            <w:pPr>
              <w:spacing w:after="40"/>
            </w:pPr>
            <w:r>
              <w:rPr>
                <w:sz w:val="15"/>
              </w:rPr>
              <w:t>versionierte EML-Fixtures + Analysis/Persistence</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AT-009</w:t>
            </w:r>
          </w:p>
        </w:tc>
        <w:tc>
          <w:tcPr>
            <w:tcW w:type="dxa" w:w="4649"/>
            <w:vAlign w:val="top"/>
            <w:shd w:fill="F4F7F8"/>
            <w:tcMar>
              <w:top w:w="60" w:type="dxa"/>
              <w:left w:w="80" w:type="dxa"/>
              <w:bottom w:w="60" w:type="dxa"/>
              <w:right w:w="80" w:type="dxa"/>
            </w:tcMar>
          </w:tcPr>
          <w:p>
            <w:pPr>
              <w:spacing w:after="40"/>
            </w:pPr>
            <w:r>
              <w:rPr>
                <w:sz w:val="15"/>
              </w:rPr>
              <w:t>SMTP-Versand erstellt lokale Gesendet-Mail; IMAP APPEND macht sie für einen zweiten IMAP-Client sichtbar.</w:t>
            </w:r>
          </w:p>
        </w:tc>
        <w:tc>
          <w:tcPr>
            <w:tcW w:type="dxa" w:w="2268"/>
            <w:vAlign w:val="top"/>
            <w:shd w:fill="F4F7F8"/>
            <w:tcMar>
              <w:top w:w="60" w:type="dxa"/>
              <w:left w:w="80" w:type="dxa"/>
              <w:bottom w:w="60" w:type="dxa"/>
              <w:right w:w="80" w:type="dxa"/>
            </w:tcMar>
          </w:tcPr>
          <w:p>
            <w:pPr>
              <w:spacing w:after="40"/>
            </w:pPr>
            <w:r>
              <w:rPr>
                <w:sz w:val="15"/>
              </w:rPr>
              <w:t>kontrollierter SMTP-/IMAP-Testserver</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AT-010</w:t>
            </w:r>
          </w:p>
        </w:tc>
        <w:tc>
          <w:tcPr>
            <w:tcW w:type="dxa" w:w="4649"/>
            <w:vAlign w:val="top"/>
            <w:tcMar>
              <w:top w:w="60" w:type="dxa"/>
              <w:left w:w="80" w:type="dxa"/>
              <w:bottom w:w="60" w:type="dxa"/>
              <w:right w:w="80" w:type="dxa"/>
            </w:tcMar>
          </w:tcPr>
          <w:p>
            <w:pPr>
              <w:spacing w:after="40"/>
            </w:pPr>
            <w:r>
              <w:rPr>
                <w:sz w:val="15"/>
              </w:rPr>
              <w:t>Ein Verbindungsabbruch nach möglichem APPEND führt zu UploadUncertain und nicht zu blindem Duplikatupload.</w:t>
            </w:r>
          </w:p>
        </w:tc>
        <w:tc>
          <w:tcPr>
            <w:tcW w:type="dxa" w:w="2268"/>
            <w:vAlign w:val="top"/>
            <w:tcMar>
              <w:top w:w="60" w:type="dxa"/>
              <w:left w:w="80" w:type="dxa"/>
              <w:bottom w:w="60" w:type="dxa"/>
              <w:right w:w="80" w:type="dxa"/>
            </w:tcMar>
          </w:tcPr>
          <w:p>
            <w:pPr>
              <w:spacing w:after="40"/>
            </w:pPr>
            <w:r>
              <w:rPr>
                <w:sz w:val="15"/>
              </w:rPr>
              <w:t>kontrollierter SMTP-/IMAP-Testserver</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AT-011</w:t>
            </w:r>
          </w:p>
        </w:tc>
        <w:tc>
          <w:tcPr>
            <w:tcW w:type="dxa" w:w="4649"/>
            <w:vAlign w:val="top"/>
            <w:shd w:fill="F4F7F8"/>
            <w:tcMar>
              <w:top w:w="60" w:type="dxa"/>
              <w:left w:w="80" w:type="dxa"/>
              <w:bottom w:w="60" w:type="dxa"/>
              <w:right w:w="80" w:type="dxa"/>
            </w:tcMar>
          </w:tcPr>
          <w:p>
            <w:pPr>
              <w:spacing w:after="40"/>
            </w:pPr>
            <w:r>
              <w:rPr>
                <w:sz w:val="15"/>
              </w:rPr>
              <w:t>Plaintext, HTML, Multipart, Inline-Ressourcen und Anhänge werden sicher dargestellt.</w:t>
            </w:r>
          </w:p>
        </w:tc>
        <w:tc>
          <w:tcPr>
            <w:tcW w:type="dxa" w:w="2268"/>
            <w:vAlign w:val="top"/>
            <w:shd w:fill="F4F7F8"/>
            <w:tcMar>
              <w:top w:w="60" w:type="dxa"/>
              <w:left w:w="80" w:type="dxa"/>
              <w:bottom w:w="60" w:type="dxa"/>
              <w:right w:w="80" w:type="dxa"/>
            </w:tcMar>
          </w:tcPr>
          <w:p>
            <w:pPr>
              <w:spacing w:after="40"/>
            </w:pPr>
            <w:r>
              <w:rPr>
                <w:sz w:val="15"/>
              </w:rPr>
              <w:t>versionierte EML-Fixtures + Analysis/Persistence</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AT-012</w:t>
            </w:r>
          </w:p>
        </w:tc>
        <w:tc>
          <w:tcPr>
            <w:tcW w:type="dxa" w:w="4649"/>
            <w:vAlign w:val="top"/>
            <w:tcMar>
              <w:top w:w="60" w:type="dxa"/>
              <w:left w:w="80" w:type="dxa"/>
              <w:bottom w:w="60" w:type="dxa"/>
              <w:right w:w="80" w:type="dxa"/>
            </w:tcMar>
          </w:tcPr>
          <w:p>
            <w:pPr>
              <w:spacing w:after="40"/>
            </w:pPr>
            <w:r>
              <w:rPr>
                <w:sz w:val="15"/>
              </w:rPr>
              <w:t>Remote-Ressourcen und Skripte werden standardmäßig nicht ausgeführt.</w:t>
            </w:r>
          </w:p>
        </w:tc>
        <w:tc>
          <w:tcPr>
            <w:tcW w:type="dxa" w:w="2268"/>
            <w:vAlign w:val="top"/>
            <w:tcMar>
              <w:top w:w="60" w:type="dxa"/>
              <w:left w:w="80" w:type="dxa"/>
              <w:bottom w:w="60" w:type="dxa"/>
              <w:right w:w="80" w:type="dxa"/>
            </w:tcMar>
          </w:tcPr>
          <w:p>
            <w:pPr>
              <w:spacing w:after="40"/>
            </w:pPr>
            <w:r>
              <w:rPr>
                <w:sz w:val="15"/>
              </w:rPr>
              <w:t>versionierte EML-Fixtures + Analysis/Persistence</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AT-013</w:t>
            </w:r>
          </w:p>
        </w:tc>
        <w:tc>
          <w:tcPr>
            <w:tcW w:type="dxa" w:w="4649"/>
            <w:vAlign w:val="top"/>
            <w:shd w:fill="F4F7F8"/>
            <w:tcMar>
              <w:top w:w="60" w:type="dxa"/>
              <w:left w:w="80" w:type="dxa"/>
              <w:bottom w:w="60" w:type="dxa"/>
              <w:right w:w="80" w:type="dxa"/>
            </w:tcMar>
          </w:tcPr>
          <w:p>
            <w:pPr>
              <w:spacing w:after="40"/>
            </w:pPr>
            <w:r>
              <w:rPr>
                <w:sz w:val="15"/>
              </w:rPr>
              <w:t>Rohmail, Hash, Provenienz und Analysis Run bleiben nach Neustart erhalten.</w:t>
            </w:r>
          </w:p>
        </w:tc>
        <w:tc>
          <w:tcPr>
            <w:tcW w:type="dxa" w:w="2268"/>
            <w:vAlign w:val="top"/>
            <w:shd w:fill="F4F7F8"/>
            <w:tcMar>
              <w:top w:w="60" w:type="dxa"/>
              <w:left w:w="80" w:type="dxa"/>
              <w:bottom w:w="60" w:type="dxa"/>
              <w:right w:w="80" w:type="dxa"/>
            </w:tcMar>
          </w:tcPr>
          <w:p>
            <w:pPr>
              <w:spacing w:after="40"/>
            </w:pPr>
            <w:r>
              <w:rPr>
                <w:sz w:val="15"/>
              </w:rPr>
              <w:t>versionierte EML-Fixtures + Analysis/Persistence</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AT-014</w:t>
            </w:r>
          </w:p>
        </w:tc>
        <w:tc>
          <w:tcPr>
            <w:tcW w:type="dxa" w:w="4649"/>
            <w:vAlign w:val="top"/>
            <w:tcMar>
              <w:top w:w="60" w:type="dxa"/>
              <w:left w:w="80" w:type="dxa"/>
              <w:bottom w:w="60" w:type="dxa"/>
              <w:right w:w="80" w:type="dxa"/>
            </w:tcMar>
          </w:tcPr>
          <w:p>
            <w:pPr>
              <w:spacing w:after="40"/>
            </w:pPr>
            <w:r>
              <w:rPr>
                <w:sz w:val="15"/>
              </w:rPr>
              <w:t>Backup lässt sich in ein leeres Profil wiederherstellen und besteht Integritätsprüfung.</w:t>
            </w:r>
          </w:p>
        </w:tc>
        <w:tc>
          <w:tcPr>
            <w:tcW w:type="dxa" w:w="2268"/>
            <w:vAlign w:val="top"/>
            <w:tcMar>
              <w:top w:w="60" w:type="dxa"/>
              <w:left w:w="80" w:type="dxa"/>
              <w:bottom w:w="60" w:type="dxa"/>
              <w:right w:w="80" w:type="dxa"/>
            </w:tcMar>
          </w:tcPr>
          <w:p>
            <w:pPr>
              <w:spacing w:after="40"/>
            </w:pPr>
            <w:r>
              <w:rPr>
                <w:sz w:val="15"/>
              </w:rPr>
              <w:t>isoliertes Quell- und Zielprofil</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AT-015</w:t>
            </w:r>
          </w:p>
        </w:tc>
        <w:tc>
          <w:tcPr>
            <w:tcW w:type="dxa" w:w="4649"/>
            <w:vAlign w:val="top"/>
            <w:shd w:fill="F4F7F8"/>
            <w:tcMar>
              <w:top w:w="60" w:type="dxa"/>
              <w:left w:w="80" w:type="dxa"/>
              <w:bottom w:w="60" w:type="dxa"/>
              <w:right w:w="80" w:type="dxa"/>
            </w:tcMar>
          </w:tcPr>
          <w:p>
            <w:pPr>
              <w:spacing w:after="40"/>
            </w:pPr>
            <w:r>
              <w:rPr>
                <w:sz w:val="15"/>
              </w:rPr>
              <w:t>Architekturtests bestätigen, dass WinForms weder MailKit noch SQLite direkt referenziert.</w:t>
            </w:r>
          </w:p>
        </w:tc>
        <w:tc>
          <w:tcPr>
            <w:tcW w:type="dxa" w:w="2268"/>
            <w:vAlign w:val="top"/>
            <w:shd w:fill="F4F7F8"/>
            <w:tcMar>
              <w:top w:w="60" w:type="dxa"/>
              <w:left w:w="80" w:type="dxa"/>
              <w:bottom w:w="60" w:type="dxa"/>
              <w:right w:w="80" w:type="dxa"/>
            </w:tcMar>
          </w:tcPr>
          <w:p>
            <w:pPr>
              <w:spacing w:after="40"/>
            </w:pPr>
            <w:r>
              <w:rPr>
                <w:sz w:val="15"/>
              </w:rPr>
              <w:t>Architekturtestprojekt</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tcMar>
              <w:top w:w="60" w:type="dxa"/>
              <w:left w:w="80" w:type="dxa"/>
              <w:bottom w:w="60" w:type="dxa"/>
              <w:right w:w="80" w:type="dxa"/>
            </w:tcMar>
          </w:tcPr>
          <w:p>
            <w:pPr>
              <w:spacing w:after="40"/>
            </w:pPr>
            <w:r>
              <w:rPr>
                <w:sz w:val="15"/>
              </w:rPr>
              <w:t>AT-016</w:t>
            </w:r>
          </w:p>
        </w:tc>
        <w:tc>
          <w:tcPr>
            <w:tcW w:type="dxa" w:w="4649"/>
            <w:vAlign w:val="top"/>
            <w:tcMar>
              <w:top w:w="60" w:type="dxa"/>
              <w:left w:w="80" w:type="dxa"/>
              <w:bottom w:w="60" w:type="dxa"/>
              <w:right w:w="80" w:type="dxa"/>
            </w:tcMar>
          </w:tcPr>
          <w:p>
            <w:pPr>
              <w:spacing w:after="40"/>
            </w:pPr>
            <w:r>
              <w:rPr>
                <w:sz w:val="15"/>
              </w:rPr>
              <w:t>Kernabläufe funktionieren bei 150 % Windows-Skalierung und per Tastatur.</w:t>
            </w:r>
          </w:p>
        </w:tc>
        <w:tc>
          <w:tcPr>
            <w:tcW w:type="dxa" w:w="2268"/>
            <w:vAlign w:val="top"/>
            <w:tcMar>
              <w:top w:w="60" w:type="dxa"/>
              <w:left w:w="80" w:type="dxa"/>
              <w:bottom w:w="60" w:type="dxa"/>
              <w:right w:w="80" w:type="dxa"/>
            </w:tcMar>
          </w:tcPr>
          <w:p>
            <w:pPr>
              <w:spacing w:after="40"/>
            </w:pPr>
            <w:r>
              <w:rPr>
                <w:sz w:val="15"/>
              </w:rPr>
              <w:t>Windows UI bei 100 % und 150 % DPI</w:t>
            </w:r>
          </w:p>
        </w:tc>
        <w:tc>
          <w:tcPr>
            <w:tcW w:type="dxa" w:w="1757"/>
            <w:vAlign w:val="top"/>
            <w:tcMar>
              <w:top w:w="60" w:type="dxa"/>
              <w:left w:w="80" w:type="dxa"/>
              <w:bottom w:w="60" w:type="dxa"/>
              <w:right w:w="80" w:type="dxa"/>
            </w:tcMar>
          </w:tcPr>
          <w:p>
            <w:pPr>
              <w:spacing w:after="40"/>
            </w:pPr>
            <w:r>
              <w:rPr>
                <w:sz w:val="15"/>
              </w:rPr>
              <w:t>Automatisiert soweit möglich; Ergebnisprotokoll Bestandteil der Releaseakte.</w:t>
            </w:r>
          </w:p>
        </w:tc>
      </w:tr>
      <w:tr>
        <w:trPr>
          <w:cantSplit/>
        </w:trPr>
        <w:tc>
          <w:tcPr>
            <w:tcW w:type="dxa" w:w="1247"/>
            <w:vAlign w:val="top"/>
            <w:shd w:fill="F4F7F8"/>
            <w:tcMar>
              <w:top w:w="60" w:type="dxa"/>
              <w:left w:w="80" w:type="dxa"/>
              <w:bottom w:w="60" w:type="dxa"/>
              <w:right w:w="80" w:type="dxa"/>
            </w:tcMar>
          </w:tcPr>
          <w:p>
            <w:pPr>
              <w:spacing w:after="40"/>
            </w:pPr>
            <w:r>
              <w:rPr>
                <w:sz w:val="15"/>
              </w:rPr>
              <w:t>AT-017</w:t>
            </w:r>
          </w:p>
        </w:tc>
        <w:tc>
          <w:tcPr>
            <w:tcW w:type="dxa" w:w="4649"/>
            <w:vAlign w:val="top"/>
            <w:shd w:fill="F4F7F8"/>
            <w:tcMar>
              <w:top w:w="60" w:type="dxa"/>
              <w:left w:w="80" w:type="dxa"/>
              <w:bottom w:w="60" w:type="dxa"/>
              <w:right w:w="80" w:type="dxa"/>
            </w:tcMar>
          </w:tcPr>
          <w:p>
            <w:pPr>
              <w:spacing w:after="40"/>
            </w:pPr>
            <w:r>
              <w:rPr>
                <w:sz w:val="15"/>
              </w:rPr>
              <w:t>Automatisierte Tests werden nach Testhandbuch in Visual Studio und per Kommandozeile ausgeführt.</w:t>
            </w:r>
          </w:p>
        </w:tc>
        <w:tc>
          <w:tcPr>
            <w:tcW w:type="dxa" w:w="2268"/>
            <w:vAlign w:val="top"/>
            <w:shd w:fill="F4F7F8"/>
            <w:tcMar>
              <w:top w:w="60" w:type="dxa"/>
              <w:left w:w="80" w:type="dxa"/>
              <w:bottom w:w="60" w:type="dxa"/>
              <w:right w:w="80" w:type="dxa"/>
            </w:tcMar>
          </w:tcPr>
          <w:p>
            <w:pPr>
              <w:spacing w:after="40"/>
            </w:pPr>
            <w:r>
              <w:rPr>
                <w:sz w:val="15"/>
              </w:rPr>
              <w:t>Visual Studio und dotnet CLI</w:t>
            </w:r>
          </w:p>
        </w:tc>
        <w:tc>
          <w:tcPr>
            <w:tcW w:type="dxa" w:w="1757"/>
            <w:vAlign w:val="top"/>
            <w:shd w:fill="F4F7F8"/>
            <w:tcMar>
              <w:top w:w="60" w:type="dxa"/>
              <w:left w:w="80" w:type="dxa"/>
              <w:bottom w:w="60" w:type="dxa"/>
              <w:right w:w="80" w:type="dxa"/>
            </w:tcMar>
          </w:tcPr>
          <w:p>
            <w:pPr>
              <w:spacing w:after="40"/>
            </w:pPr>
            <w:r>
              <w:rPr>
                <w:sz w:val="15"/>
              </w:rPr>
              <w:t>Automatisiert soweit möglich; Ergebnisprotokoll Bestandteil der Releaseakte.</w:t>
            </w:r>
          </w:p>
        </w:tc>
      </w:tr>
    </w:tbl>
    <w:p>
      <w:pPr>
        <w:keepLines/>
      </w:pPr>
    </w:p>
    <w:p>
      <w:pPr>
        <w:pStyle w:val="Heading1"/>
        <w:keepNext/>
        <w:keepLines/>
      </w:pPr>
      <w:r>
        <w:t>21. Build, Deployment und Betrieb</w:t>
      </w:r>
    </w:p>
    <w:p>
      <w:pPr>
        <w:pStyle w:val="Heading2"/>
        <w:keepNext/>
        <w:keepLines/>
      </w:pPr>
      <w:r>
        <w:t>21.1 Entwicklungsumgebung</w:t>
      </w:r>
    </w:p>
    <w:p>
      <w:pPr>
        <w:pStyle w:val="ListBullet"/>
        <w:keepLines/>
      </w:pPr>
      <w:r>
        <w:t>Für 0.3.1 und 0.4.0: Visual Studio 2022 mit aktuellem .NET-8-SDK und Workload „.NET-Desktopentwicklung“. Für die Migration auf .NET 10 ist eine dafür unterstützte Visual-Studio-Version einzusetzen.</w:t>
      </w:r>
    </w:p>
    <w:p>
      <w:pPr>
        <w:pStyle w:val="ListBullet"/>
        <w:keepLines/>
      </w:pPr>
      <w:r>
        <w:t>.NET SDK 10.0.x; die SDK-Version wird über global.json gepinnt.</w:t>
      </w:r>
    </w:p>
    <w:p>
      <w:pPr>
        <w:pStyle w:val="ListBullet"/>
        <w:keepLines/>
      </w:pPr>
      <w:r>
        <w:t>Central Package Management über Directory.Packages.props; Restore-Lockfiles oder kontrollierte Renovate/Dependabot-Prüfung.</w:t>
      </w:r>
    </w:p>
    <w:p>
      <w:pPr>
        <w:pStyle w:val="ListBullet"/>
        <w:keepLines/>
      </w:pPr>
      <w:r>
        <w:t>Nullable, implicit usings, analyzers, warnings-as-errors für Produktprojekte und XML-Dokumentationsdateien aktiviert.</w:t>
      </w:r>
    </w:p>
    <w:p>
      <w:pPr>
        <w:pStyle w:val="ListBullet"/>
        <w:keepLines/>
      </w:pPr>
      <w:r>
        <w:t>Buildkonfigurationen Debug und Release; keine Secrets in User Secrets für produktive Konten, sondern Secret-Store-Adapter.</w:t>
      </w:r>
    </w:p>
    <w:p>
      <w:pPr>
        <w:pStyle w:val="Heading2"/>
        <w:keepNext/>
        <w:keepLines/>
      </w:pPr>
      <w:r>
        <w:t>21.2 Build-Pipeline</w:t>
      </w:r>
    </w:p>
    <w:tbl>
      <w:tblPr>
        <w:tblStyle w:val="TableGrid"/>
        <w:tblW w:type="auto" w:w="0"/>
        <w:tblLook w:firstColumn="1" w:firstRow="1" w:lastColumn="0" w:lastRow="0" w:noHBand="0" w:noVBand="1" w:val="04A0"/>
      </w:tblPr>
      <w:tblGrid>
        <w:gridCol w:w="10029"/>
      </w:tblGrid>
      <w:tr>
        <w:trPr>
          <w:cantSplit/>
          <w:tblHeader/>
        </w:trPr>
        <w:tc>
          <w:tcPr>
            <w:tcW w:type="dxa" w:w="10029"/>
            <w:shd w:fill="F1F3F4"/>
            <w:tcMar>
              <w:top w:w="60" w:type="dxa"/>
              <w:left w:w="80" w:type="dxa"/>
              <w:bottom w:w="60" w:type="dxa"/>
              <w:right w:w="80" w:type="dxa"/>
            </w:tcMar>
          </w:tcPr>
          <w:p>
            <w:pPr>
              <w:spacing w:after="0"/>
            </w:pPr>
            <w:r>
              <w:rPr>
                <w:rFonts w:ascii="Consolas" w:hAnsi="Consolas"/>
                <w:sz w:val="17"/>
              </w:rPr>
              <w:t>dotnet restore --locked-mode</w:t>
              <w:br/>
              <w:br/>
              <w:t>dotnet build Sasd.MailWorkbench.sln -c Release --no-restore</w:t>
              <w:br/>
              <w:br/>
              <w:t>dotnet test Sasd.MailWorkbench.sln -c Release --no-build   --collect:"XPlat Code Coverage"</w:t>
              <w:br/>
              <w:br/>
              <w:t>dotnet publish src/Sasd.MailWorkbench.Host.WinForms   -c Release -r win-x64 --self-contained false</w:t>
              <w:br/>
            </w:r>
          </w:p>
        </w:tc>
      </w:tr>
    </w:tbl>
    <w:p>
      <w:pPr>
        <w:keepLines/>
      </w:pPr>
    </w:p>
    <w:p>
      <w:pPr>
        <w:pStyle w:val="ListBullet"/>
        <w:keepLines/>
      </w:pPr>
      <w:r>
        <w:t>CI prüft Formatierung, Build, Tests, Architekturregeln, Paket-Sicherheitswarnungen und Dokumentationsartefakte.</w:t>
      </w:r>
    </w:p>
    <w:p>
      <w:pPr>
        <w:pStyle w:val="ListBullet"/>
        <w:keepLines/>
      </w:pPr>
      <w:r>
        <w:t>Releasepakete werden reproduzierbar versioniert; AssemblyVersion bleibt kompatibel, File/InformationalVersion enthält SemVer und Commit-ID.</w:t>
      </w:r>
    </w:p>
    <w:p>
      <w:pPr>
        <w:pStyle w:val="ListBullet"/>
        <w:keepLines/>
      </w:pPr>
      <w:r>
        <w:t>Installer-Technologie wird im Implementierungsmeilenstein festgelegt; bevorzugt MSIX oder signierter MSI/Bootstrapper. Portable ZIP ist nicht primäres Sicherheitsmodell.</w:t>
      </w:r>
    </w:p>
    <w:p>
      <w:pPr>
        <w:pStyle w:val="ListBullet"/>
        <w:keepLines/>
      </w:pPr>
      <w:r>
        <w:t>Code Signing und Installer Signing sind für eine externe Veröffentlichung vorgesehen; lokale Entwicklungsbuilds bleiben eindeutig gekennzeichnet.</w:t>
      </w:r>
    </w:p>
    <w:p>
      <w:pPr>
        <w:pStyle w:val="Heading2"/>
        <w:keepNext/>
        <w:keepLines/>
      </w:pPr>
      <w:r>
        <w:t>21.3 Konfiguration</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2551"/>
            <w:shd w:fill="244A5A"/>
            <w:vAlign w:val="center"/>
            <w:tcMar>
              <w:top w:w="60" w:type="dxa"/>
              <w:left w:w="80" w:type="dxa"/>
              <w:bottom w:w="60" w:type="dxa"/>
              <w:right w:w="80" w:type="dxa"/>
            </w:tcMar>
          </w:tcPr>
          <w:p>
            <w:pPr>
              <w:jc w:val="center"/>
            </w:pPr>
            <w:r>
              <w:rPr>
                <w:b/>
                <w:color w:val="FFFFFF"/>
                <w:sz w:val="16"/>
              </w:rPr>
              <w:t>Datei/Quelle</w:t>
            </w:r>
          </w:p>
        </w:tc>
        <w:tc>
          <w:tcPr>
            <w:tcW w:type="dxa" w:w="5386"/>
            <w:shd w:fill="244A5A"/>
            <w:vAlign w:val="center"/>
            <w:tcMar>
              <w:top w:w="60" w:type="dxa"/>
              <w:left w:w="80" w:type="dxa"/>
              <w:bottom w:w="60" w:type="dxa"/>
              <w:right w:w="80" w:type="dxa"/>
            </w:tcMar>
          </w:tcPr>
          <w:p>
            <w:pPr>
              <w:jc w:val="center"/>
            </w:pPr>
            <w:r>
              <w:rPr>
                <w:b/>
                <w:color w:val="FFFFFF"/>
                <w:sz w:val="16"/>
              </w:rPr>
              <w:t>Inhalt</w:t>
            </w:r>
          </w:p>
        </w:tc>
        <w:tc>
          <w:tcPr>
            <w:tcW w:type="dxa" w:w="1417"/>
            <w:shd w:fill="244A5A"/>
            <w:vAlign w:val="center"/>
            <w:tcMar>
              <w:top w:w="60" w:type="dxa"/>
              <w:left w:w="80" w:type="dxa"/>
              <w:bottom w:w="60" w:type="dxa"/>
              <w:right w:w="80" w:type="dxa"/>
            </w:tcMar>
          </w:tcPr>
          <w:p>
            <w:pPr>
              <w:jc w:val="center"/>
            </w:pPr>
            <w:r>
              <w:rPr>
                <w:b/>
                <w:color w:val="FFFFFF"/>
                <w:sz w:val="16"/>
              </w:rPr>
              <w:t>Secret?</w:t>
            </w:r>
          </w:p>
        </w:tc>
      </w:tr>
      <w:tr>
        <w:trPr>
          <w:cantSplit/>
        </w:trPr>
        <w:tc>
          <w:tcPr>
            <w:tcW w:type="dxa" w:w="2551"/>
            <w:vAlign w:val="top"/>
            <w:shd w:fill="F4F7F8"/>
            <w:tcMar>
              <w:top w:w="60" w:type="dxa"/>
              <w:left w:w="80" w:type="dxa"/>
              <w:bottom w:w="60" w:type="dxa"/>
              <w:right w:w="80" w:type="dxa"/>
            </w:tcMar>
          </w:tcPr>
          <w:p>
            <w:pPr>
              <w:spacing w:after="40"/>
            </w:pPr>
            <w:r>
              <w:rPr>
                <w:sz w:val="16"/>
              </w:rPr>
              <w:t>appsettings.json</w:t>
            </w:r>
          </w:p>
        </w:tc>
        <w:tc>
          <w:tcPr>
            <w:tcW w:type="dxa" w:w="5386"/>
            <w:vAlign w:val="top"/>
            <w:shd w:fill="F4F7F8"/>
            <w:tcMar>
              <w:top w:w="60" w:type="dxa"/>
              <w:left w:w="80" w:type="dxa"/>
              <w:bottom w:w="60" w:type="dxa"/>
              <w:right w:w="80" w:type="dxa"/>
            </w:tcMar>
          </w:tcPr>
          <w:p>
            <w:pPr>
              <w:spacing w:after="40"/>
            </w:pPr>
            <w:r>
              <w:rPr>
                <w:sz w:val="16"/>
              </w:rPr>
              <w:t>Logging, Featureflags, Standardpfade, Limits</w:t>
            </w:r>
          </w:p>
        </w:tc>
        <w:tc>
          <w:tcPr>
            <w:tcW w:type="dxa" w:w="1417"/>
            <w:vAlign w:val="top"/>
            <w:shd w:fill="F4F7F8"/>
            <w:tcMar>
              <w:top w:w="60" w:type="dxa"/>
              <w:left w:w="80" w:type="dxa"/>
              <w:bottom w:w="60" w:type="dxa"/>
              <w:right w:w="80" w:type="dxa"/>
            </w:tcMar>
          </w:tcPr>
          <w:p>
            <w:pPr>
              <w:spacing w:after="40"/>
            </w:pPr>
            <w:r>
              <w:rPr>
                <w:sz w:val="16"/>
              </w:rPr>
              <w:t>Nein</w:t>
            </w:r>
          </w:p>
        </w:tc>
      </w:tr>
      <w:tr>
        <w:trPr>
          <w:cantSplit/>
        </w:trPr>
        <w:tc>
          <w:tcPr>
            <w:tcW w:type="dxa" w:w="2551"/>
            <w:vAlign w:val="top"/>
            <w:tcMar>
              <w:top w:w="60" w:type="dxa"/>
              <w:left w:w="80" w:type="dxa"/>
              <w:bottom w:w="60" w:type="dxa"/>
              <w:right w:w="80" w:type="dxa"/>
            </w:tcMar>
          </w:tcPr>
          <w:p>
            <w:pPr>
              <w:spacing w:after="40"/>
            </w:pPr>
            <w:r>
              <w:rPr>
                <w:sz w:val="16"/>
              </w:rPr>
              <w:t>provider-profiles/*.json</w:t>
            </w:r>
          </w:p>
        </w:tc>
        <w:tc>
          <w:tcPr>
            <w:tcW w:type="dxa" w:w="5386"/>
            <w:vAlign w:val="top"/>
            <w:tcMar>
              <w:top w:w="60" w:type="dxa"/>
              <w:left w:w="80" w:type="dxa"/>
              <w:bottom w:w="60" w:type="dxa"/>
              <w:right w:w="80" w:type="dxa"/>
            </w:tcMar>
          </w:tcPr>
          <w:p>
            <w:pPr>
              <w:spacing w:after="40"/>
            </w:pPr>
            <w:r>
              <w:rPr>
                <w:sz w:val="16"/>
              </w:rPr>
              <w:t>GMX/IONOS und weitere Defaults</w:t>
            </w:r>
          </w:p>
        </w:tc>
        <w:tc>
          <w:tcPr>
            <w:tcW w:type="dxa" w:w="1417"/>
            <w:vAlign w:val="top"/>
            <w:tcMar>
              <w:top w:w="60" w:type="dxa"/>
              <w:left w:w="80" w:type="dxa"/>
              <w:bottom w:w="60" w:type="dxa"/>
              <w:right w:w="80" w:type="dxa"/>
            </w:tcMar>
          </w:tcPr>
          <w:p>
            <w:pPr>
              <w:spacing w:after="40"/>
            </w:pPr>
            <w:r>
              <w:rPr>
                <w:sz w:val="16"/>
              </w:rPr>
              <w:t>Nein</w:t>
            </w:r>
          </w:p>
        </w:tc>
      </w:tr>
      <w:tr>
        <w:trPr>
          <w:cantSplit/>
        </w:trPr>
        <w:tc>
          <w:tcPr>
            <w:tcW w:type="dxa" w:w="2551"/>
            <w:vAlign w:val="top"/>
            <w:shd w:fill="F4F7F8"/>
            <w:tcMar>
              <w:top w:w="60" w:type="dxa"/>
              <w:left w:w="80" w:type="dxa"/>
              <w:bottom w:w="60" w:type="dxa"/>
              <w:right w:w="80" w:type="dxa"/>
            </w:tcMar>
          </w:tcPr>
          <w:p>
            <w:pPr>
              <w:spacing w:after="40"/>
            </w:pPr>
            <w:r>
              <w:rPr>
                <w:sz w:val="16"/>
              </w:rPr>
              <w:t>brand-profiles/*.json</w:t>
            </w:r>
          </w:p>
        </w:tc>
        <w:tc>
          <w:tcPr>
            <w:tcW w:type="dxa" w:w="5386"/>
            <w:vAlign w:val="top"/>
            <w:shd w:fill="F4F7F8"/>
            <w:tcMar>
              <w:top w:w="60" w:type="dxa"/>
              <w:left w:w="80" w:type="dxa"/>
              <w:bottom w:w="60" w:type="dxa"/>
              <w:right w:w="80" w:type="dxa"/>
            </w:tcMar>
          </w:tcPr>
          <w:p>
            <w:pPr>
              <w:spacing w:after="40"/>
            </w:pPr>
            <w:r>
              <w:rPr>
                <w:sz w:val="16"/>
              </w:rPr>
              <w:t>lokale Marken-/Vertrauensprofile</w:t>
            </w:r>
          </w:p>
        </w:tc>
        <w:tc>
          <w:tcPr>
            <w:tcW w:type="dxa" w:w="1417"/>
            <w:vAlign w:val="top"/>
            <w:shd w:fill="F4F7F8"/>
            <w:tcMar>
              <w:top w:w="60" w:type="dxa"/>
              <w:left w:w="80" w:type="dxa"/>
              <w:bottom w:w="60" w:type="dxa"/>
              <w:right w:w="80" w:type="dxa"/>
            </w:tcMar>
          </w:tcPr>
          <w:p>
            <w:pPr>
              <w:spacing w:after="40"/>
            </w:pPr>
            <w:r>
              <w:rPr>
                <w:sz w:val="16"/>
              </w:rPr>
              <w:t>Nein</w:t>
            </w:r>
          </w:p>
        </w:tc>
      </w:tr>
      <w:tr>
        <w:trPr>
          <w:cantSplit/>
        </w:trPr>
        <w:tc>
          <w:tcPr>
            <w:tcW w:type="dxa" w:w="2551"/>
            <w:vAlign w:val="top"/>
            <w:tcMar>
              <w:top w:w="60" w:type="dxa"/>
              <w:left w:w="80" w:type="dxa"/>
              <w:bottom w:w="60" w:type="dxa"/>
              <w:right w:w="80" w:type="dxa"/>
            </w:tcMar>
          </w:tcPr>
          <w:p>
            <w:pPr>
              <w:spacing w:after="40"/>
            </w:pPr>
            <w:r>
              <w:rPr>
                <w:sz w:val="16"/>
              </w:rPr>
              <w:t>ui-settings.json</w:t>
            </w:r>
          </w:p>
        </w:tc>
        <w:tc>
          <w:tcPr>
            <w:tcW w:type="dxa" w:w="5386"/>
            <w:vAlign w:val="top"/>
            <w:tcMar>
              <w:top w:w="60" w:type="dxa"/>
              <w:left w:w="80" w:type="dxa"/>
              <w:bottom w:w="60" w:type="dxa"/>
              <w:right w:w="80" w:type="dxa"/>
            </w:tcMar>
          </w:tcPr>
          <w:p>
            <w:pPr>
              <w:spacing w:after="40"/>
            </w:pPr>
            <w:r>
              <w:rPr>
                <w:sz w:val="16"/>
              </w:rPr>
              <w:t>Theme, Layout, Dichte, Fensterzustand</w:t>
            </w:r>
          </w:p>
        </w:tc>
        <w:tc>
          <w:tcPr>
            <w:tcW w:type="dxa" w:w="1417"/>
            <w:vAlign w:val="top"/>
            <w:tcMar>
              <w:top w:w="60" w:type="dxa"/>
              <w:left w:w="80" w:type="dxa"/>
              <w:bottom w:w="60" w:type="dxa"/>
              <w:right w:w="80" w:type="dxa"/>
            </w:tcMar>
          </w:tcPr>
          <w:p>
            <w:pPr>
              <w:spacing w:after="40"/>
            </w:pPr>
            <w:r>
              <w:rPr>
                <w:sz w:val="16"/>
              </w:rPr>
              <w:t>Nein</w:t>
            </w:r>
          </w:p>
        </w:tc>
      </w:tr>
      <w:tr>
        <w:trPr>
          <w:cantSplit/>
        </w:trPr>
        <w:tc>
          <w:tcPr>
            <w:tcW w:type="dxa" w:w="2551"/>
            <w:vAlign w:val="top"/>
            <w:shd w:fill="F4F7F8"/>
            <w:tcMar>
              <w:top w:w="60" w:type="dxa"/>
              <w:left w:w="80" w:type="dxa"/>
              <w:bottom w:w="60" w:type="dxa"/>
              <w:right w:w="80" w:type="dxa"/>
            </w:tcMar>
          </w:tcPr>
          <w:p>
            <w:pPr>
              <w:spacing w:after="40"/>
            </w:pPr>
            <w:r>
              <w:rPr>
                <w:sz w:val="16"/>
              </w:rPr>
              <w:t>SQLite</w:t>
            </w:r>
          </w:p>
        </w:tc>
        <w:tc>
          <w:tcPr>
            <w:tcW w:type="dxa" w:w="5386"/>
            <w:vAlign w:val="top"/>
            <w:shd w:fill="F4F7F8"/>
            <w:tcMar>
              <w:top w:w="60" w:type="dxa"/>
              <w:left w:w="80" w:type="dxa"/>
              <w:bottom w:w="60" w:type="dxa"/>
              <w:right w:w="80" w:type="dxa"/>
            </w:tcMar>
          </w:tcPr>
          <w:p>
            <w:pPr>
              <w:spacing w:after="40"/>
            </w:pPr>
            <w:r>
              <w:rPr>
                <w:sz w:val="16"/>
              </w:rPr>
              <w:t>fachliche Daten, Zustände, Indizes</w:t>
            </w:r>
          </w:p>
        </w:tc>
        <w:tc>
          <w:tcPr>
            <w:tcW w:type="dxa" w:w="1417"/>
            <w:vAlign w:val="top"/>
            <w:shd w:fill="F4F7F8"/>
            <w:tcMar>
              <w:top w:w="60" w:type="dxa"/>
              <w:left w:w="80" w:type="dxa"/>
              <w:bottom w:w="60" w:type="dxa"/>
              <w:right w:w="80" w:type="dxa"/>
            </w:tcMar>
          </w:tcPr>
          <w:p>
            <w:pPr>
              <w:spacing w:after="40"/>
            </w:pPr>
            <w:r>
              <w:rPr>
                <w:sz w:val="16"/>
              </w:rPr>
              <w:t>Nein, keine Passwörter</w:t>
            </w:r>
          </w:p>
        </w:tc>
      </w:tr>
      <w:tr>
        <w:trPr>
          <w:cantSplit/>
        </w:trPr>
        <w:tc>
          <w:tcPr>
            <w:tcW w:type="dxa" w:w="2551"/>
            <w:vAlign w:val="top"/>
            <w:tcMar>
              <w:top w:w="60" w:type="dxa"/>
              <w:left w:w="80" w:type="dxa"/>
              <w:bottom w:w="60" w:type="dxa"/>
              <w:right w:w="80" w:type="dxa"/>
            </w:tcMar>
          </w:tcPr>
          <w:p>
            <w:pPr>
              <w:spacing w:after="40"/>
            </w:pPr>
            <w:r>
              <w:rPr>
                <w:sz w:val="16"/>
              </w:rPr>
              <w:t>Windows Secret Store</w:t>
            </w:r>
          </w:p>
        </w:tc>
        <w:tc>
          <w:tcPr>
            <w:tcW w:type="dxa" w:w="5386"/>
            <w:vAlign w:val="top"/>
            <w:tcMar>
              <w:top w:w="60" w:type="dxa"/>
              <w:left w:w="80" w:type="dxa"/>
              <w:bottom w:w="60" w:type="dxa"/>
              <w:right w:w="80" w:type="dxa"/>
            </w:tcMar>
          </w:tcPr>
          <w:p>
            <w:pPr>
              <w:spacing w:after="40"/>
            </w:pPr>
            <w:r>
              <w:rPr>
                <w:sz w:val="16"/>
              </w:rPr>
              <w:t>Passwörter/App-Passwörter/Tokens</w:t>
            </w:r>
          </w:p>
        </w:tc>
        <w:tc>
          <w:tcPr>
            <w:tcW w:type="dxa" w:w="1417"/>
            <w:vAlign w:val="top"/>
            <w:tcMar>
              <w:top w:w="60" w:type="dxa"/>
              <w:left w:w="80" w:type="dxa"/>
              <w:bottom w:w="60" w:type="dxa"/>
              <w:right w:w="80" w:type="dxa"/>
            </w:tcMar>
          </w:tcPr>
          <w:p>
            <w:pPr>
              <w:spacing w:after="40"/>
            </w:pPr>
            <w:r>
              <w:rPr>
                <w:sz w:val="16"/>
              </w:rPr>
              <w:t>Ja</w:t>
            </w:r>
          </w:p>
        </w:tc>
      </w:tr>
    </w:tbl>
    <w:p>
      <w:pPr>
        <w:keepLines/>
      </w:pPr>
    </w:p>
    <w:p>
      <w:pPr>
        <w:pStyle w:val="Heading1"/>
        <w:keepNext/>
        <w:keepLines/>
      </w:pPr>
      <w:r>
        <w:t>22. Umsetzungsplan bis Version 1.0.0</w:t>
      </w:r>
    </w:p>
    <w:tbl>
      <w:tblPr>
        <w:tblStyle w:val="TableGrid"/>
        <w:tblW w:type="auto" w:w="0"/>
        <w:jc w:val="center"/>
        <w:tblLook w:firstColumn="1" w:firstRow="1" w:lastColumn="0" w:lastRow="0" w:noHBand="0" w:noVBand="1" w:val="04A0"/>
      </w:tblPr>
      <w:tblGrid>
        <w:gridCol w:w="3343"/>
        <w:gridCol w:w="3343"/>
        <w:gridCol w:w="3343"/>
      </w:tblGrid>
      <w:tr>
        <w:trPr>
          <w:tblHeader w:val="true"/>
          <w:cantSplit/>
        </w:trPr>
        <w:tc>
          <w:tcPr>
            <w:tcW w:type="dxa" w:w="1814"/>
            <w:shd w:fill="244A5A"/>
            <w:vAlign w:val="center"/>
            <w:tcMar>
              <w:top w:w="60" w:type="dxa"/>
              <w:left w:w="80" w:type="dxa"/>
              <w:bottom w:w="60" w:type="dxa"/>
              <w:right w:w="80" w:type="dxa"/>
            </w:tcMar>
          </w:tcPr>
          <w:p>
            <w:pPr>
              <w:jc w:val="center"/>
            </w:pPr>
            <w:r>
              <w:rPr>
                <w:b/>
                <w:color w:val="FFFFFF"/>
                <w:sz w:val="15"/>
              </w:rPr>
              <w:t>Meilenstein</w:t>
            </w:r>
          </w:p>
        </w:tc>
        <w:tc>
          <w:tcPr>
            <w:tcW w:type="dxa" w:w="4535"/>
            <w:shd w:fill="244A5A"/>
            <w:vAlign w:val="center"/>
            <w:tcMar>
              <w:top w:w="60" w:type="dxa"/>
              <w:left w:w="80" w:type="dxa"/>
              <w:bottom w:w="60" w:type="dxa"/>
              <w:right w:w="80" w:type="dxa"/>
            </w:tcMar>
          </w:tcPr>
          <w:p>
            <w:pPr>
              <w:jc w:val="center"/>
            </w:pPr>
            <w:r>
              <w:rPr>
                <w:b/>
                <w:color w:val="FFFFFF"/>
                <w:sz w:val="15"/>
              </w:rPr>
              <w:t>Inhalt</w:t>
            </w:r>
          </w:p>
        </w:tc>
        <w:tc>
          <w:tcPr>
            <w:tcW w:type="dxa" w:w="3005"/>
            <w:shd w:fill="244A5A"/>
            <w:vAlign w:val="center"/>
            <w:tcMar>
              <w:top w:w="60" w:type="dxa"/>
              <w:left w:w="80" w:type="dxa"/>
              <w:bottom w:w="60" w:type="dxa"/>
              <w:right w:w="80" w:type="dxa"/>
            </w:tcMar>
          </w:tcPr>
          <w:p>
            <w:pPr>
              <w:jc w:val="center"/>
            </w:pPr>
            <w:r>
              <w:rPr>
                <w:b/>
                <w:color w:val="FFFFFF"/>
                <w:sz w:val="15"/>
              </w:rPr>
              <w:t>Exit-Kriterien</w:t>
            </w:r>
          </w:p>
        </w:tc>
      </w:tr>
      <w:tr>
        <w:trPr>
          <w:cantSplit/>
        </w:trPr>
        <w:tc>
          <w:tcPr>
            <w:tcW w:type="dxa" w:w="1814"/>
            <w:vAlign w:val="top"/>
            <w:shd w:fill="F4F7F8"/>
            <w:tcMar>
              <w:top w:w="60" w:type="dxa"/>
              <w:left w:w="80" w:type="dxa"/>
              <w:bottom w:w="60" w:type="dxa"/>
              <w:right w:w="80" w:type="dxa"/>
            </w:tcMar>
          </w:tcPr>
          <w:p>
            <w:pPr>
              <w:spacing w:after="40"/>
            </w:pPr>
            <w:r>
              <w:rPr>
                <w:sz w:val="15"/>
              </w:rPr>
              <w:t>M0 - Konsolidierung</w:t>
            </w:r>
          </w:p>
        </w:tc>
        <w:tc>
          <w:tcPr>
            <w:tcW w:type="dxa" w:w="4535"/>
            <w:vAlign w:val="top"/>
            <w:shd w:fill="F4F7F8"/>
            <w:tcMar>
              <w:top w:w="60" w:type="dxa"/>
              <w:left w:w="80" w:type="dxa"/>
              <w:bottom w:w="60" w:type="dxa"/>
              <w:right w:w="80" w:type="dxa"/>
            </w:tcMar>
          </w:tcPr>
          <w:p>
            <w:pPr>
              <w:spacing w:after="40"/>
            </w:pPr>
            <w:r>
              <w:rPr>
                <w:sz w:val="15"/>
              </w:rPr>
              <w:t>Pflichtenheft freigeben, v0.3.0 inventarisieren, Namespace-/Repo-Entscheidung, .NET-10-Migration</w:t>
            </w:r>
          </w:p>
        </w:tc>
        <w:tc>
          <w:tcPr>
            <w:tcW w:type="dxa" w:w="3005"/>
            <w:vAlign w:val="top"/>
            <w:shd w:fill="F4F7F8"/>
            <w:tcMar>
              <w:top w:w="60" w:type="dxa"/>
              <w:left w:w="80" w:type="dxa"/>
              <w:bottom w:w="60" w:type="dxa"/>
              <w:right w:w="80" w:type="dxa"/>
            </w:tcMar>
          </w:tcPr>
          <w:p>
            <w:pPr>
              <w:spacing w:after="40"/>
            </w:pPr>
            <w:r>
              <w:rPr>
                <w:sz w:val="15"/>
              </w:rPr>
              <w:t>Build grün; alte Tests grün; ADR-009 freigegeben.</w:t>
            </w:r>
          </w:p>
        </w:tc>
      </w:tr>
      <w:tr>
        <w:trPr>
          <w:cantSplit/>
        </w:trPr>
        <w:tc>
          <w:tcPr>
            <w:tcW w:type="dxa" w:w="1814"/>
            <w:vAlign w:val="top"/>
            <w:tcMar>
              <w:top w:w="60" w:type="dxa"/>
              <w:left w:w="80" w:type="dxa"/>
              <w:bottom w:w="60" w:type="dxa"/>
              <w:right w:w="80" w:type="dxa"/>
            </w:tcMar>
          </w:tcPr>
          <w:p>
            <w:pPr>
              <w:spacing w:after="40"/>
            </w:pPr>
            <w:r>
              <w:rPr>
                <w:sz w:val="15"/>
              </w:rPr>
              <w:t>M1 - Architekturgrundlage</w:t>
            </w:r>
          </w:p>
        </w:tc>
        <w:tc>
          <w:tcPr>
            <w:tcW w:type="dxa" w:w="4535"/>
            <w:vAlign w:val="top"/>
            <w:tcMar>
              <w:top w:w="60" w:type="dxa"/>
              <w:left w:w="80" w:type="dxa"/>
              <w:bottom w:w="60" w:type="dxa"/>
              <w:right w:w="80" w:type="dxa"/>
            </w:tcMar>
          </w:tcPr>
          <w:p>
            <w:pPr>
              <w:spacing w:after="40"/>
            </w:pPr>
            <w:r>
              <w:rPr>
                <w:sz w:val="15"/>
              </w:rPr>
              <w:t>Solutionprojekte, DI, Architekturtests, Error/Result Contracts, Logging</w:t>
            </w:r>
          </w:p>
        </w:tc>
        <w:tc>
          <w:tcPr>
            <w:tcW w:type="dxa" w:w="3005"/>
            <w:vAlign w:val="top"/>
            <w:tcMar>
              <w:top w:w="60" w:type="dxa"/>
              <w:left w:w="80" w:type="dxa"/>
              <w:bottom w:w="60" w:type="dxa"/>
              <w:right w:w="80" w:type="dxa"/>
            </w:tcMar>
          </w:tcPr>
          <w:p>
            <w:pPr>
              <w:spacing w:after="40"/>
            </w:pPr>
            <w:r>
              <w:rPr>
                <w:sz w:val="15"/>
              </w:rPr>
              <w:t>verbotene Referenzen automatisiert gesperrt.</w:t>
            </w:r>
          </w:p>
        </w:tc>
      </w:tr>
      <w:tr>
        <w:trPr>
          <w:cantSplit/>
        </w:trPr>
        <w:tc>
          <w:tcPr>
            <w:tcW w:type="dxa" w:w="1814"/>
            <w:vAlign w:val="top"/>
            <w:shd w:fill="F4F7F8"/>
            <w:tcMar>
              <w:top w:w="60" w:type="dxa"/>
              <w:left w:w="80" w:type="dxa"/>
              <w:bottom w:w="60" w:type="dxa"/>
              <w:right w:w="80" w:type="dxa"/>
            </w:tcMar>
          </w:tcPr>
          <w:p>
            <w:pPr>
              <w:spacing w:after="40"/>
            </w:pPr>
            <w:r>
              <w:rPr>
                <w:sz w:val="15"/>
              </w:rPr>
              <w:t>M2 - Persistenz 1.0</w:t>
            </w:r>
          </w:p>
        </w:tc>
        <w:tc>
          <w:tcPr>
            <w:tcW w:type="dxa" w:w="4535"/>
            <w:vAlign w:val="top"/>
            <w:shd w:fill="F4F7F8"/>
            <w:tcMar>
              <w:top w:w="60" w:type="dxa"/>
              <w:left w:w="80" w:type="dxa"/>
              <w:bottom w:w="60" w:type="dxa"/>
              <w:right w:w="80" w:type="dxa"/>
            </w:tcMar>
          </w:tcPr>
          <w:p>
            <w:pPr>
              <w:spacing w:after="40"/>
            </w:pPr>
            <w:r>
              <w:rPr>
                <w:sz w:val="15"/>
              </w:rPr>
              <w:t>Schema, Migrationen, Raw Store, atomare Übernahme, FTS5-Grundlage</w:t>
            </w:r>
          </w:p>
        </w:tc>
        <w:tc>
          <w:tcPr>
            <w:tcW w:type="dxa" w:w="3005"/>
            <w:vAlign w:val="top"/>
            <w:shd w:fill="F4F7F8"/>
            <w:tcMar>
              <w:top w:w="60" w:type="dxa"/>
              <w:left w:w="80" w:type="dxa"/>
              <w:bottom w:w="60" w:type="dxa"/>
              <w:right w:w="80" w:type="dxa"/>
            </w:tcMar>
          </w:tcPr>
          <w:p>
            <w:pPr>
              <w:spacing w:after="40"/>
            </w:pPr>
            <w:r>
              <w:rPr>
                <w:sz w:val="15"/>
              </w:rPr>
              <w:t>Crash-/Recovery-Tests grün.</w:t>
            </w:r>
          </w:p>
        </w:tc>
      </w:tr>
      <w:tr>
        <w:trPr>
          <w:cantSplit/>
        </w:trPr>
        <w:tc>
          <w:tcPr>
            <w:tcW w:type="dxa" w:w="1814"/>
            <w:vAlign w:val="top"/>
            <w:tcMar>
              <w:top w:w="60" w:type="dxa"/>
              <w:left w:w="80" w:type="dxa"/>
              <w:bottom w:w="60" w:type="dxa"/>
              <w:right w:w="80" w:type="dxa"/>
            </w:tcMar>
          </w:tcPr>
          <w:p>
            <w:pPr>
              <w:spacing w:after="40"/>
            </w:pPr>
            <w:r>
              <w:rPr>
                <w:sz w:val="15"/>
              </w:rPr>
              <w:t>M3 - Konten und POP3</w:t>
            </w:r>
          </w:p>
        </w:tc>
        <w:tc>
          <w:tcPr>
            <w:tcW w:type="dxa" w:w="4535"/>
            <w:vAlign w:val="top"/>
            <w:tcMar>
              <w:top w:w="60" w:type="dxa"/>
              <w:left w:w="80" w:type="dxa"/>
              <w:bottom w:w="60" w:type="dxa"/>
              <w:right w:w="80" w:type="dxa"/>
            </w:tcMar>
          </w:tcPr>
          <w:p>
            <w:pPr>
              <w:spacing w:after="40"/>
            </w:pPr>
            <w:r>
              <w:rPr>
                <w:sz w:val="15"/>
              </w:rPr>
              <w:t>Providerprofile, Secrets, Connection Test, normaler Abruf</w:t>
            </w:r>
          </w:p>
        </w:tc>
        <w:tc>
          <w:tcPr>
            <w:tcW w:type="dxa" w:w="3005"/>
            <w:vAlign w:val="top"/>
            <w:tcMar>
              <w:top w:w="60" w:type="dxa"/>
              <w:left w:w="80" w:type="dxa"/>
              <w:bottom w:w="60" w:type="dxa"/>
              <w:right w:w="80" w:type="dxa"/>
            </w:tcMar>
          </w:tcPr>
          <w:p>
            <w:pPr>
              <w:spacing w:after="40"/>
            </w:pPr>
            <w:r>
              <w:rPr>
                <w:sz w:val="15"/>
              </w:rPr>
              <w:t>AT-001/002/005 grün.</w:t>
            </w:r>
          </w:p>
        </w:tc>
      </w:tr>
      <w:tr>
        <w:trPr>
          <w:cantSplit/>
        </w:trPr>
        <w:tc>
          <w:tcPr>
            <w:tcW w:type="dxa" w:w="1814"/>
            <w:vAlign w:val="top"/>
            <w:shd w:fill="F4F7F8"/>
            <w:tcMar>
              <w:top w:w="60" w:type="dxa"/>
              <w:left w:w="80" w:type="dxa"/>
              <w:bottom w:w="60" w:type="dxa"/>
              <w:right w:w="80" w:type="dxa"/>
            </w:tcMar>
          </w:tcPr>
          <w:p>
            <w:pPr>
              <w:spacing w:after="40"/>
            </w:pPr>
            <w:r>
              <w:rPr>
                <w:sz w:val="15"/>
              </w:rPr>
              <w:t>M4 - Get all und Deduplizierung</w:t>
            </w:r>
          </w:p>
        </w:tc>
        <w:tc>
          <w:tcPr>
            <w:tcW w:type="dxa" w:w="4535"/>
            <w:vAlign w:val="top"/>
            <w:shd w:fill="F4F7F8"/>
            <w:tcMar>
              <w:top w:w="60" w:type="dxa"/>
              <w:left w:w="80" w:type="dxa"/>
              <w:bottom w:w="60" w:type="dxa"/>
              <w:right w:w="80" w:type="dxa"/>
            </w:tcMar>
          </w:tcPr>
          <w:p>
            <w:pPr>
              <w:spacing w:after="40"/>
            </w:pPr>
            <w:r>
              <w:rPr>
                <w:sz w:val="15"/>
              </w:rPr>
              <w:t>vollständiger Abruf, Hash, Temp, Bericht, Bestandsprüfung</w:t>
            </w:r>
          </w:p>
        </w:tc>
        <w:tc>
          <w:tcPr>
            <w:tcW w:type="dxa" w:w="3005"/>
            <w:vAlign w:val="top"/>
            <w:shd w:fill="F4F7F8"/>
            <w:tcMar>
              <w:top w:w="60" w:type="dxa"/>
              <w:left w:w="80" w:type="dxa"/>
              <w:bottom w:w="60" w:type="dxa"/>
              <w:right w:w="80" w:type="dxa"/>
            </w:tcMar>
          </w:tcPr>
          <w:p>
            <w:pPr>
              <w:spacing w:after="40"/>
            </w:pPr>
            <w:r>
              <w:rPr>
                <w:sz w:val="15"/>
              </w:rPr>
              <w:t>AT-003/004 grün.</w:t>
            </w:r>
          </w:p>
        </w:tc>
      </w:tr>
      <w:tr>
        <w:trPr>
          <w:cantSplit/>
        </w:trPr>
        <w:tc>
          <w:tcPr>
            <w:tcW w:type="dxa" w:w="1814"/>
            <w:vAlign w:val="top"/>
            <w:tcMar>
              <w:top w:w="60" w:type="dxa"/>
              <w:left w:w="80" w:type="dxa"/>
              <w:bottom w:w="60" w:type="dxa"/>
              <w:right w:w="80" w:type="dxa"/>
            </w:tcMar>
          </w:tcPr>
          <w:p>
            <w:pPr>
              <w:spacing w:after="40"/>
            </w:pPr>
            <w:r>
              <w:rPr>
                <w:sz w:val="15"/>
              </w:rPr>
              <w:t>M5 - MIME und Darstellung</w:t>
            </w:r>
          </w:p>
        </w:tc>
        <w:tc>
          <w:tcPr>
            <w:tcW w:type="dxa" w:w="4535"/>
            <w:vAlign w:val="top"/>
            <w:tcMar>
              <w:top w:w="60" w:type="dxa"/>
              <w:left w:w="80" w:type="dxa"/>
              <w:bottom w:w="60" w:type="dxa"/>
              <w:right w:w="80" w:type="dxa"/>
            </w:tcMar>
          </w:tcPr>
          <w:p>
            <w:pPr>
              <w:spacing w:after="40"/>
            </w:pPr>
            <w:r>
              <w:rPr>
                <w:sz w:val="15"/>
              </w:rPr>
              <w:t>MimeKit-Adapter, Parser, sichere HTML-Policy, Raw/MIME-Ansicht</w:t>
            </w:r>
          </w:p>
        </w:tc>
        <w:tc>
          <w:tcPr>
            <w:tcW w:type="dxa" w:w="3005"/>
            <w:vAlign w:val="top"/>
            <w:tcMar>
              <w:top w:w="60" w:type="dxa"/>
              <w:left w:w="80" w:type="dxa"/>
              <w:bottom w:w="60" w:type="dxa"/>
              <w:right w:w="80" w:type="dxa"/>
            </w:tcMar>
          </w:tcPr>
          <w:p>
            <w:pPr>
              <w:spacing w:after="40"/>
            </w:pPr>
            <w:r>
              <w:rPr>
                <w:sz w:val="15"/>
              </w:rPr>
              <w:t>AT-011/012 grün.</w:t>
            </w:r>
          </w:p>
        </w:tc>
      </w:tr>
      <w:tr>
        <w:trPr>
          <w:cantSplit/>
        </w:trPr>
        <w:tc>
          <w:tcPr>
            <w:tcW w:type="dxa" w:w="1814"/>
            <w:vAlign w:val="top"/>
            <w:shd w:fill="F4F7F8"/>
            <w:tcMar>
              <w:top w:w="60" w:type="dxa"/>
              <w:left w:w="80" w:type="dxa"/>
              <w:bottom w:w="60" w:type="dxa"/>
              <w:right w:w="80" w:type="dxa"/>
            </w:tcMar>
          </w:tcPr>
          <w:p>
            <w:pPr>
              <w:spacing w:after="40"/>
            </w:pPr>
            <w:r>
              <w:rPr>
                <w:sz w:val="15"/>
              </w:rPr>
              <w:t>M6 - Warnsystem</w:t>
            </w:r>
          </w:p>
        </w:tc>
        <w:tc>
          <w:tcPr>
            <w:tcW w:type="dxa" w:w="4535"/>
            <w:vAlign w:val="top"/>
            <w:shd w:fill="F4F7F8"/>
            <w:tcMar>
              <w:top w:w="60" w:type="dxa"/>
              <w:left w:w="80" w:type="dxa"/>
              <w:bottom w:w="60" w:type="dxa"/>
              <w:right w:w="80" w:type="dxa"/>
            </w:tcMar>
          </w:tcPr>
          <w:p>
            <w:pPr>
              <w:spacing w:after="40"/>
            </w:pPr>
            <w:r>
              <w:rPr>
                <w:sz w:val="15"/>
              </w:rPr>
              <w:t>Link/Identity/IDN/Brand/Auth/Attachment Analyzer</w:t>
            </w:r>
          </w:p>
        </w:tc>
        <w:tc>
          <w:tcPr>
            <w:tcW w:type="dxa" w:w="3005"/>
            <w:vAlign w:val="top"/>
            <w:shd w:fill="F4F7F8"/>
            <w:tcMar>
              <w:top w:w="60" w:type="dxa"/>
              <w:left w:w="80" w:type="dxa"/>
              <w:bottom w:w="60" w:type="dxa"/>
              <w:right w:w="80" w:type="dxa"/>
            </w:tcMar>
          </w:tcPr>
          <w:p>
            <w:pPr>
              <w:spacing w:after="40"/>
            </w:pPr>
            <w:r>
              <w:rPr>
                <w:sz w:val="15"/>
              </w:rPr>
              <w:t>AT-006/007/008 grün.</w:t>
            </w:r>
          </w:p>
        </w:tc>
      </w:tr>
      <w:tr>
        <w:trPr>
          <w:cantSplit/>
        </w:trPr>
        <w:tc>
          <w:tcPr>
            <w:tcW w:type="dxa" w:w="1814"/>
            <w:vAlign w:val="top"/>
            <w:tcMar>
              <w:top w:w="60" w:type="dxa"/>
              <w:left w:w="80" w:type="dxa"/>
              <w:bottom w:w="60" w:type="dxa"/>
              <w:right w:w="80" w:type="dxa"/>
            </w:tcMar>
          </w:tcPr>
          <w:p>
            <w:pPr>
              <w:spacing w:after="40"/>
            </w:pPr>
            <w:r>
              <w:rPr>
                <w:sz w:val="15"/>
              </w:rPr>
              <w:t>M7 - Versand</w:t>
            </w:r>
          </w:p>
        </w:tc>
        <w:tc>
          <w:tcPr>
            <w:tcW w:type="dxa" w:w="4535"/>
            <w:vAlign w:val="top"/>
            <w:tcMar>
              <w:top w:w="60" w:type="dxa"/>
              <w:left w:w="80" w:type="dxa"/>
              <w:bottom w:w="60" w:type="dxa"/>
              <w:right w:w="80" w:type="dxa"/>
            </w:tcMar>
          </w:tcPr>
          <w:p>
            <w:pPr>
              <w:spacing w:after="40"/>
            </w:pPr>
            <w:r>
              <w:rPr>
                <w:sz w:val="15"/>
              </w:rPr>
              <w:t>Compose, Draft, Outbox, SMTP, lokales Gesendet, IMAP APPEND</w:t>
            </w:r>
          </w:p>
        </w:tc>
        <w:tc>
          <w:tcPr>
            <w:tcW w:type="dxa" w:w="3005"/>
            <w:vAlign w:val="top"/>
            <w:tcMar>
              <w:top w:w="60" w:type="dxa"/>
              <w:left w:w="80" w:type="dxa"/>
              <w:bottom w:w="60" w:type="dxa"/>
              <w:right w:w="80" w:type="dxa"/>
            </w:tcMar>
          </w:tcPr>
          <w:p>
            <w:pPr>
              <w:spacing w:after="40"/>
            </w:pPr>
            <w:r>
              <w:rPr>
                <w:sz w:val="15"/>
              </w:rPr>
              <w:t>AT-009/010 grün.</w:t>
            </w:r>
          </w:p>
        </w:tc>
      </w:tr>
      <w:tr>
        <w:trPr>
          <w:cantSplit/>
        </w:trPr>
        <w:tc>
          <w:tcPr>
            <w:tcW w:type="dxa" w:w="1814"/>
            <w:vAlign w:val="top"/>
            <w:shd w:fill="F4F7F8"/>
            <w:tcMar>
              <w:top w:w="60" w:type="dxa"/>
              <w:left w:w="80" w:type="dxa"/>
              <w:bottom w:w="60" w:type="dxa"/>
              <w:right w:w="80" w:type="dxa"/>
            </w:tcMar>
          </w:tcPr>
          <w:p>
            <w:pPr>
              <w:spacing w:after="40"/>
            </w:pPr>
            <w:r>
              <w:rPr>
                <w:sz w:val="15"/>
              </w:rPr>
              <w:t>M8 - Organisation</w:t>
            </w:r>
          </w:p>
        </w:tc>
        <w:tc>
          <w:tcPr>
            <w:tcW w:type="dxa" w:w="4535"/>
            <w:vAlign w:val="top"/>
            <w:shd w:fill="F4F7F8"/>
            <w:tcMar>
              <w:top w:w="60" w:type="dxa"/>
              <w:left w:w="80" w:type="dxa"/>
              <w:bottom w:w="60" w:type="dxa"/>
              <w:right w:w="80" w:type="dxa"/>
            </w:tcMar>
          </w:tcPr>
          <w:p>
            <w:pPr>
              <w:spacing w:after="40"/>
            </w:pPr>
            <w:r>
              <w:rPr>
                <w:sz w:val="15"/>
              </w:rPr>
              <w:t>Ordner, Tags, Suche, Regeln, Attachment Save</w:t>
            </w:r>
          </w:p>
        </w:tc>
        <w:tc>
          <w:tcPr>
            <w:tcW w:type="dxa" w:w="3005"/>
            <w:vAlign w:val="top"/>
            <w:shd w:fill="F4F7F8"/>
            <w:tcMar>
              <w:top w:w="60" w:type="dxa"/>
              <w:left w:w="80" w:type="dxa"/>
              <w:bottom w:w="60" w:type="dxa"/>
              <w:right w:w="80" w:type="dxa"/>
            </w:tcMar>
          </w:tcPr>
          <w:p>
            <w:pPr>
              <w:spacing w:after="40"/>
            </w:pPr>
            <w:r>
              <w:rPr>
                <w:sz w:val="15"/>
              </w:rPr>
              <w:t>100k-/Suchtests grün.</w:t>
            </w:r>
          </w:p>
        </w:tc>
      </w:tr>
      <w:tr>
        <w:trPr>
          <w:cantSplit/>
        </w:trPr>
        <w:tc>
          <w:tcPr>
            <w:tcW w:type="dxa" w:w="1814"/>
            <w:vAlign w:val="top"/>
            <w:tcMar>
              <w:top w:w="60" w:type="dxa"/>
              <w:left w:w="80" w:type="dxa"/>
              <w:bottom w:w="60" w:type="dxa"/>
              <w:right w:w="80" w:type="dxa"/>
            </w:tcMar>
          </w:tcPr>
          <w:p>
            <w:pPr>
              <w:spacing w:after="40"/>
            </w:pPr>
            <w:r>
              <w:rPr>
                <w:sz w:val="15"/>
              </w:rPr>
              <w:t>M9 - Scientific/Extension</w:t>
            </w:r>
          </w:p>
        </w:tc>
        <w:tc>
          <w:tcPr>
            <w:tcW w:type="dxa" w:w="4535"/>
            <w:vAlign w:val="top"/>
            <w:tcMar>
              <w:top w:w="60" w:type="dxa"/>
              <w:left w:w="80" w:type="dxa"/>
              <w:bottom w:w="60" w:type="dxa"/>
              <w:right w:w="80" w:type="dxa"/>
            </w:tcMar>
          </w:tcPr>
          <w:p>
            <w:pPr>
              <w:spacing w:after="40"/>
            </w:pPr>
            <w:r>
              <w:rPr>
                <w:sz w:val="15"/>
              </w:rPr>
              <w:t>Message Laboratory, Analysis Runs, Extension Contracts, Reportgrundlage</w:t>
            </w:r>
          </w:p>
        </w:tc>
        <w:tc>
          <w:tcPr>
            <w:tcW w:type="dxa" w:w="3005"/>
            <w:vAlign w:val="top"/>
            <w:tcMar>
              <w:top w:w="60" w:type="dxa"/>
              <w:left w:w="80" w:type="dxa"/>
              <w:bottom w:w="60" w:type="dxa"/>
              <w:right w:w="80" w:type="dxa"/>
            </w:tcMar>
          </w:tcPr>
          <w:p>
            <w:pPr>
              <w:spacing w:after="40"/>
            </w:pPr>
            <w:r>
              <w:rPr>
                <w:sz w:val="15"/>
              </w:rPr>
              <w:t>AT-013/015 grün.</w:t>
            </w:r>
          </w:p>
        </w:tc>
      </w:tr>
      <w:tr>
        <w:trPr>
          <w:cantSplit/>
        </w:trPr>
        <w:tc>
          <w:tcPr>
            <w:tcW w:type="dxa" w:w="1814"/>
            <w:vAlign w:val="top"/>
            <w:shd w:fill="F4F7F8"/>
            <w:tcMar>
              <w:top w:w="60" w:type="dxa"/>
              <w:left w:w="80" w:type="dxa"/>
              <w:bottom w:w="60" w:type="dxa"/>
              <w:right w:w="80" w:type="dxa"/>
            </w:tcMar>
          </w:tcPr>
          <w:p>
            <w:pPr>
              <w:spacing w:after="40"/>
            </w:pPr>
            <w:r>
              <w:rPr>
                <w:sz w:val="15"/>
              </w:rPr>
              <w:t>M10 - Betrieb/Release</w:t>
            </w:r>
          </w:p>
        </w:tc>
        <w:tc>
          <w:tcPr>
            <w:tcW w:type="dxa" w:w="4535"/>
            <w:vAlign w:val="top"/>
            <w:shd w:fill="F4F7F8"/>
            <w:tcMar>
              <w:top w:w="60" w:type="dxa"/>
              <w:left w:w="80" w:type="dxa"/>
              <w:bottom w:w="60" w:type="dxa"/>
              <w:right w:w="80" w:type="dxa"/>
            </w:tcMar>
          </w:tcPr>
          <w:p>
            <w:pPr>
              <w:spacing w:after="40"/>
            </w:pPr>
            <w:r>
              <w:rPr>
                <w:sz w:val="15"/>
              </w:rPr>
              <w:t>Backup/Restore, Diagnose, Accessibility, Handbücher, Installer</w:t>
            </w:r>
          </w:p>
        </w:tc>
        <w:tc>
          <w:tcPr>
            <w:tcW w:type="dxa" w:w="3005"/>
            <w:vAlign w:val="top"/>
            <w:shd w:fill="F4F7F8"/>
            <w:tcMar>
              <w:top w:w="60" w:type="dxa"/>
              <w:left w:w="80" w:type="dxa"/>
              <w:bottom w:w="60" w:type="dxa"/>
              <w:right w:w="80" w:type="dxa"/>
            </w:tcMar>
          </w:tcPr>
          <w:p>
            <w:pPr>
              <w:spacing w:after="40"/>
            </w:pPr>
            <w:r>
              <w:rPr>
                <w:sz w:val="15"/>
              </w:rPr>
              <w:t>AT-014/016/017 und alle MUSS grün.</w:t>
            </w:r>
          </w:p>
        </w:tc>
      </w:tr>
    </w:tbl>
    <w:p>
      <w:pPr>
        <w:keepLines/>
      </w:pPr>
    </w:p>
    <w:p>
      <w:pPr>
        <w:pStyle w:val="Heading1"/>
        <w:keepNext/>
        <w:keepLines/>
      </w:pPr>
      <w:r>
        <w:t>23. Rückverfolgbarkeit aller Anforderungen</w:t>
      </w:r>
    </w:p>
    <w:p>
      <w:pPr>
        <w:pStyle w:val="BodyText"/>
        <w:keepLines/>
      </w:pPr>
      <w:r>
        <w:t>Dieses Kapitel behandelt jede funktionale und nichtfunktionale Anforderung des Lastenhefts einzeln. Der Wortlaut wird übernommen; Realisierung, betroffene Daten, Fehlerfälle und Verifikation werden verbindlich zugeordnet.</w:t>
      </w:r>
    </w:p>
    <w:p>
      <w:pPr>
        <w:pStyle w:val="Heading2"/>
        <w:keepNext/>
        <w:keepLines/>
      </w:pPr>
      <w:r>
        <w:t>23.1 Konten und Identitäten</w:t>
      </w:r>
    </w:p>
    <w:p>
      <w:pPr>
        <w:pStyle w:val="RequirementTitle"/>
        <w:keepNext/>
        <w:keepNext/>
        <w:keepLines/>
      </w:pPr>
      <w:r>
        <w:rPr>
          <w:b/>
          <w:color w:val="224B5E"/>
        </w:rPr>
        <w:t>LF-KTO-001  [MUSS]</w:t>
      </w:r>
      <w:r>
        <w:t xml:space="preserve"> - Die Anwendung muss mehrere POP3-/SMTP-Konten eines lokalen Benutzers verwalten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Konten werden durch eine unveränderliche AccountId getrennt. Sämtliche Nachrichten-, Abruf- und Versanddatensätze tragen diese AccountId als Fremdschlüssel; Konten können parallel konfiguriert, aber pro Konto serialisiert abgerufen werden. Primär betroffen sind Sasd.MailWorkbench.Application / Security / Persistence.Sqlite. Die fachlichen Daten werden über MailAccount, MailIdentity, ProviderProfile, SecretReference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MailAccount, MailIdentity, ProviderProfile, SecretReference. Zuständiger Hauptbaustein: Sasd.MailWorkbench.Application / Security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falscher Port/Sicherheitsmodus; Providerprofil veraltet; Konto deaktiviert bei laufendem Job.</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Fachlicher Nachweis: Mindestens zwei Konten lassen sich getrennt konfigurieren, aktivieren und abrufen.</w:t>
            </w:r>
          </w:p>
        </w:tc>
      </w:tr>
    </w:tbl>
    <w:p>
      <w:pPr>
        <w:spacing w:after="40"/>
        <w:keepLines/>
      </w:pPr>
    </w:p>
    <w:p>
      <w:pPr>
        <w:pStyle w:val="RequirementTitle"/>
        <w:keepNext/>
        <w:keepNext/>
        <w:keepLines/>
      </w:pPr>
      <w:r>
        <w:rPr>
          <w:b/>
          <w:color w:val="224B5E"/>
        </w:rPr>
        <w:t>LF-KTO-002  [MUSS]</w:t>
      </w:r>
      <w:r>
        <w:t xml:space="preserve"> - Für jedes Konto müssen Anzeigename, vollständige E-Mail-Adresse, Benutzername, Eingangsserver, Ausgangsserver, Ports und Sicherheitsmodi konfigurierbar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 / Security / Persistence.Sqlite. Die fachlichen Daten werden über MailAccount, MailIdentity, ProviderProfile, SecretReference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MailAccount, MailIdentity, ProviderProfile, SecretReference. Zuständiger Hauptbaustein: Sasd.MailWorkbench.Application / Security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falscher Port/Sicherheitsmodus; Providerprofil veraltet; Konto deaktiviert bei laufendem Job.</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Fachlicher Nachweis: Alle Felder sind editierbar, validiert und werden ohne Geheimnisse exportiert.</w:t>
            </w:r>
          </w:p>
        </w:tc>
      </w:tr>
    </w:tbl>
    <w:p>
      <w:pPr>
        <w:spacing w:after="40"/>
        <w:keepLines/>
      </w:pPr>
    </w:p>
    <w:p>
      <w:pPr>
        <w:pStyle w:val="RequirementTitle"/>
        <w:keepNext/>
        <w:keepNext/>
        <w:keepLines/>
      </w:pPr>
      <w:r>
        <w:rPr>
          <w:b/>
          <w:color w:val="224B5E"/>
        </w:rPr>
        <w:t>LF-KTO-003  [MUSS]</w:t>
      </w:r>
      <w:r>
        <w:t xml:space="preserve"> - Die Anwendung muss Providerprofile für GMX und IONOS anbieten, ohne manuelle Konfiguration zu verhindern.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Providerprofile werden als versionierte JSON-Ressourcen ausgeliefert und beim Kontoassistenten nur als Vorschlag angewendet. Nach dem Kopieren in das Kontomodell bleiben Host, Port und Security-Modus vollständig editierbar. Primär betroffen sind Sasd.MailWorkbench.Application / Security / Persistence.Sqlite. Die fachlichen Daten werden über MailAccount, MailIdentity, ProviderProfile, SecretReference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MailAccount, MailIdentity, ProviderProfile, SecretReference. Zuständiger Hauptbaustein: Sasd.MailWorkbench.Application / Security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falscher Port/Sicherheitsmodus; Providerprofil veraltet; Konto deaktiviert bei laufendem Job.</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Fachlicher Nachweis: GMX und IONOS sind auswählbar; alle Werte bleiben manuell überschreibbar.</w:t>
            </w:r>
          </w:p>
        </w:tc>
      </w:tr>
    </w:tbl>
    <w:p>
      <w:pPr>
        <w:spacing w:after="40"/>
        <w:keepLines/>
      </w:pPr>
    </w:p>
    <w:p>
      <w:pPr>
        <w:pStyle w:val="RequirementTitle"/>
        <w:keepNext/>
        <w:keepNext/>
        <w:keepLines/>
      </w:pPr>
      <w:r>
        <w:rPr>
          <w:b/>
          <w:color w:val="224B5E"/>
        </w:rPr>
        <w:t>LF-KTO-004  [MUSS]</w:t>
      </w:r>
      <w:r>
        <w:t xml:space="preserve"> - Vor dem Speichern eines Kontos muss ein nachvollziehbarer Verbindungstest möglich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Der ConnectionTestUseCase führt DNS-Auflösung, TCP-Verbindung, TLS-Handshake und Authentifizierung als getrennte Schritte aus. Jeder Schritt erzeugt Dauer, Status, technische Ursache und benutzerverständliche Empfehlung. Primär betroffen sind Sasd.MailWorkbench.Application / Security / Persistence.Sqlite. Die fachlichen Daten werden über MailAccount, MailIdentity, ProviderProfile, SecretReference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MailAccount, MailIdentity, ProviderProfile, SecretReference. Zuständiger Hauptbaustein: Sasd.MailWorkbench.Application / Security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falscher Port/Sicherheitsmodus; Providerprofil veraltet; Konto deaktiviert bei laufendem Job.</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Fachlicher Nachweis: DNS, TCP, TLS und Authentifizierung werden getrennt als erfolgreich oder fehlerhaft angezeigt.</w:t>
            </w:r>
          </w:p>
        </w:tc>
      </w:tr>
    </w:tbl>
    <w:p>
      <w:pPr>
        <w:spacing w:after="40"/>
        <w:keepLines/>
      </w:pPr>
    </w:p>
    <w:p>
      <w:pPr>
        <w:pStyle w:val="RequirementTitle"/>
        <w:keepNext/>
        <w:keepNext/>
        <w:keepLines/>
      </w:pPr>
      <w:r>
        <w:rPr>
          <w:b/>
          <w:color w:val="224B5E"/>
        </w:rPr>
        <w:t>LF-KTO-005  [MUSS]</w:t>
      </w:r>
      <w:r>
        <w:t xml:space="preserve"> - Ein Konto muss deaktiviert werden können, ohne lokale Nachrichten zu verlieren.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 / Security / Persistence.Sqlite. Die fachlichen Daten werden über MailAccount, MailIdentity, ProviderProfile, SecretReference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MailAccount, MailIdentity, ProviderProfile, SecretReference. Zuständiger Hauptbaustein: Sasd.MailWorkbench.Application / Security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falscher Port/Sicherheitsmodus; Providerprofil veraltet; Konto deaktiviert bei laufendem Job.</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Fachlicher Nachweis: Deaktiviertes Konto wird nicht automatisch abgerufen; Daten bleiben sichtbar.</w:t>
            </w:r>
          </w:p>
        </w:tc>
      </w:tr>
    </w:tbl>
    <w:p>
      <w:pPr>
        <w:spacing w:after="40"/>
        <w:keepLines/>
      </w:pPr>
    </w:p>
    <w:p>
      <w:pPr>
        <w:pStyle w:val="RequirementTitle"/>
        <w:keepNext/>
        <w:keepNext/>
        <w:keepLines/>
      </w:pPr>
      <w:r>
        <w:rPr>
          <w:b/>
          <w:color w:val="224B5E"/>
        </w:rPr>
        <w:t>LF-KTO-006  [SOLL]</w:t>
      </w:r>
      <w:r>
        <w:t xml:space="preserve"> - Pro Konto sollen mehrere Absenderidentitäten und Signaturen vorbereitet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 / Security / Persistence.Sqlite. Die fachlichen Daten werden über MailAccount, MailIdentity, ProviderProfile, SecretReference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MailAccount, MailIdentity, ProviderProfile, SecretReference. Zuständiger Hauptbaustein: Sasd.MailWorkbench.Application / Security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falscher Port/Sicherheitsmodus; Providerprofil veraltet; Konto deaktiviert bei laufendem Job.</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Fachlicher Nachweis: Mindestens eine zusätzliche Identität kann gespeichert und beim Verfassen gewählt werden.</w:t>
            </w:r>
          </w:p>
        </w:tc>
      </w:tr>
    </w:tbl>
    <w:p>
      <w:pPr>
        <w:spacing w:after="40"/>
        <w:keepLines/>
      </w:pPr>
    </w:p>
    <w:p>
      <w:pPr>
        <w:pStyle w:val="RequirementTitle"/>
        <w:keepNext/>
        <w:keepNext/>
        <w:keepLines/>
      </w:pPr>
      <w:r>
        <w:rPr>
          <w:b/>
          <w:color w:val="224B5E"/>
        </w:rPr>
        <w:t>LF-KTO-007  [MUSS]</w:t>
      </w:r>
      <w:r>
        <w:t xml:space="preserve"> - Geheimnisse dürfen nicht Bestandteil normaler Kontoexporte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 / Security / Persistence.Sqlite. Die fachlichen Daten werden über MailAccount, MailIdentity, ProviderProfile, SecretReference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MailAccount, MailIdentity, ProviderProfile, SecretReference. Zuständiger Hauptbaustein: Sasd.MailWorkbench.Application / Security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falscher Port/Sicherheitsmodus; Providerprofil veraltet; Konto deaktiviert bei laufendem Job.</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Fachlicher Nachweis: Exportdatei enthält weder Passwort noch Token oder entschlüsselbare Ersatzwerte.</w:t>
            </w:r>
          </w:p>
        </w:tc>
      </w:tr>
    </w:tbl>
    <w:p>
      <w:pPr>
        <w:spacing w:after="40"/>
        <w:keepLines/>
      </w:pPr>
    </w:p>
    <w:p>
      <w:pPr>
        <w:pStyle w:val="Heading2"/>
        <w:keepNext/>
        <w:keepLines/>
      </w:pPr>
      <w:r>
        <w:t>23.2 POP3-Abruf</w:t>
      </w:r>
    </w:p>
    <w:p>
      <w:pPr>
        <w:pStyle w:val="RequirementTitle"/>
        <w:keepNext/>
        <w:keepNext/>
        <w:keepLines/>
      </w:pPr>
      <w:r>
        <w:rPr>
          <w:b/>
          <w:color w:val="224B5E"/>
        </w:rPr>
        <w:t>LF-ABR-001  [MUSS]</w:t>
      </w:r>
      <w:r>
        <w:t xml:space="preserve"> - Der normale Abruf muss über POP3S beziehungsweise POP3 mit zwingendem TLS erfolgen.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Unverschlüsselte Verbindungen werden nicht automatisch verwendet.</w:t>
            </w:r>
          </w:p>
        </w:tc>
      </w:tr>
    </w:tbl>
    <w:p>
      <w:pPr>
        <w:spacing w:after="40"/>
        <w:keepLines/>
      </w:pPr>
    </w:p>
    <w:p>
      <w:pPr>
        <w:pStyle w:val="RequirementTitle"/>
        <w:keepNext/>
        <w:keepNext/>
        <w:keepLines/>
      </w:pPr>
      <w:r>
        <w:rPr>
          <w:b/>
          <w:color w:val="224B5E"/>
        </w:rPr>
        <w:t>LF-ABR-002  [MUSS]</w:t>
      </w:r>
      <w:r>
        <w:t xml:space="preserve"> - Der Befehl „Neue Mails abrufen“ muss UIDL und den lokalen Index verwenden, um nur noch nicht bekannte Nachrichten abzurufen.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Der schnelle Abruf liest die UIDL-Liste einmal pro Sitzung, gleicht sie über einen eindeutigen Index (AccountId, Uidl) ab und lädt nur unbekannte Einträge vollständig. UIDL wird niemals als globale, kontoübergreifende Identität behandelt.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Bei unverändertem Serverbestand werden keine vollständigen bekannten Mails erneut gespeichert.</w:t>
            </w:r>
          </w:p>
        </w:tc>
      </w:tr>
    </w:tbl>
    <w:p>
      <w:pPr>
        <w:spacing w:after="40"/>
        <w:keepLines/>
      </w:pPr>
    </w:p>
    <w:p>
      <w:pPr>
        <w:pStyle w:val="RequirementTitle"/>
        <w:keepNext/>
        <w:keepNext/>
        <w:keepLines/>
      </w:pPr>
      <w:r>
        <w:rPr>
          <w:b/>
          <w:color w:val="224B5E"/>
        </w:rPr>
        <w:t>LF-ABR-003  [MUSS]</w:t>
      </w:r>
      <w:r>
        <w:t xml:space="preserve"> - Der Befehl „Alle Mails abrufen“ muss alle auf dem POP3-Server sichtbaren Nachrichten vollständig herunterladen und lokal vergleichen.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DownloadAllMessagesUseCase lädt unabhängig vom UIDL-Bekanntheitsstatus jede sichtbare Nachricht in einen temporären Stream, berechnet während des Schreibens den Rohhash und entscheidet erst danach über kanonische Übernahme oder Verwerfen der Temp-Datei.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Auch bekannte UIDLs werden vollständig geprüft; Bericht weist geprüft, neu, bekannt und fehlerhaft aus.</w:t>
            </w:r>
          </w:p>
        </w:tc>
      </w:tr>
    </w:tbl>
    <w:p>
      <w:pPr>
        <w:spacing w:after="40"/>
        <w:keepLines/>
      </w:pPr>
    </w:p>
    <w:p>
      <w:pPr>
        <w:pStyle w:val="RequirementTitle"/>
        <w:keepNext/>
        <w:keepNext/>
        <w:keepLines/>
      </w:pPr>
      <w:r>
        <w:rPr>
          <w:b/>
          <w:color w:val="224B5E"/>
        </w:rPr>
        <w:t>LF-ABR-004  [MUSS]</w:t>
      </w:r>
      <w:r>
        <w:t xml:space="preserve"> - Der vollständige Abruf muss abbrechbar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DownloadAllMessagesUseCase lädt unabhängig vom UIDL-Bekanntheitsstatus jede sichtbare Nachricht in einen temporären Stream, berechnet während des Schreibens den Rohhash und entscheidet erst danach über kanonische Übernahme oder Verwerfen der Temp-Datei.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Abbruch beendet den Lauf kontrolliert; bereits vollständig übernommene Mails bleiben konsistent.</w:t>
            </w:r>
          </w:p>
        </w:tc>
      </w:tr>
    </w:tbl>
    <w:p>
      <w:pPr>
        <w:spacing w:after="40"/>
        <w:keepLines/>
      </w:pPr>
    </w:p>
    <w:p>
      <w:pPr>
        <w:pStyle w:val="RequirementTitle"/>
        <w:keepNext/>
        <w:keepNext/>
        <w:keepLines/>
      </w:pPr>
      <w:r>
        <w:rPr>
          <w:b/>
          <w:color w:val="224B5E"/>
        </w:rPr>
        <w:t>LF-ABR-005  [MUSS]</w:t>
      </w:r>
      <w:r>
        <w:t xml:space="preserve"> - Ein abgebrochener oder unterbrochener Abruf muss ohne Datenverlust erneut gestartet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Alle langen Operationen akzeptieren CancellationToken. Abbruch wird nur zwischen atomaren Schritten wirksam; bereits finalisierte Nachrichten bleiben gültig, der aktuelle temporäre Datensatz wird als Cancelled markiert und beim nächsten Start bereinigt.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Der Folgelauf erzeugt keine doppelten lokalen Nachrichten.</w:t>
            </w:r>
          </w:p>
        </w:tc>
      </w:tr>
    </w:tbl>
    <w:p>
      <w:pPr>
        <w:spacing w:after="40"/>
        <w:keepLines/>
      </w:pPr>
    </w:p>
    <w:p>
      <w:pPr>
        <w:pStyle w:val="RequirementTitle"/>
        <w:keepNext/>
        <w:keepNext/>
        <w:keepLines/>
      </w:pPr>
      <w:r>
        <w:rPr>
          <w:b/>
          <w:color w:val="224B5E"/>
        </w:rPr>
        <w:t>LF-ABR-006  [MUSS]</w:t>
      </w:r>
      <w:r>
        <w:t xml:space="preserve"> - Fehler bei einer einzelnen Nachricht dürfen den gesamten Abruf nicht zwangsläufig abbrechen.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Fehlerhafte Nachricht wird protokolliert; weitere Nachrichten werden geprüft.</w:t>
            </w:r>
          </w:p>
        </w:tc>
      </w:tr>
    </w:tbl>
    <w:p>
      <w:pPr>
        <w:spacing w:after="40"/>
        <w:keepLines/>
      </w:pPr>
    </w:p>
    <w:p>
      <w:pPr>
        <w:pStyle w:val="RequirementTitle"/>
        <w:keepNext/>
        <w:keepNext/>
        <w:keepLines/>
      </w:pPr>
      <w:r>
        <w:rPr>
          <w:b/>
          <w:color w:val="224B5E"/>
        </w:rPr>
        <w:t>LF-ABR-007  [MUSS]</w:t>
      </w:r>
      <w:r>
        <w:t xml:space="preserve"> - Die Standardoption muss Nachrichten auf dem Server belassen.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Nach erfolgreichem Abruf wird kein POP3-Löschkommando gesendet.</w:t>
            </w:r>
          </w:p>
        </w:tc>
      </w:tr>
    </w:tbl>
    <w:p>
      <w:pPr>
        <w:spacing w:after="40"/>
        <w:keepLines/>
      </w:pPr>
    </w:p>
    <w:p>
      <w:pPr>
        <w:pStyle w:val="RequirementTitle"/>
        <w:keepNext/>
        <w:keepNext/>
        <w:keepLines/>
      </w:pPr>
      <w:r>
        <w:rPr>
          <w:b/>
          <w:color w:val="224B5E"/>
        </w:rPr>
        <w:t>LF-ABR-008  [SOLL]</w:t>
      </w:r>
      <w:r>
        <w:t xml:space="preserve"> - Eine spätere Löschoption darf nur explizit, kontoabhängig und mit deutlicher Warnung aktivierbar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Ohne bewusste Aktivierung ist keine Serverlöschung möglich.</w:t>
            </w:r>
          </w:p>
        </w:tc>
      </w:tr>
    </w:tbl>
    <w:p>
      <w:pPr>
        <w:spacing w:after="40"/>
        <w:keepLines/>
      </w:pPr>
    </w:p>
    <w:p>
      <w:pPr>
        <w:pStyle w:val="RequirementTitle"/>
        <w:keepNext/>
        <w:keepNext/>
        <w:keepLines/>
      </w:pPr>
      <w:r>
        <w:rPr>
          <w:b/>
          <w:color w:val="224B5E"/>
        </w:rPr>
        <w:t>LF-ABR-009  [MUSS]</w:t>
      </w:r>
      <w:r>
        <w:t xml:space="preserve"> - Der Abruf muss einen Fortschritt mit Anzahl, Datenmenge, Laufzeit und aktueller Phase anzeigen.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Fortschritt wird während des Laufs aktualisiert und am Ende als Bericht gespeichert.</w:t>
            </w:r>
          </w:p>
        </w:tc>
      </w:tr>
    </w:tbl>
    <w:p>
      <w:pPr>
        <w:spacing w:after="40"/>
        <w:keepLines/>
      </w:pPr>
    </w:p>
    <w:p>
      <w:pPr>
        <w:pStyle w:val="RequirementTitle"/>
        <w:keepNext/>
        <w:keepNext/>
        <w:keepLines/>
      </w:pPr>
      <w:r>
        <w:rPr>
          <w:b/>
          <w:color w:val="224B5E"/>
        </w:rPr>
        <w:t>LF-ABR-010  [MUSS]</w:t>
      </w:r>
      <w:r>
        <w:t xml:space="preserve"> - Die Anwendung muss zwischen normalem Abruf, vollständigem Abruf und lokalem Import unterscheiden.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Download Use Cases. Die fachlichen Daten werden über FetchRun, RemoteMessageIdentity, FetchItem, ProvenanceRecord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FetchRun, RemoteMessageIdentity, FetchItem, ProvenanceRecord. Zuständiger Hauptbaustein: Sasd.MailWorkbench.Mail.MailKit + Download Use Cases.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Provenienzfeld zeigt die Quelle jeder Nachricht.</w:t>
            </w:r>
          </w:p>
        </w:tc>
      </w:tr>
    </w:tbl>
    <w:p>
      <w:pPr>
        <w:spacing w:after="40"/>
        <w:keepLines/>
      </w:pPr>
    </w:p>
    <w:p>
      <w:pPr>
        <w:pStyle w:val="Heading2"/>
        <w:keepNext/>
        <w:keepLines/>
      </w:pPr>
      <w:r>
        <w:t>23.3 Duplikaterkennung</w:t>
      </w:r>
    </w:p>
    <w:p>
      <w:pPr>
        <w:pStyle w:val="RequirementTitle"/>
        <w:keepNext/>
        <w:keepNext/>
        <w:keepLines/>
      </w:pPr>
      <w:r>
        <w:rPr>
          <w:b/>
          <w:color w:val="224B5E"/>
        </w:rPr>
        <w:t>LF-DUP-001  [MUSS]</w:t>
      </w:r>
      <w:r>
        <w:t xml:space="preserve"> - Für jede vollständig geladene Rohmail muss ein SHA-256-Hash über die unveränderten Bytes berechnet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Der Hash wird mit IncrementalHash/SHA256 unmittelbar über die unveränderten empfangenen Bytes berechnet. Der Digest wird als 32-Byte-BLOB und zusätzlich für Berichte hexadezimal gespeichert.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Hash ist deterministisch und in der Datenbank gespeichert.</w:t>
            </w:r>
          </w:p>
        </w:tc>
      </w:tr>
    </w:tbl>
    <w:p>
      <w:pPr>
        <w:spacing w:after="40"/>
        <w:keepLines/>
      </w:pPr>
    </w:p>
    <w:p>
      <w:pPr>
        <w:pStyle w:val="RequirementTitle"/>
        <w:keepNext/>
        <w:keepNext/>
        <w:keepLines/>
      </w:pPr>
      <w:r>
        <w:rPr>
          <w:b/>
          <w:color w:val="224B5E"/>
        </w:rPr>
        <w:t>LF-DUP-002  [MUSS]</w:t>
      </w:r>
      <w:r>
        <w:t xml:space="preserve"> - Die Duplikatprüfung muss mindestens Konto-ID, Rohdatenhash und Byte-Länge berücksichtigen.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Ein UNIQUE-Index auf (account_id, raw_sha256, raw_length) verhindert parallele oder wiederholte Doppelübernahme auch dann, wenn zwei Abläufe nahezu gleichzeitig dieselbe Nachricht verarbeiten.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Zwei identische Mails im gleichen Konto werden nur einmal als kanonische Mail gespeichert.</w:t>
            </w:r>
          </w:p>
        </w:tc>
      </w:tr>
    </w:tbl>
    <w:p>
      <w:pPr>
        <w:spacing w:after="40"/>
        <w:keepLines/>
      </w:pPr>
    </w:p>
    <w:p>
      <w:pPr>
        <w:pStyle w:val="RequirementTitle"/>
        <w:keepNext/>
        <w:keepNext/>
        <w:keepLines/>
      </w:pPr>
      <w:r>
        <w:rPr>
          <w:b/>
          <w:color w:val="224B5E"/>
        </w:rPr>
        <w:t>LF-DUP-003  [MUSS]</w:t>
      </w:r>
      <w:r>
        <w:t xml:space="preserve"> - Eine während „Get all“ als bekannt erkannte temporäre Kopie muss automatisch verworfen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Temp-Datei wird erst nach erfolgreicher Hashermittlung und Datenbankprüfung gelöscht. Das Deduplizierungsereignis referenziert die kanonische MessageId, UIDL, Hash, Länge und den Abruflauf.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Lokaler Bestand wächst bei erneutem vollständigem Abruf nicht durch exakte Duplikate.</w:t>
            </w:r>
          </w:p>
        </w:tc>
      </w:tr>
    </w:tbl>
    <w:p>
      <w:pPr>
        <w:spacing w:after="40"/>
        <w:keepLines/>
      </w:pPr>
    </w:p>
    <w:p>
      <w:pPr>
        <w:pStyle w:val="RequirementTitle"/>
        <w:keepNext/>
        <w:keepNext/>
        <w:keepLines/>
      </w:pPr>
      <w:r>
        <w:rPr>
          <w:b/>
          <w:color w:val="224B5E"/>
        </w:rPr>
        <w:t>LF-DUP-004  [MUSS]</w:t>
      </w:r>
      <w:r>
        <w:t xml:space="preserve"> - Die vorhandene kanonische lokale Mail und die Servermail dürfen durch die Duplikatbereinigung nicht gelöscht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Nur die neue temporäre Downloadkopie wird entfernt.</w:t>
            </w:r>
          </w:p>
        </w:tc>
      </w:tr>
    </w:tbl>
    <w:p>
      <w:pPr>
        <w:spacing w:after="40"/>
        <w:keepLines/>
      </w:pPr>
    </w:p>
    <w:p>
      <w:pPr>
        <w:pStyle w:val="RequirementTitle"/>
        <w:keepNext/>
        <w:keepNext/>
        <w:keepLines/>
      </w:pPr>
      <w:r>
        <w:rPr>
          <w:b/>
          <w:color w:val="224B5E"/>
        </w:rPr>
        <w:t>LF-DUP-005  [SOLL]</w:t>
      </w:r>
      <w:r>
        <w:t xml:space="preserve"> - Der Anwender muss einen lokalen Bestandsprüflauf für bereits vorhandene Duplikate starten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Lauf gruppiert exakte Duplikate und erzeugt vor Änderungen einen Bericht.</w:t>
            </w:r>
          </w:p>
        </w:tc>
      </w:tr>
    </w:tbl>
    <w:p>
      <w:pPr>
        <w:spacing w:after="40"/>
        <w:keepLines/>
      </w:pPr>
    </w:p>
    <w:p>
      <w:pPr>
        <w:pStyle w:val="RequirementTitle"/>
        <w:keepNext/>
        <w:keepNext/>
        <w:keepLines/>
      </w:pPr>
      <w:r>
        <w:rPr>
          <w:b/>
          <w:color w:val="224B5E"/>
        </w:rPr>
        <w:t>LF-DUP-006  [MUSS]</w:t>
      </w:r>
      <w:r>
        <w:t xml:space="preserve"> - Automatische Bestandsbereinigung darf nur beweisbar identische Rohmails entfernen.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Unterschiedliche Rohdatenhashes werden niemals automatisch zusammengeführt.</w:t>
            </w:r>
          </w:p>
        </w:tc>
      </w:tr>
    </w:tbl>
    <w:p>
      <w:pPr>
        <w:spacing w:after="40"/>
        <w:keepLines/>
      </w:pPr>
    </w:p>
    <w:p>
      <w:pPr>
        <w:pStyle w:val="RequirementTitle"/>
        <w:keepNext/>
        <w:keepNext/>
        <w:keepLines/>
      </w:pPr>
      <w:r>
        <w:rPr>
          <w:b/>
          <w:color w:val="224B5E"/>
        </w:rPr>
        <w:t>LF-DUP-007  [SOLL]</w:t>
      </w:r>
      <w:r>
        <w:t xml:space="preserve"> - Message-ID, UIDL und semantische Merkmale sollen als Diagnoseinformationen gespeichert werden, dürfen den Rohdatenhash aber nicht ersetzen.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Der schnelle Abruf liest die UIDL-Liste einmal pro Sitzung, gleicht sie über einen eindeutigen Index (AccountId, Uidl) ab und lädt nur unbekannte Einträge vollständig. UIDL wird niemals als globale, kontoübergreifende Identität behandelt.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Diagnose zeigt alle Kennungen; exakte Entscheidung basiert weiterhin auf Rohdaten.</w:t>
            </w:r>
          </w:p>
        </w:tc>
      </w:tr>
    </w:tbl>
    <w:p>
      <w:pPr>
        <w:spacing w:after="40"/>
        <w:keepLines/>
      </w:pPr>
    </w:p>
    <w:p>
      <w:pPr>
        <w:pStyle w:val="RequirementTitle"/>
        <w:keepNext/>
        <w:keepNext/>
        <w:keepLines/>
      </w:pPr>
      <w:r>
        <w:rPr>
          <w:b/>
          <w:color w:val="224B5E"/>
        </w:rPr>
        <w:t>LF-DUP-008  [MUSS]</w:t>
      </w:r>
      <w:r>
        <w:t xml:space="preserve"> - Jeder Deduplizierungsvorgang muss nachvollziehbar protokolliert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Sasd.MailWorkbench.Application.Deduplication + Persistence.Sqlite. Die fachlichen Daten werden über MessageFingerprint, CanonicalMessage, DeduplicationEvent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MessageFingerprint, CanonicalMessage, DeduplicationEvent. Zuständiger Hauptbaustein: Sasd.MailWorkbench.Application.Deduplication + Persistence.Sqlite.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Bericht nennt kanonische Nachricht, verworfene temporäre Kopie, Hash und Zeitpunkt.</w:t>
            </w:r>
          </w:p>
        </w:tc>
      </w:tr>
    </w:tbl>
    <w:p>
      <w:pPr>
        <w:spacing w:after="40"/>
        <w:keepLines/>
      </w:pPr>
    </w:p>
    <w:p>
      <w:pPr>
        <w:pStyle w:val="Heading2"/>
        <w:keepNext/>
        <w:keepLines/>
      </w:pPr>
      <w:r>
        <w:t>23.4 Speicherung und Provenienz</w:t>
      </w:r>
    </w:p>
    <w:p>
      <w:pPr>
        <w:pStyle w:val="RequirementTitle"/>
        <w:keepNext/>
        <w:keepNext/>
        <w:keepLines/>
      </w:pPr>
      <w:r>
        <w:rPr>
          <w:b/>
          <w:color w:val="224B5E"/>
        </w:rPr>
        <w:t>LF-SPR-001  [MUSS]</w:t>
      </w:r>
      <w:r>
        <w:t xml:space="preserve"> - Rohmails müssen unverändert und getrennt von abgeleiteten Daten gespeichert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Rohmails werden als schreibgeschützte .eml-Dateien unter einem hashbasierten Verzeichnispfad abgelegt. Parser, Analyzer und Renderer erhalten ausschließlich lesenden Zugriff; abgeleitete Inhalte liegen in getrennten Tabellen.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Originaldatei bleibt bytegleich; Parser überschreibt sie nicht.</w:t>
            </w:r>
          </w:p>
        </w:tc>
      </w:tr>
    </w:tbl>
    <w:p>
      <w:pPr>
        <w:spacing w:after="40"/>
        <w:keepLines/>
      </w:pPr>
    </w:p>
    <w:p>
      <w:pPr>
        <w:pStyle w:val="RequirementTitle"/>
        <w:keepNext/>
        <w:keepNext/>
        <w:keepLines/>
      </w:pPr>
      <w:r>
        <w:rPr>
          <w:b/>
          <w:color w:val="224B5E"/>
        </w:rPr>
        <w:t>LF-SPR-002  [MUSS]</w:t>
      </w:r>
      <w:r>
        <w:t xml:space="preserve"> - Metadaten, Status, Analyseergebnisse und Indizes müssen in SQLite gespeichert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Anwendung kann nach Neustart alle Zustände rekonstruieren.</w:t>
            </w:r>
          </w:p>
        </w:tc>
      </w:tr>
    </w:tbl>
    <w:p>
      <w:pPr>
        <w:spacing w:after="40"/>
        <w:keepLines/>
      </w:pPr>
    </w:p>
    <w:p>
      <w:pPr>
        <w:pStyle w:val="RequirementTitle"/>
        <w:keepNext/>
        <w:keepNext/>
        <w:keepLines/>
      </w:pPr>
      <w:r>
        <w:rPr>
          <w:b/>
          <w:color w:val="224B5E"/>
        </w:rPr>
        <w:t>LF-SPR-003  [MUSS]</w:t>
      </w:r>
      <w:r>
        <w:t xml:space="preserve"> - Dateiübernahme und Datenbankregistrierung müssen absturzsicher koordiniert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Übernahme verwendet ein Write-Temp-Fsync-Rename-Verfahren. Erst nach atomarem Rename wird die SQLite-Transaktion auf RawStored gesetzt; ein Startup-Reconciler erkennt unvollständige Gegenstücke und stellt einen definierten Zustand her.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Kein regulärer Abbruch erzeugt einen als vollständig markierten Datensatz ohne Rohdatei.</w:t>
            </w:r>
          </w:p>
        </w:tc>
      </w:tr>
    </w:tbl>
    <w:p>
      <w:pPr>
        <w:spacing w:after="40"/>
        <w:keepLines/>
      </w:pPr>
    </w:p>
    <w:p>
      <w:pPr>
        <w:pStyle w:val="RequirementTitle"/>
        <w:keepNext/>
        <w:keepNext/>
        <w:keepLines/>
      </w:pPr>
      <w:r>
        <w:rPr>
          <w:b/>
          <w:color w:val="224B5E"/>
        </w:rPr>
        <w:t>LF-SPR-004  [MUSS]</w:t>
      </w:r>
      <w:r>
        <w:t xml:space="preserve"> - Temporäre Dateien müssen in einem separaten Bereich gespeichert und bereinigbar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Verwaiste Temp-Dateien können beim Start erkannt und sicher entfernt werden.</w:t>
            </w:r>
          </w:p>
        </w:tc>
      </w:tr>
    </w:tbl>
    <w:p>
      <w:pPr>
        <w:spacing w:after="40"/>
        <w:keepLines/>
      </w:pPr>
    </w:p>
    <w:p>
      <w:pPr>
        <w:pStyle w:val="RequirementTitle"/>
        <w:keepNext/>
        <w:keepNext/>
        <w:keepLines/>
      </w:pPr>
      <w:r>
        <w:rPr>
          <w:b/>
          <w:color w:val="224B5E"/>
        </w:rPr>
        <w:t>LF-SPR-005  [MUSS]</w:t>
      </w:r>
      <w:r>
        <w:t xml:space="preserve"> - Jede Mail muss eine interne, providerunabhängige ID erhalten.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Interne ID bleibt auch bei Reprocessing und geänderten externen Kennungen stabil.</w:t>
            </w:r>
          </w:p>
        </w:tc>
      </w:tr>
    </w:tbl>
    <w:p>
      <w:pPr>
        <w:spacing w:after="40"/>
        <w:keepLines/>
      </w:pPr>
    </w:p>
    <w:p>
      <w:pPr>
        <w:pStyle w:val="RequirementTitle"/>
        <w:keepNext/>
        <w:keepNext/>
        <w:keepLines/>
      </w:pPr>
      <w:r>
        <w:rPr>
          <w:b/>
          <w:color w:val="224B5E"/>
        </w:rPr>
        <w:t>LF-SPR-006  [MUSS]</w:t>
      </w:r>
      <w:r>
        <w:t xml:space="preserve"> - Provenienz muss Konto, Abrufart, Abrufzeit, UIDL, Rohhash, Größe und Speicherort enthalten.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Der schnelle Abruf liest die UIDL-Liste einmal pro Sitzung, gleicht sie über einen eindeutigen Index (AccountId, Uidl) ab und lädt nur unbekannte Einträge vollständig. UIDL wird niemals als globale, kontoübergreifende Identität behandelt.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Provenienz ist in der Historienansicht sichtbar und exportierbar.</w:t>
            </w:r>
          </w:p>
        </w:tc>
      </w:tr>
    </w:tbl>
    <w:p>
      <w:pPr>
        <w:spacing w:after="40"/>
        <w:keepLines/>
      </w:pPr>
    </w:p>
    <w:p>
      <w:pPr>
        <w:pStyle w:val="RequirementTitle"/>
        <w:keepNext/>
        <w:keepNext/>
        <w:keepLines/>
      </w:pPr>
      <w:r>
        <w:rPr>
          <w:b/>
          <w:color w:val="224B5E"/>
        </w:rPr>
        <w:t>LF-SPR-007  [MUSS]</w:t>
      </w:r>
      <w:r>
        <w:t xml:space="preserve"> - Schemaänderungen müssen über versionierte Migrationen erfolgen.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Migrationen sind fortlaufend nummerierte, idempotenzgeprüfte SQL-Skripte. Vor jeder produktiven Migration wird ein Backup erstellt; SchemaVersion und Ergebnis werden in schema_migrations protokolliert.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Update von der vorherigen unterstützten Version erhält bestehende Daten.</w:t>
            </w:r>
          </w:p>
        </w:tc>
      </w:tr>
    </w:tbl>
    <w:p>
      <w:pPr>
        <w:spacing w:after="40"/>
        <w:keepLines/>
      </w:pPr>
    </w:p>
    <w:p>
      <w:pPr>
        <w:pStyle w:val="RequirementTitle"/>
        <w:keepNext/>
        <w:keepNext/>
        <w:keepLines/>
      </w:pPr>
      <w:r>
        <w:rPr>
          <w:b/>
          <w:color w:val="224B5E"/>
        </w:rPr>
        <w:t>LF-SPR-008  [MUSS]</w:t>
      </w:r>
      <w:r>
        <w:t xml:space="preserve"> - Die lokale Datenablage muss in dokumentierten, benutzerbezogenen Windows-Verzeichnissen erfolgen.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Sasd.MailWorkbench.Persistence.Sqlite + FileSystemRawMessageStore. Die fachlichen Daten werden über RawMessage, MessageRecord, StorageTransaction, MigrationHistory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RawMessage, MessageRecord, StorageTransaction, MigrationHistory. Zuständiger Hauptbaustein: Sasd.MailWorkbench.Persistence.Sqlite + FileSystemRawMessageStore.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Verbindungsabbruch während des Streams; Programmabsturz zwischen Datei- und DB-Schritt; erneuter Lauf mit identischem Serverbestand.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Installations- und Datenpfade sind im Handbuch benannt und werden nicht im Programmverzeichnis vermischt.</w:t>
            </w:r>
          </w:p>
        </w:tc>
      </w:tr>
    </w:tbl>
    <w:p>
      <w:pPr>
        <w:spacing w:after="40"/>
        <w:keepLines/>
      </w:pPr>
    </w:p>
    <w:p>
      <w:pPr>
        <w:pStyle w:val="Heading2"/>
        <w:keepNext/>
        <w:keepLines/>
      </w:pPr>
      <w:r>
        <w:t>23.5 MIME und sichere Darstellung</w:t>
      </w:r>
    </w:p>
    <w:p>
      <w:pPr>
        <w:pStyle w:val="RequirementTitle"/>
        <w:keepNext/>
        <w:keepNext/>
        <w:keepLines/>
      </w:pPr>
      <w:r>
        <w:rPr>
          <w:b/>
          <w:color w:val="224B5E"/>
        </w:rPr>
        <w:t>LF-DAR-001  [MUSS]</w:t>
      </w:r>
      <w:r>
        <w:t xml:space="preserve"> - Die Anwendung muss RFC-822-/MIME-Nachrichten mit MimeKit oder gleichwertiger Bibliothek parsen.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MimeKit übernimmt RFC-/MIME-Dekodierung. Der Adapter mappt MimeMessage und MimeEntity in eigene Domain-/DTO-Typen, sodass keine MimeKit-Typen die Mail-Schicht verlassen.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Plaintext, HTML, Multipart und Anhänge werden aus typischen Testmails korrekt erkannt.</w:t>
            </w:r>
          </w:p>
        </w:tc>
      </w:tr>
    </w:tbl>
    <w:p>
      <w:pPr>
        <w:spacing w:after="40"/>
        <w:keepLines/>
      </w:pPr>
    </w:p>
    <w:p>
      <w:pPr>
        <w:pStyle w:val="RequirementTitle"/>
        <w:keepNext/>
        <w:keepNext/>
        <w:keepLines/>
      </w:pPr>
      <w:r>
        <w:rPr>
          <w:b/>
          <w:color w:val="224B5E"/>
        </w:rPr>
        <w:t>LF-DAR-002  [MUSS]</w:t>
      </w:r>
      <w:r>
        <w:t xml:space="preserve"> - Plaintext und HTML müssen als getrennte abgeleitete Ansichten verfügbar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Nutzer kann bevorzugte Ansicht wählen; Rohmail bleibt unverändert.</w:t>
            </w:r>
          </w:p>
        </w:tc>
      </w:tr>
    </w:tbl>
    <w:p>
      <w:pPr>
        <w:spacing w:after="40"/>
        <w:keepLines/>
      </w:pPr>
    </w:p>
    <w:p>
      <w:pPr>
        <w:pStyle w:val="RequirementTitle"/>
        <w:keepNext/>
        <w:keepNext/>
        <w:keepLines/>
      </w:pPr>
      <w:r>
        <w:rPr>
          <w:b/>
          <w:color w:val="224B5E"/>
        </w:rPr>
        <w:t>LF-DAR-003  [MUSS]</w:t>
      </w:r>
      <w:r>
        <w:t xml:space="preserve"> - Die Anwendung muss verschachtelte MIME-Strukturen, Base64 und quoted-printable verarbeiten.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MimeKit übernimmt RFC-/MIME-Dekodierung. Der Adapter mappt MimeMessage und MimeEntity in eigene Domain-/DTO-Typen, sodass keine MimeKit-Typen die Mail-Schicht verlassen.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Referenzmails mit diesen Kodierungen werden lesbar angezeigt.</w:t>
            </w:r>
          </w:p>
        </w:tc>
      </w:tr>
    </w:tbl>
    <w:p>
      <w:pPr>
        <w:spacing w:after="40"/>
        <w:keepLines/>
      </w:pPr>
    </w:p>
    <w:p>
      <w:pPr>
        <w:pStyle w:val="RequirementTitle"/>
        <w:keepNext/>
        <w:keepNext/>
        <w:keepLines/>
      </w:pPr>
      <w:r>
        <w:rPr>
          <w:b/>
          <w:color w:val="224B5E"/>
        </w:rPr>
        <w:t>LF-DAR-004  [MUSS]</w:t>
      </w:r>
      <w:r>
        <w:t xml:space="preserve"> - Externe Bilder und Ressourcen müssen standardmäßig blockiert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Der HTML-Sanitizer entfernt oder ersetzt externe src-, srcset-, CSS-url- und ähnlichen Ressourcenbezüge. Ein ResourceRequestInterceptor blockiert verbleibende Netzwerkanfragen standardmäßig vollständig.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Beim Öffnen einer HTML-Mail erfolgt ohne Nutzerfreigabe kein externer Abruf.</w:t>
            </w:r>
          </w:p>
        </w:tc>
      </w:tr>
    </w:tbl>
    <w:p>
      <w:pPr>
        <w:spacing w:after="40"/>
        <w:keepLines/>
      </w:pPr>
    </w:p>
    <w:p>
      <w:pPr>
        <w:pStyle w:val="RequirementTitle"/>
        <w:keepNext/>
        <w:keepNext/>
        <w:keepLines/>
      </w:pPr>
      <w:r>
        <w:rPr>
          <w:b/>
          <w:color w:val="224B5E"/>
        </w:rPr>
        <w:t>LF-DAR-005  [MUSS]</w:t>
      </w:r>
      <w:r>
        <w:t xml:space="preserve"> - Skripte, aktive Inhalte und gefährliche URL-Schemata dürfen nicht ausgeführt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Script-, iframe-, object-, embed-, form- und Meta-Refresh-Elemente werden vor dem Rendern entfernt. Navigation und neue Fenster werden im WebView-Host abgefangen; file:, javascript:, data: und benutzerdefinierte Schemata sind blockiert.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Testmails können kein JavaScript, file:, data:-Download oder benutzerdefiniertes Protokoll automatisch starten.</w:t>
            </w:r>
          </w:p>
        </w:tc>
      </w:tr>
    </w:tbl>
    <w:p>
      <w:pPr>
        <w:spacing w:after="40"/>
        <w:keepLines/>
      </w:pPr>
    </w:p>
    <w:p>
      <w:pPr>
        <w:pStyle w:val="RequirementTitle"/>
        <w:keepNext/>
        <w:keepNext/>
        <w:keepLines/>
      </w:pPr>
      <w:r>
        <w:rPr>
          <w:b/>
          <w:color w:val="224B5E"/>
        </w:rPr>
        <w:t>LF-DAR-006  [MUSS]</w:t>
      </w:r>
      <w:r>
        <w:t xml:space="preserve"> - Die echte Linkadresse muss vor dem Öffnen sichtbar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Hover, Fokus und Bestätigungsdialog zeigen Original-URL, normalisierte URL, registrierbare Domain und IDN/Punycode. Das Öffnen erfolgt erst über einen UI-Service nach Abschluss der Warnbewertung.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Mouseover oder Kontextaktion zeigt normalisierte Ziel-URL und Domain.</w:t>
            </w:r>
          </w:p>
        </w:tc>
      </w:tr>
    </w:tbl>
    <w:p>
      <w:pPr>
        <w:spacing w:after="40"/>
        <w:keepLines/>
      </w:pPr>
    </w:p>
    <w:p>
      <w:pPr>
        <w:pStyle w:val="RequirementTitle"/>
        <w:keepNext/>
        <w:keepNext/>
        <w:keepLines/>
      </w:pPr>
      <w:r>
        <w:rPr>
          <w:b/>
          <w:color w:val="224B5E"/>
        </w:rPr>
        <w:t>LF-DAR-007  [MUSS]</w:t>
      </w:r>
      <w:r>
        <w:t xml:space="preserve"> - HTML-Mail muss in einer isolierten, kontrollierten Rendering-Umgebung angezeigt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Navigation und Ressourcenanforderungen werden durch die Anwendung abgefangen.</w:t>
            </w:r>
          </w:p>
        </w:tc>
      </w:tr>
    </w:tbl>
    <w:p>
      <w:pPr>
        <w:spacing w:after="40"/>
        <w:keepLines/>
      </w:pPr>
    </w:p>
    <w:p>
      <w:pPr>
        <w:pStyle w:val="RequirementTitle"/>
        <w:keepNext/>
        <w:keepNext/>
        <w:keepLines/>
      </w:pPr>
      <w:r>
        <w:rPr>
          <w:b/>
          <w:color w:val="224B5E"/>
        </w:rPr>
        <w:t>LF-DAR-008  [MUSS]</w:t>
      </w:r>
      <w:r>
        <w:t xml:space="preserve"> - Eine Rohdatenansicht muss vollständige Header, Body-Quelltext und MIME-Baum bereitstellen.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MimeKit übernimmt RFC-/MIME-Dekodierung. Der Adapter mappt MimeMessage und MimeEntity in eigene Domain-/DTO-Typen, sodass keine MimeKit-Typen die Mail-Schicht verlassen.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Nachricht kann ohne externe Werkzeuge untersucht werden.</w:t>
            </w:r>
          </w:p>
        </w:tc>
      </w:tr>
    </w:tbl>
    <w:p>
      <w:pPr>
        <w:spacing w:after="40"/>
        <w:keepLines/>
      </w:pPr>
    </w:p>
    <w:p>
      <w:pPr>
        <w:pStyle w:val="RequirementTitle"/>
        <w:keepNext/>
        <w:keepNext/>
        <w:keepLines/>
      </w:pPr>
      <w:r>
        <w:rPr>
          <w:b/>
          <w:color w:val="224B5E"/>
        </w:rPr>
        <w:t>LF-DAR-009  [SOLL]</w:t>
      </w:r>
      <w:r>
        <w:t xml:space="preserve"> - Der Anwender muss Schriftgröße, Zoom und bevorzugte Textansicht einstellen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Sasd.MailWorkbench.Mail.MailKit + Security.Html + Presentation. Die fachlichen Daten werden über ParsedMessage, MimePartDescriptor, RenderPolicy, LinkObservation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ParsedMessage, MimePartDescriptor, RenderPolicy, LinkObservation. Zuständiger Hauptbaustein: Sasd.MailWorkbench.Mail.MailKit + Security.Html + Presentation.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defektes MIME; unbekannter Zeichensatz; HTML ohne Plaintext; verschachtelte multipart-Struktur.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Einstellungen bleiben nach Neustart erhalten.</w:t>
            </w:r>
          </w:p>
        </w:tc>
      </w:tr>
    </w:tbl>
    <w:p>
      <w:pPr>
        <w:spacing w:after="40"/>
        <w:keepLines/>
      </w:pPr>
    </w:p>
    <w:p>
      <w:pPr>
        <w:pStyle w:val="Heading2"/>
        <w:keepNext/>
        <w:keepLines/>
      </w:pPr>
      <w:r>
        <w:t>23.6 Lokales Warnsystem</w:t>
      </w:r>
    </w:p>
    <w:p>
      <w:pPr>
        <w:pStyle w:val="RequirementTitle"/>
        <w:keepNext/>
        <w:keepNext/>
        <w:keepLines/>
      </w:pPr>
      <w:r>
        <w:rPr>
          <w:b/>
          <w:color w:val="224B5E"/>
        </w:rPr>
        <w:t>LF-WAR-001  [MUSS]</w:t>
      </w:r>
      <w:r>
        <w:t xml:space="preserve"> - Die Anwendung muss alle anklickbaren Links, Button-Ziele, Bildlinks und Formularziele aus HTML-Mail lokal extrahieren.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Ein HTML-LinkExtractor traversiert den sanitizten und den ursprünglichen DOM-Baum und erfasst a[href], area[href], form[action], button/formaction, bildbasierte Links sowie CSS-/Meta-Weiterleitungen als LinkObservation.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Analyse listet jedes gefundene Ziel mit Quelle und sichtbarem Text auf.</w:t>
            </w:r>
          </w:p>
        </w:tc>
      </w:tr>
    </w:tbl>
    <w:p>
      <w:pPr>
        <w:spacing w:after="40"/>
        <w:keepLines/>
      </w:pPr>
    </w:p>
    <w:p>
      <w:pPr>
        <w:pStyle w:val="RequirementTitle"/>
        <w:keepNext/>
        <w:keepNext/>
        <w:keepLines/>
      </w:pPr>
      <w:r>
        <w:rPr>
          <w:b/>
          <w:color w:val="224B5E"/>
        </w:rPr>
        <w:t>LF-WAR-002  [MUSS]</w:t>
      </w:r>
      <w:r>
        <w:t xml:space="preserve"> - Sichtbarer Linktext und tatsächliches Ziel müssen auf Widersprüche geprüft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Ein Linktext „sparkasse.de“ mit abweichendem href erzeugt einen erklärten Warnhinweis.</w:t>
            </w:r>
          </w:p>
        </w:tc>
      </w:tr>
    </w:tbl>
    <w:p>
      <w:pPr>
        <w:spacing w:after="40"/>
        <w:keepLines/>
      </w:pPr>
    </w:p>
    <w:p>
      <w:pPr>
        <w:pStyle w:val="RequirementTitle"/>
        <w:keepNext/>
        <w:keepNext/>
        <w:keepLines/>
      </w:pPr>
      <w:r>
        <w:rPr>
          <w:b/>
          <w:color w:val="224B5E"/>
        </w:rPr>
        <w:t>LF-WAR-003  [MUSS]</w:t>
      </w:r>
      <w:r>
        <w:t xml:space="preserve"> - Zieldomains müssen normalisiert und sowohl als Unicode- als auch Punycode-Darstellung angezeigt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Domains werden mit IdnMapping in Unicode und ASCII/Punycode dargestellt. Gemischte Schriftsysteme, Confusable-Zeichen und Abweichungen zwischen Anzeige- und ASCII-Form erzeugen eigenständige Evidenz.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IDN-Domain ist in beiden Formen sichtbar; verdächtige Zeichenmischung wird markiert.</w:t>
            </w:r>
          </w:p>
        </w:tc>
      </w:tr>
    </w:tbl>
    <w:p>
      <w:pPr>
        <w:spacing w:after="40"/>
        <w:keepLines/>
      </w:pPr>
    </w:p>
    <w:p>
      <w:pPr>
        <w:pStyle w:val="RequirementTitle"/>
        <w:keepNext/>
        <w:keepNext/>
        <w:keepLines/>
      </w:pPr>
      <w:r>
        <w:rPr>
          <w:b/>
          <w:color w:val="224B5E"/>
        </w:rPr>
        <w:t>LF-WAR-004  [MUSS]</w:t>
      </w:r>
      <w:r>
        <w:t xml:space="preserve"> - URLs mit IP-Adresse statt Domain, Klartext-HTTP, ungewöhnlichen Ports oder gefährlichen Schemata müssen gesondert bewertet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Jeder Indikator erscheint einzeln mit Begründung.</w:t>
            </w:r>
          </w:p>
        </w:tc>
      </w:tr>
    </w:tbl>
    <w:p>
      <w:pPr>
        <w:spacing w:after="40"/>
        <w:keepLines/>
      </w:pPr>
    </w:p>
    <w:p>
      <w:pPr>
        <w:pStyle w:val="RequirementTitle"/>
        <w:keepNext/>
        <w:keepNext/>
        <w:keepLines/>
      </w:pPr>
      <w:r>
        <w:rPr>
          <w:b/>
          <w:color w:val="224B5E"/>
        </w:rPr>
        <w:t>LF-WAR-005  [MUSS]</w:t>
      </w:r>
      <w:r>
        <w:t xml:space="preserve"> - Die Linkdomain muss mit From-, Sender-, Reply-To-, Return-Path- und authentifizierten Domains verglichen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Analyse zeigt Übereinstimmungen und Abweichungen, ohne daraus allein ein endgültiges Urteil abzuleiten.</w:t>
            </w:r>
          </w:p>
        </w:tc>
      </w:tr>
    </w:tbl>
    <w:p>
      <w:pPr>
        <w:spacing w:after="40"/>
        <w:keepLines/>
      </w:pPr>
    </w:p>
    <w:p>
      <w:pPr>
        <w:pStyle w:val="RequirementTitle"/>
        <w:keepNext/>
        <w:keepNext/>
        <w:keepLines/>
      </w:pPr>
      <w:r>
        <w:rPr>
          <w:b/>
          <w:color w:val="224B5E"/>
        </w:rPr>
        <w:t>LF-WAR-006  [MUSS]</w:t>
      </w:r>
      <w:r>
        <w:t xml:space="preserve"> - Das System muss lokale Marken- und Vertrauensprofile mit zulässigen Domains, Unterdomains und Dienstleistern unterstützen.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BrandTrustProfile enthält primäre Domains, erlaubte Subdomains, bekannte Versand-/Trackingdienstleister, Gültigkeitszeitraum, Herausgeber und Versionsnummer. Profile sind lokal editierbar und werden nie automatisch aus einer Mail erweitert.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Für ein Profil „Sparkasse“ können mehrere legitime Domains gepflegt und versioniert werden.</w:t>
            </w:r>
          </w:p>
        </w:tc>
      </w:tr>
    </w:tbl>
    <w:p>
      <w:pPr>
        <w:spacing w:after="40"/>
        <w:keepLines/>
      </w:pPr>
    </w:p>
    <w:p>
      <w:pPr>
        <w:pStyle w:val="RequirementTitle"/>
        <w:keepNext/>
        <w:keepNext/>
        <w:keepLines/>
      </w:pPr>
      <w:r>
        <w:rPr>
          <w:b/>
          <w:color w:val="224B5E"/>
        </w:rPr>
        <w:t>LF-WAR-007  [MUSS]</w:t>
      </w:r>
      <w:r>
        <w:t xml:space="preserve"> - Abweichungen von einem aktiv passenden Markenprofil müssen deutlich, aber erklärbar gewarnt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BrandTrustProfile enthält primäre Domains, erlaubte Subdomains, bekannte Versand-/Trackingdienstleister, Gültigkeitszeitraum, Herausgeber und Versionsnummer. Profile sind lokal editierbar und werden nie automatisch aus einer Mail erweitert.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Warnung nennt erwartete und tatsächliche Domain sowie auslösende Regel.</w:t>
            </w:r>
          </w:p>
        </w:tc>
      </w:tr>
    </w:tbl>
    <w:p>
      <w:pPr>
        <w:spacing w:after="40"/>
        <w:keepLines/>
      </w:pPr>
    </w:p>
    <w:p>
      <w:pPr>
        <w:pStyle w:val="RequirementTitle"/>
        <w:keepNext/>
        <w:keepNext/>
        <w:keepLines/>
      </w:pPr>
      <w:r>
        <w:rPr>
          <w:b/>
          <w:color w:val="224B5E"/>
        </w:rPr>
        <w:t>LF-WAR-008  [MUSS]</w:t>
      </w:r>
      <w:r>
        <w:t xml:space="preserve"> - Die Anwendung muss Authentication-Results für SPF, DKIM und DMARC auswerten und verständlich anzeigen, sofern vorhanden.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Der Parser liest Authentication-Results als unvertrauenswürdige Beobachtung und ordnet SPF-, DKIM- und DMARC-Resultate samt authserv-id zu. Ein Ergebnis wird nur als Hinweis angezeigt, nicht als lokal kryptografisch neu geprüfter Beweis.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Pass/Fail/Neutral/None werden mit der betroffenen Domain dargestellt.</w:t>
            </w:r>
          </w:p>
        </w:tc>
      </w:tr>
    </w:tbl>
    <w:p>
      <w:pPr>
        <w:spacing w:after="40"/>
        <w:keepLines/>
      </w:pPr>
    </w:p>
    <w:p>
      <w:pPr>
        <w:pStyle w:val="RequirementTitle"/>
        <w:keepNext/>
        <w:keepNext/>
        <w:keepLines/>
      </w:pPr>
      <w:r>
        <w:rPr>
          <w:b/>
          <w:color w:val="224B5E"/>
        </w:rPr>
        <w:t>LF-WAR-009  [MUSS]</w:t>
      </w:r>
      <w:r>
        <w:t xml:space="preserve"> - Reply-To-Abweichungen und Display-Name-Spoofing müssen als eigene Indikatoren dargestellt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Abweichung wird unabhängig von Linkanalyse sichtbar.</w:t>
            </w:r>
          </w:p>
        </w:tc>
      </w:tr>
    </w:tbl>
    <w:p>
      <w:pPr>
        <w:spacing w:after="40"/>
        <w:keepLines/>
      </w:pPr>
    </w:p>
    <w:p>
      <w:pPr>
        <w:pStyle w:val="RequirementTitle"/>
        <w:keepNext/>
        <w:keepNext/>
        <w:keepLines/>
      </w:pPr>
      <w:r>
        <w:rPr>
          <w:b/>
          <w:color w:val="224B5E"/>
        </w:rPr>
        <w:t>LF-WAR-010  [SOLL]</w:t>
      </w:r>
      <w:r>
        <w:t xml:space="preserve"> - Externe Tracking-Ressourcen und sehr kleine unsichtbare Bilder sollen erkannt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Analyse listet externe Hosts, Abmessungen soweit bekannt und Trackingverdacht auf.</w:t>
            </w:r>
          </w:p>
        </w:tc>
      </w:tr>
    </w:tbl>
    <w:p>
      <w:pPr>
        <w:spacing w:after="40"/>
        <w:keepLines/>
      </w:pPr>
    </w:p>
    <w:p>
      <w:pPr>
        <w:pStyle w:val="RequirementTitle"/>
        <w:keepNext/>
        <w:keepNext/>
        <w:keepLines/>
      </w:pPr>
      <w:r>
        <w:rPr>
          <w:b/>
          <w:color w:val="224B5E"/>
        </w:rPr>
        <w:t>LF-WAR-011  [MUSS]</w:t>
      </w:r>
      <w:r>
        <w:t xml:space="preserve"> - Dateiname, deklarierter MIME-Typ und erkannter Dateityp von Anhängen müssen auf Widersprüche geprüft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Doppelendung oder Typabweichung erzeugt Warnhinweis.</w:t>
            </w:r>
          </w:p>
        </w:tc>
      </w:tr>
    </w:tbl>
    <w:p>
      <w:pPr>
        <w:spacing w:after="40"/>
        <w:keepLines/>
      </w:pPr>
    </w:p>
    <w:p>
      <w:pPr>
        <w:pStyle w:val="RequirementTitle"/>
        <w:keepNext/>
        <w:keepNext/>
        <w:keepLines/>
      </w:pPr>
      <w:r>
        <w:rPr>
          <w:b/>
          <w:color w:val="224B5E"/>
        </w:rPr>
        <w:t>LF-WAR-012  [MUSS]</w:t>
      </w:r>
      <w:r>
        <w:t xml:space="preserve"> - Das Warnsystem muss mehrere Einzelindikatoren zu Warnstufen zusammenführen, aber alle Gründe einzeln anzeigen.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WarningAggregator berechnet keine undurchsichtige Wahrscheinlichkeit, sondern ordnet versionierte Regelbefunde deterministisch einer Stufe (Info, Hinweis, Erhöht, Hoch) zu. Die UI zeigt alle beitragenden Befunde und ihre Evidenz.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Keine Warnstufe erscheint ohne nachvollziehbare Begründungsliste.</w:t>
            </w:r>
          </w:p>
        </w:tc>
      </w:tr>
    </w:tbl>
    <w:p>
      <w:pPr>
        <w:spacing w:after="40"/>
        <w:keepLines/>
      </w:pPr>
    </w:p>
    <w:p>
      <w:pPr>
        <w:pStyle w:val="RequirementTitle"/>
        <w:keepNext/>
        <w:keepNext/>
        <w:keepLines/>
      </w:pPr>
      <w:r>
        <w:rPr>
          <w:b/>
          <w:color w:val="224B5E"/>
        </w:rPr>
        <w:t>LF-WAR-013  [MUSS]</w:t>
      </w:r>
      <w:r>
        <w:t xml:space="preserve"> - Das System darf niemals behaupten, eine Mail sei garantiert sicher.</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Niedrige Warnstufe wird als „keine Auffälligkeit erkannt“ und nicht als Sicherheitsgarantie formuliert.</w:t>
            </w:r>
          </w:p>
        </w:tc>
      </w:tr>
    </w:tbl>
    <w:p>
      <w:pPr>
        <w:spacing w:after="40"/>
        <w:keepLines/>
      </w:pPr>
    </w:p>
    <w:p>
      <w:pPr>
        <w:pStyle w:val="RequirementTitle"/>
        <w:keepNext/>
        <w:keepNext/>
        <w:keepLines/>
      </w:pPr>
      <w:r>
        <w:rPr>
          <w:b/>
          <w:color w:val="224B5E"/>
        </w:rPr>
        <w:t>LF-WAR-014  [MUSS]</w:t>
      </w:r>
      <w:r>
        <w:t xml:space="preserve"> - Links mit erhöhter Warnstufe dürfen erst nach bewusster Bestätigung geöffnet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Direkter Klick zeigt Zwischendialog mit Ziel, Gründen und Abbruchoption.</w:t>
            </w:r>
          </w:p>
        </w:tc>
      </w:tr>
    </w:tbl>
    <w:p>
      <w:pPr>
        <w:spacing w:after="40"/>
        <w:keepLines/>
      </w:pPr>
    </w:p>
    <w:p>
      <w:pPr>
        <w:pStyle w:val="RequirementTitle"/>
        <w:keepNext/>
        <w:keepNext/>
        <w:keepLines/>
      </w:pPr>
      <w:r>
        <w:rPr>
          <w:b/>
          <w:color w:val="224B5E"/>
        </w:rPr>
        <w:t>LF-WAR-015  [SOLL]</w:t>
      </w:r>
      <w:r>
        <w:t xml:space="preserve"> - Der Nutzer muss eine Domain für ein Markenprofil lokal vertrauen oder eine Fehlwarnung dokumentieren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BrandTrustProfile enthält primäre Domains, erlaubte Subdomains, bekannte Versand-/Trackingdienstleister, Gültigkeitszeitraum, Herausgeber und Versionsnummer. Profile sind lokal editierbar und werden nie automatisch aus einer Mail erweitert.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Ausnahme ist sichtbar, widerrufbar und mit Zeitstempel versehen.</w:t>
            </w:r>
          </w:p>
        </w:tc>
      </w:tr>
    </w:tbl>
    <w:p>
      <w:pPr>
        <w:spacing w:after="40"/>
        <w:keepLines/>
      </w:pPr>
    </w:p>
    <w:p>
      <w:pPr>
        <w:pStyle w:val="RequirementTitle"/>
        <w:keepNext/>
        <w:keepNext/>
        <w:keepLines/>
      </w:pPr>
      <w:r>
        <w:rPr>
          <w:b/>
          <w:color w:val="224B5E"/>
        </w:rPr>
        <w:t>LF-WAR-016  [MUSS]</w:t>
      </w:r>
      <w:r>
        <w:t xml:space="preserve"> - Online-Reputation oder automatisches Aufrufen von Links darf in V1 nicht ohne ausdrückliche Aktivierung erfolgen.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Standardanalyse erzeugt keinen Netzwerkverkehr zu Mailzielen oder Reputationsdiensten.</w:t>
            </w:r>
          </w:p>
        </w:tc>
      </w:tr>
    </w:tbl>
    <w:p>
      <w:pPr>
        <w:spacing w:after="40"/>
        <w:keepLines/>
      </w:pPr>
    </w:p>
    <w:p>
      <w:pPr>
        <w:pStyle w:val="RequirementTitle"/>
        <w:keepNext/>
        <w:keepNext/>
        <w:keepLines/>
      </w:pPr>
      <w:r>
        <w:rPr>
          <w:b/>
          <w:color w:val="224B5E"/>
        </w:rPr>
        <w:t>LF-WAR-017  [MUSS]</w:t>
      </w:r>
      <w:r>
        <w:t xml:space="preserve"> - Warnregeln und Analyseergebnisse müssen versioniert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Historie zeigt Analyzer-ID, Version, Eingabehash und Ergebniszeitpunkt.</w:t>
            </w:r>
          </w:p>
        </w:tc>
      </w:tr>
    </w:tbl>
    <w:p>
      <w:pPr>
        <w:spacing w:after="40"/>
        <w:keepLines/>
      </w:pPr>
    </w:p>
    <w:p>
      <w:pPr>
        <w:pStyle w:val="RequirementTitle"/>
        <w:keepNext/>
        <w:keepNext/>
        <w:keepLines/>
      </w:pPr>
      <w:r>
        <w:rPr>
          <w:b/>
          <w:color w:val="224B5E"/>
        </w:rPr>
        <w:t>LF-WAR-018  [MUSS]</w:t>
      </w:r>
      <w:r>
        <w:t xml:space="preserve"> - Das Warnsystem muss über stabile Analyzer-Schnittstellen erweiterbar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Neue interne Analyzer können registriert werden, ohne die UI oder den Mailabruf zu ändern.</w:t>
            </w:r>
          </w:p>
        </w:tc>
      </w:tr>
    </w:tbl>
    <w:p>
      <w:pPr>
        <w:spacing w:after="40"/>
        <w:keepLines/>
      </w:pPr>
    </w:p>
    <w:p>
      <w:pPr>
        <w:pStyle w:val="RequirementTitle"/>
        <w:keepNext/>
        <w:keepNext/>
        <w:keepLines/>
      </w:pPr>
      <w:r>
        <w:rPr>
          <w:b/>
          <w:color w:val="224B5E"/>
        </w:rPr>
        <w:t>LF-WAR-019  [SOLL]</w:t>
      </w:r>
      <w:r>
        <w:t xml:space="preserve"> - Der Anwender muss einen Sicherheitsbericht für eine Nachricht exportieren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Bericht enthält Herkunft, Hash, Links, Indikatoren, Warnstufe, Methodik und Grenzen.</w:t>
            </w:r>
          </w:p>
        </w:tc>
      </w:tr>
    </w:tbl>
    <w:p>
      <w:pPr>
        <w:spacing w:after="40"/>
        <w:keepLines/>
      </w:pPr>
    </w:p>
    <w:p>
      <w:pPr>
        <w:pStyle w:val="RequirementTitle"/>
        <w:keepNext/>
        <w:keepNext/>
        <w:keepLines/>
      </w:pPr>
      <w:r>
        <w:rPr>
          <w:b/>
          <w:color w:val="224B5E"/>
        </w:rPr>
        <w:t>LF-WAR-020  [SOLL]</w:t>
      </w:r>
      <w:r>
        <w:t xml:space="preserve"> - Redirector-, Kurzlink- und Trackingdomains sollen lokal anhand konfigurierbarer Listen erkannt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 Die fachlichen Daten werden über AnalysisRun, WarningFinding, BrandTrustProfile, AnalyzerDefinition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AnalysisRun, WarningFinding, BrandTrustProfile, AnalyzerDefinition. Zuständiger Hauptbaustein: Sasd.MailWorkbench.Analysis.Core.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legitimer externer Dienstleister; fehlender Authentication-Results-Header; IDN mit gemischten Schriftsystemen; Linkverkürzer.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Bekannte Muster werden markiert; ohne Netzwerkzugriff wird das endgültige Redirectziel nicht behauptet.</w:t>
            </w:r>
          </w:p>
        </w:tc>
      </w:tr>
    </w:tbl>
    <w:p>
      <w:pPr>
        <w:spacing w:after="40"/>
        <w:keepLines/>
      </w:pPr>
    </w:p>
    <w:p>
      <w:pPr>
        <w:pStyle w:val="Heading2"/>
        <w:keepNext/>
        <w:keepLines/>
      </w:pPr>
      <w:r>
        <w:t>23.7 Verfassen, Versand und Gesendet-Upload</w:t>
      </w:r>
    </w:p>
    <w:p>
      <w:pPr>
        <w:pStyle w:val="RequirementTitle"/>
        <w:keepNext/>
        <w:keepNext/>
        <w:keepLines/>
      </w:pPr>
      <w:r>
        <w:rPr>
          <w:b/>
          <w:color w:val="224B5E"/>
        </w:rPr>
        <w:t>LF-VSD-001  [MUSS]</w:t>
      </w:r>
      <w:r>
        <w:t xml:space="preserve"> - Die Anwendung muss Nachrichten über SMTP mit TLS beziehungsweise STARTTLS versenden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SendMessageUseCase erzeugt genau eine kanonische MimeMessage und speichert sie vor dem SMTP-Aufruf in der Outbox. Dieselben Bytes werden nach erfolgreichem Versand als lokale Gesendet-Rohmail und für IMAP APPEND verwendet.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Testversand mit GMX oder IONOS ist ohne unverschlüsselte Fallback-Verbindung möglich.</w:t>
            </w:r>
          </w:p>
        </w:tc>
      </w:tr>
    </w:tbl>
    <w:p>
      <w:pPr>
        <w:spacing w:after="40"/>
        <w:keepLines/>
      </w:pPr>
    </w:p>
    <w:p>
      <w:pPr>
        <w:pStyle w:val="RequirementTitle"/>
        <w:keepNext/>
        <w:keepNext/>
        <w:keepLines/>
      </w:pPr>
      <w:r>
        <w:rPr>
          <w:b/>
          <w:color w:val="224B5E"/>
        </w:rPr>
        <w:t>LF-VSD-002  [MUSS]</w:t>
      </w:r>
      <w:r>
        <w:t xml:space="preserve"> - Neue Nachricht, Antworten, Allen antworten und Weiterleiten müssen unterstützt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Header und Threadreferenzen werden korrekt gesetzt.</w:t>
            </w:r>
          </w:p>
        </w:tc>
      </w:tr>
    </w:tbl>
    <w:p>
      <w:pPr>
        <w:spacing w:after="40"/>
        <w:keepLines/>
      </w:pPr>
    </w:p>
    <w:p>
      <w:pPr>
        <w:pStyle w:val="RequirementTitle"/>
        <w:keepNext/>
        <w:keepNext/>
        <w:keepLines/>
      </w:pPr>
      <w:r>
        <w:rPr>
          <w:b/>
          <w:color w:val="224B5E"/>
        </w:rPr>
        <w:t>LF-VSD-003  [MUSS]</w:t>
      </w:r>
      <w:r>
        <w:t xml:space="preserve"> - Entwürfe müssen lokal automatisch gespeichert und nach Neustart wiederherstellbar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Entwürfe werden debounced und versioniert lokal gespeichert. Der Editor arbeitet mit einem Draft DTO; Anhänge werden bereits in einen verwalteten Entwurfsbereich kopiert, damit externe Dateien nicht unbemerkt verschwinden.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Unversendeter Text geht nach kontrolliertem Neustart nicht verloren.</w:t>
            </w:r>
          </w:p>
        </w:tc>
      </w:tr>
    </w:tbl>
    <w:p>
      <w:pPr>
        <w:spacing w:after="40"/>
        <w:keepLines/>
      </w:pPr>
    </w:p>
    <w:p>
      <w:pPr>
        <w:pStyle w:val="RequirementTitle"/>
        <w:keepNext/>
        <w:keepNext/>
        <w:keepLines/>
      </w:pPr>
      <w:r>
        <w:rPr>
          <w:b/>
          <w:color w:val="224B5E"/>
        </w:rPr>
        <w:t>LF-VSD-004  [MUSS]</w:t>
      </w:r>
      <w:r>
        <w:t xml:space="preserve"> - To, Cc, Bcc, Reply-To, Text, HTML, Signatur und Anhänge müssen unterstützt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Versendete Referenzmail wird in anderem Standardclient korrekt dargestellt.</w:t>
            </w:r>
          </w:p>
        </w:tc>
      </w:tr>
    </w:tbl>
    <w:p>
      <w:pPr>
        <w:spacing w:after="40"/>
        <w:keepLines/>
      </w:pPr>
    </w:p>
    <w:p>
      <w:pPr>
        <w:pStyle w:val="RequirementTitle"/>
        <w:keepNext/>
        <w:keepNext/>
        <w:keepLines/>
      </w:pPr>
      <w:r>
        <w:rPr>
          <w:b/>
          <w:color w:val="224B5E"/>
        </w:rPr>
        <w:t>LF-VSD-005  [SOLL]</w:t>
      </w:r>
      <w:r>
        <w:t xml:space="preserve"> - Vor Versand muss bei leerem Betreff und erwähntem, aber fehlendem Anhang gewarnt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Warnung kann bewusst bestätigt werden.</w:t>
            </w:r>
          </w:p>
        </w:tc>
      </w:tr>
    </w:tbl>
    <w:p>
      <w:pPr>
        <w:spacing w:after="40"/>
        <w:keepLines/>
      </w:pPr>
    </w:p>
    <w:p>
      <w:pPr>
        <w:pStyle w:val="RequirementTitle"/>
        <w:keepNext/>
        <w:keepNext/>
        <w:keepLines/>
      </w:pPr>
      <w:r>
        <w:rPr>
          <w:b/>
          <w:color w:val="224B5E"/>
        </w:rPr>
        <w:t>LF-VSD-006  [MUSS]</w:t>
      </w:r>
      <w:r>
        <w:t xml:space="preserve"> - Der Versand muss über eine lokale Outbox mit eindeutigen Zuständen erfolgen.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OutboxItem besitzt explizite Zustände Pending, Sending, Sent, SendUncertain, RetryRequired und FailedPermanent. Zustandswechsel erfolgen transaktional und werden in der Versandhistorie protokolliert.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Pending, Sending, Sent, SendUncertain, RetryRequired und Failed sind unterscheidbar.</w:t>
            </w:r>
          </w:p>
        </w:tc>
      </w:tr>
    </w:tbl>
    <w:p>
      <w:pPr>
        <w:spacing w:after="40"/>
        <w:keepLines/>
      </w:pPr>
    </w:p>
    <w:p>
      <w:pPr>
        <w:pStyle w:val="RequirementTitle"/>
        <w:keepNext/>
        <w:keepNext/>
        <w:keepLines/>
      </w:pPr>
      <w:r>
        <w:rPr>
          <w:b/>
          <w:color w:val="224B5E"/>
        </w:rPr>
        <w:t>LF-VSD-007  [MUSS]</w:t>
      </w:r>
      <w:r>
        <w:t xml:space="preserve"> - Nach erfolgreichem SMTP-Versand muss die exakt versendete MIME-Nachricht lokal archiviert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SendMessageUseCase erzeugt genau eine kanonische MimeMessage und speichert sie vor dem SMTP-Aufruf in der Outbox. Dieselben Bytes werden nach erfolgreichem Versand als lokale Gesendet-Rohmail und für IMAP APPEND verwendet.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Lokale Gesendet-Mail besitzt denselben Message-ID- und Inhaltsstand wie der Versand.</w:t>
            </w:r>
          </w:p>
        </w:tc>
      </w:tr>
    </w:tbl>
    <w:p>
      <w:pPr>
        <w:spacing w:after="40"/>
        <w:keepLines/>
      </w:pPr>
    </w:p>
    <w:p>
      <w:pPr>
        <w:pStyle w:val="RequirementTitle"/>
        <w:keepNext/>
        <w:keepNext/>
        <w:keepLines/>
      </w:pPr>
      <w:r>
        <w:rPr>
          <w:b/>
          <w:color w:val="224B5E"/>
        </w:rPr>
        <w:t>LF-VSD-008  [MUSS]</w:t>
      </w:r>
      <w:r>
        <w:t xml:space="preserve"> - Die gesendete Nachricht muss per IMAP APPEND in den serverseitigen Gesendet-Ordner hochgeladen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SentMessageUploadService ermittelt den Zielordner, öffnet ihn schreibbar und verwendet MailKit AppendAsync mit der exakt versendeten MimeMessage und dem Flag Seen. APPENDUID wird, falls verfügbar, gespeichert.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Andere IMAP-Clients sehen die Nachricht nach erfolgreichem Upload.</w:t>
            </w:r>
          </w:p>
        </w:tc>
      </w:tr>
    </w:tbl>
    <w:p>
      <w:pPr>
        <w:spacing w:after="40"/>
        <w:keepLines/>
      </w:pPr>
    </w:p>
    <w:p>
      <w:pPr>
        <w:pStyle w:val="RequirementTitle"/>
        <w:keepNext/>
        <w:keepNext/>
        <w:keepLines/>
      </w:pPr>
      <w:r>
        <w:rPr>
          <w:b/>
          <w:color w:val="224B5E"/>
        </w:rPr>
        <w:t>LF-VSD-009  [MUSS]</w:t>
      </w:r>
      <w:r>
        <w:t xml:space="preserve"> - Der Gesendet-Ordner muss über Special-Use, Providerprofil oder Nutzerauswahl bestimmbar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FolderResolver priorisiert IMAP Special-Use \Sent, danach das Providerprofil und zuletzt eine gespeicherte Nutzerauswahl. Ein automatisch neu angelegter Ordner erfolgt nur nach bewusster Bestätigung.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Kein fest verdrahteter Ordnername ist erforderlich.</w:t>
            </w:r>
          </w:p>
        </w:tc>
      </w:tr>
    </w:tbl>
    <w:p>
      <w:pPr>
        <w:spacing w:after="40"/>
        <w:keepLines/>
      </w:pPr>
    </w:p>
    <w:p>
      <w:pPr>
        <w:pStyle w:val="RequirementTitle"/>
        <w:keepNext/>
        <w:keepNext/>
        <w:keepLines/>
      </w:pPr>
      <w:r>
        <w:rPr>
          <w:b/>
          <w:color w:val="224B5E"/>
        </w:rPr>
        <w:t>LF-VSD-010  [MUSS]</w:t>
      </w:r>
      <w:r>
        <w:t xml:space="preserve"> - Der IMAP-Upload muss idempotent und gegen unklare Netzwerkabbrüche abgesichert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Vor Retry eines unklaren APPEND wird im Zielordner begrenzt nach Message-ID, Datum, Größe und lokalem Hashhinweis gesucht. Erst wenn keine Übereinstimmung vorliegt, darf erneut angehängt werden.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Bei UploadUncertain wird vor Wiederholung nach Message-ID und gespeicherten Merkmalen geprüft.</w:t>
            </w:r>
          </w:p>
        </w:tc>
      </w:tr>
    </w:tbl>
    <w:p>
      <w:pPr>
        <w:spacing w:after="40"/>
        <w:keepLines/>
      </w:pPr>
    </w:p>
    <w:p>
      <w:pPr>
        <w:pStyle w:val="RequirementTitle"/>
        <w:keepNext/>
        <w:keepNext/>
        <w:keepLines/>
      </w:pPr>
      <w:r>
        <w:rPr>
          <w:b/>
          <w:color w:val="224B5E"/>
        </w:rPr>
        <w:t>LF-VSD-011  [MUSS]</w:t>
      </w:r>
      <w:r>
        <w:t xml:space="preserve"> - Fehlgeschlagene Uploads müssen in einer sichtbaren Warteschlange erneut gestartet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Nutzer sieht Status, letzten Fehler und Retry-Aktion.</w:t>
            </w:r>
          </w:p>
        </w:tc>
      </w:tr>
    </w:tbl>
    <w:p>
      <w:pPr>
        <w:spacing w:after="40"/>
        <w:keepLines/>
      </w:pPr>
    </w:p>
    <w:p>
      <w:pPr>
        <w:pStyle w:val="RequirementTitle"/>
        <w:keepNext/>
        <w:keepNext/>
        <w:keepLines/>
      </w:pPr>
      <w:r>
        <w:rPr>
          <w:b/>
          <w:color w:val="224B5E"/>
        </w:rPr>
        <w:t>LF-VSD-012  [MUSS]</w:t>
      </w:r>
      <w:r>
        <w:t xml:space="preserve"> - SMTP-Erfolg und IMAP-Upload-Erfolg müssen getrennt dargestellt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Eine versendete, aber noch nicht hochgeladene Mail wird nicht als Versandfehler dargestellt.</w:t>
            </w:r>
          </w:p>
        </w:tc>
      </w:tr>
    </w:tbl>
    <w:p>
      <w:pPr>
        <w:spacing w:after="40"/>
        <w:keepLines/>
      </w:pPr>
    </w:p>
    <w:p>
      <w:pPr>
        <w:pStyle w:val="RequirementTitle"/>
        <w:keepNext/>
        <w:keepNext/>
        <w:keepLines/>
      </w:pPr>
      <w:r>
        <w:rPr>
          <w:b/>
          <w:color w:val="224B5E"/>
        </w:rPr>
        <w:t>LF-VSD-013  [SOLL]</w:t>
      </w:r>
      <w:r>
        <w:t xml:space="preserve"> - Die Anwendung muss Offline-Verfassen und späteren Versand vorbereiten.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Sasd.MailWorkbench.Application.Sending + Mail.MailKit. Die fachlichen Daten werden über Draft, OutboxItem, SentMessage, SentUploadJob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Draft, OutboxItem, SentMessage, SentUploadJob. Zuständiger Hauptbaustein: Sasd.MailWorkbench.Application.Sending + Mail.MailKit.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SMTP-Annahme unklar; IMAP APPEND erfolgreich aber Antwort verloren; Gesendet-Ordner nicht vorhanden; Offline-Zustand.</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Integrationstest gegen kontrollierten Mailserver beziehungsweise Fake-Adapter. Fachlicher Nachweis: Nachricht kann in der Outbox verbleiben und manuell erneut versendet werden.</w:t>
            </w:r>
          </w:p>
        </w:tc>
      </w:tr>
    </w:tbl>
    <w:p>
      <w:pPr>
        <w:spacing w:after="40"/>
        <w:keepLines/>
      </w:pPr>
    </w:p>
    <w:p>
      <w:pPr>
        <w:pStyle w:val="Heading2"/>
        <w:keepNext/>
        <w:keepLines/>
      </w:pPr>
      <w:r>
        <w:t>23.8 Organisation, Suche und Regeln</w:t>
      </w:r>
    </w:p>
    <w:p>
      <w:pPr>
        <w:pStyle w:val="RequirementTitle"/>
        <w:keepNext/>
        <w:keepNext/>
        <w:keepLines/>
      </w:pPr>
      <w:r>
        <w:rPr>
          <w:b/>
          <w:color w:val="224B5E"/>
        </w:rPr>
        <w:t>LF-ORG-001  [MUSS]</w:t>
      </w:r>
      <w:r>
        <w:t xml:space="preserve"> - Die Anwendung muss lokale Systemordner für Posteingang, Gesendet, Entwürfe, Outbox, Archiv, Papierkorb und Quarantäne bereitstellen.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Entwürfe werden debounced und versioniert lokal gespeichert. Der Editor arbeitet mit einem Draft DTO; Anhänge werden bereits in einen verwalteten Entwurfsbereich kopiert, damit externe Dateien nicht unbemerkt verschwinden.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Jede Nachricht ist mindestens einem nachvollziehbaren lokalen Bereich zugeordnet.</w:t>
            </w:r>
          </w:p>
        </w:tc>
      </w:tr>
    </w:tbl>
    <w:p>
      <w:pPr>
        <w:spacing w:after="40"/>
        <w:keepLines/>
      </w:pPr>
    </w:p>
    <w:p>
      <w:pPr>
        <w:pStyle w:val="RequirementTitle"/>
        <w:keepNext/>
        <w:keepNext/>
        <w:keepLines/>
      </w:pPr>
      <w:r>
        <w:rPr>
          <w:b/>
          <w:color w:val="224B5E"/>
        </w:rPr>
        <w:t>LF-ORG-002  [MUSS]</w:t>
      </w:r>
      <w:r>
        <w:t xml:space="preserve"> - Nachrichten müssen gelesen/ungelesen, markiert und mit lokalen Tags versehen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Status bleibt nach Neustart erhalten.</w:t>
            </w:r>
          </w:p>
        </w:tc>
      </w:tr>
    </w:tbl>
    <w:p>
      <w:pPr>
        <w:spacing w:after="40"/>
        <w:keepLines/>
      </w:pPr>
    </w:p>
    <w:p>
      <w:pPr>
        <w:pStyle w:val="RequirementTitle"/>
        <w:keepNext/>
        <w:keepNext/>
        <w:keepLines/>
      </w:pPr>
      <w:r>
        <w:rPr>
          <w:b/>
          <w:color w:val="224B5E"/>
        </w:rPr>
        <w:t>LF-ORG-003  [MUSS]</w:t>
      </w:r>
      <w:r>
        <w:t xml:space="preserve"> - Lokale Ordner müssen angelegt, umbenannt und gelöscht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Nachrichten können verlustfrei verschoben werden.</w:t>
            </w:r>
          </w:p>
        </w:tc>
      </w:tr>
    </w:tbl>
    <w:p>
      <w:pPr>
        <w:spacing w:after="40"/>
        <w:keepLines/>
      </w:pPr>
    </w:p>
    <w:p>
      <w:pPr>
        <w:pStyle w:val="RequirementTitle"/>
        <w:keepNext/>
        <w:keepNext/>
        <w:keepLines/>
      </w:pPr>
      <w:r>
        <w:rPr>
          <w:b/>
          <w:color w:val="224B5E"/>
        </w:rPr>
        <w:t>LF-ORG-004  [SOLL]</w:t>
      </w:r>
      <w:r>
        <w:t xml:space="preserve"> - Eine einheitliche Ansicht über mehrere Konten muss verfügbar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Unified Inbox zeigt Herkunftskonto eindeutig an.</w:t>
            </w:r>
          </w:p>
        </w:tc>
      </w:tr>
    </w:tbl>
    <w:p>
      <w:pPr>
        <w:spacing w:after="40"/>
        <w:keepLines/>
      </w:pPr>
    </w:p>
    <w:p>
      <w:pPr>
        <w:pStyle w:val="RequirementTitle"/>
        <w:keepNext/>
        <w:keepNext/>
        <w:keepLines/>
      </w:pPr>
      <w:r>
        <w:rPr>
          <w:b/>
          <w:color w:val="224B5E"/>
        </w:rPr>
        <w:t>LF-ORG-005  [MUSS]</w:t>
      </w:r>
      <w:r>
        <w:t xml:space="preserve"> - Die Nachrichtenliste muss sortierbar, filterbar und für große Bestände virtuell beziehungsweise performant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100.000 Metadatensätze lassen sich ohne vollständiges Laden aller Bodies durchsuchen und darstellen.</w:t>
            </w:r>
          </w:p>
        </w:tc>
      </w:tr>
    </w:tbl>
    <w:p>
      <w:pPr>
        <w:spacing w:after="40"/>
        <w:keepLines/>
      </w:pPr>
    </w:p>
    <w:p>
      <w:pPr>
        <w:pStyle w:val="RequirementTitle"/>
        <w:keepNext/>
        <w:keepNext/>
        <w:keepLines/>
      </w:pPr>
      <w:r>
        <w:rPr>
          <w:b/>
          <w:color w:val="224B5E"/>
        </w:rPr>
        <w:t>LF-ORG-006  [MUSS]</w:t>
      </w:r>
      <w:r>
        <w:t xml:space="preserve"> - Eine lokale Volltextsuche über Betreff, Absender, Empfänger und normalisierten Text muss verfügbar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SQLite FTS5 indexiert Betreff, normalisierten Absender-/Empfängertext und bereinigten Plaintext. FTS-Einträge referenzieren MessageId und werden nach erfolgreichem Parsing in derselben logischen Verarbeitung aktualisiert.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Typische Suche liefert Treffer konto- und ordnerübergreifend.</w:t>
            </w:r>
          </w:p>
        </w:tc>
      </w:tr>
    </w:tbl>
    <w:p>
      <w:pPr>
        <w:spacing w:after="40"/>
        <w:keepLines/>
      </w:pPr>
    </w:p>
    <w:p>
      <w:pPr>
        <w:pStyle w:val="RequirementTitle"/>
        <w:keepNext/>
        <w:keepNext/>
        <w:keepLines/>
      </w:pPr>
      <w:r>
        <w:rPr>
          <w:b/>
          <w:color w:val="224B5E"/>
        </w:rPr>
        <w:t>LF-ORG-007  [MUSS]</w:t>
      </w:r>
      <w:r>
        <w:t xml:space="preserve"> - Suche nach Datum, Status, Tag, Anhang und Dateiname muss möglich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Filter lassen sich kombinieren und zurücksetzen.</w:t>
            </w:r>
          </w:p>
        </w:tc>
      </w:tr>
    </w:tbl>
    <w:p>
      <w:pPr>
        <w:spacing w:after="40"/>
        <w:keepLines/>
      </w:pPr>
    </w:p>
    <w:p>
      <w:pPr>
        <w:pStyle w:val="RequirementTitle"/>
        <w:keepNext/>
        <w:keepNext/>
        <w:keepLines/>
      </w:pPr>
      <w:r>
        <w:rPr>
          <w:b/>
          <w:color w:val="224B5E"/>
        </w:rPr>
        <w:t>LF-ORG-008  [SOLL]</w:t>
      </w:r>
      <w:r>
        <w:t xml:space="preserve"> - Gespeicherte Suchen und virtuelle Ordner sollen vorbereitet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Mindestens eine Suchdefinition kann gespeichert und erneut ausgeführt werden.</w:t>
            </w:r>
          </w:p>
        </w:tc>
      </w:tr>
    </w:tbl>
    <w:p>
      <w:pPr>
        <w:spacing w:after="40"/>
        <w:keepLines/>
      </w:pPr>
    </w:p>
    <w:p>
      <w:pPr>
        <w:pStyle w:val="RequirementTitle"/>
        <w:keepNext/>
        <w:keepNext/>
        <w:keepLines/>
      </w:pPr>
      <w:r>
        <w:rPr>
          <w:b/>
          <w:color w:val="224B5E"/>
        </w:rPr>
        <w:t>LF-ORG-009  [SOLL]</w:t>
      </w:r>
      <w:r>
        <w:t xml:space="preserve"> - Einfache Regeln für Absender, Betreff, Header und Tags sollen auf neue und vorhandene Mails anwendbar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Regeln werden als deklarative Bedingungen und whiteliste-basierte Aktionen gespeichert. Es gibt in V1 keine Shell-, PowerShell-, JavaScript- oder beliebige CLR-Ausführung.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Regeltest zeigt betroffene Nachrichten vor Ausführung.</w:t>
            </w:r>
          </w:p>
        </w:tc>
      </w:tr>
    </w:tbl>
    <w:p>
      <w:pPr>
        <w:spacing w:after="40"/>
        <w:keepLines/>
      </w:pPr>
    </w:p>
    <w:p>
      <w:pPr>
        <w:pStyle w:val="RequirementTitle"/>
        <w:keepNext/>
        <w:keepNext/>
        <w:keepLines/>
      </w:pPr>
      <w:r>
        <w:rPr>
          <w:b/>
          <w:color w:val="224B5E"/>
        </w:rPr>
        <w:t>LF-ORG-010  [MUSS]</w:t>
      </w:r>
      <w:r>
        <w:t xml:space="preserve"> - Regelaktionen dürfen keine unbekannten externen Skripte ausführen.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Script-, iframe-, object-, embed-, form- und Meta-Refresh-Elemente werden vor dem Rendern entfernt. Navigation und neue Fenster werden im WebView-Host abgefangen; file:, javascript:, data: und benutzerdefinierte Schemata sind blockiert. Primär betroffen sind Sasd.MailWorkbench.Application.Organization + Persistence.Sqlite/FTS5. Die fachlichen Daten werden über Folder, Tag, MessageTag, SearchDocument, RuleDefinition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Folder, Tag, MessageTag, SearchDocument, RuleDefinition. Zuständiger Hauptbaustein: Sasd.MailWorkbench.Application.Organization + Persistence.Sqlite/FTS5.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100.000+ Nachrichten; Index noch nicht vollständig; gelöschter Tag/Ordner; Suchabbruch.</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V1 enthält nur klar definierte interne Aktionen.</w:t>
            </w:r>
          </w:p>
        </w:tc>
      </w:tr>
    </w:tbl>
    <w:p>
      <w:pPr>
        <w:spacing w:after="40"/>
        <w:keepLines/>
      </w:pPr>
    </w:p>
    <w:p>
      <w:pPr>
        <w:pStyle w:val="Heading2"/>
        <w:keepNext/>
        <w:keepLines/>
      </w:pPr>
      <w:r>
        <w:t>23.9 Anhänge</w:t>
      </w:r>
    </w:p>
    <w:p>
      <w:pPr>
        <w:pStyle w:val="RequirementTitle"/>
        <w:keepNext/>
        <w:keepNext/>
        <w:keepLines/>
      </w:pPr>
      <w:r>
        <w:rPr>
          <w:b/>
          <w:color w:val="224B5E"/>
        </w:rPr>
        <w:t>LF-ANH-001  [MUSS]</w:t>
      </w:r>
      <w:r>
        <w:t xml:space="preserve"> - Anhänge müssen mit Name, Größe, MIME-Typ und Hash angezeigt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AttachmentDescriptor speichert MIME-Pfad, Dateiname, Größe, Content-ID, deklarierten Typ, erkannten Signaturtyp und Hash. Speichern erfolgt über einen sicheren Dateidialog mit Kollisionsstrategie und ohne automatisches Öffnen. Primär betroffen sind Sasd.MailWorkbench.Analysis.Core.Attachments + Raw Store. Die fachlichen Daten werden über Attachment, AttachmentFingerprint, AttachmentClassification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Attachment, AttachmentFingerprint, AttachmentClassification. Zuständiger Hauptbaustein: Sasd.MailWorkbench.Analysis.Core.Attachments + Raw 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Doppelendung; MIME-Typ stimmt nicht mit Signatur überein; sehr großer Anhang; Dateinamenskollision.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Alle Werte sind in Detailansicht und Export verfügbar.</w:t>
            </w:r>
          </w:p>
        </w:tc>
      </w:tr>
    </w:tbl>
    <w:p>
      <w:pPr>
        <w:spacing w:after="40"/>
        <w:keepLines/>
      </w:pPr>
    </w:p>
    <w:p>
      <w:pPr>
        <w:pStyle w:val="RequirementTitle"/>
        <w:keepNext/>
        <w:keepNext/>
        <w:keepLines/>
      </w:pPr>
      <w:r>
        <w:rPr>
          <w:b/>
          <w:color w:val="224B5E"/>
        </w:rPr>
        <w:t>LF-ANH-002  [MUSS]</w:t>
      </w:r>
      <w:r>
        <w:t xml:space="preserve"> - Anhänge müssen einzeln und gesammelt in ein gewähltes Verzeichnis gespeichert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AttachmentDescriptor speichert MIME-Pfad, Dateiname, Größe, Content-ID, deklarierten Typ, erkannten Signaturtyp und Hash. Speichern erfolgt über einen sicheren Dateidialog mit Kollisionsstrategie und ohne automatisches Öffnen. Primär betroffen sind Sasd.MailWorkbench.Analysis.Core.Attachments + Raw Store. Die fachlichen Daten werden über Attachment, AttachmentFingerprint, AttachmentClassification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Attachment, AttachmentFingerprint, AttachmentClassification. Zuständiger Hauptbaustein: Sasd.MailWorkbench.Analysis.Core.Attachments + Raw 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Doppelendung; MIME-Typ stimmt nicht mit Signatur überein; sehr großer Anhang; Dateinamenskollision.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Dateinamen werden sicher behandelt; vorhandene Dateien nicht still überschrieben.</w:t>
            </w:r>
          </w:p>
        </w:tc>
      </w:tr>
    </w:tbl>
    <w:p>
      <w:pPr>
        <w:spacing w:after="40"/>
        <w:keepLines/>
      </w:pPr>
    </w:p>
    <w:p>
      <w:pPr>
        <w:pStyle w:val="RequirementTitle"/>
        <w:keepNext/>
        <w:keepNext/>
        <w:keepLines/>
      </w:pPr>
      <w:r>
        <w:rPr>
          <w:b/>
          <w:color w:val="224B5E"/>
        </w:rPr>
        <w:t>LF-ANH-003  [MUSS]</w:t>
      </w:r>
      <w:r>
        <w:t xml:space="preserve"> - Ausführbare oder anderweitig riskante Dateitypen dürfen nicht direkt automatisch geöffnet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Sasd.MailWorkbench.Analysis.Core.Attachments + Raw Store. Die fachlichen Daten werden über Attachment, AttachmentFingerprint, AttachmentClassification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Attachment, AttachmentFingerprint, AttachmentClassification. Zuständiger Hauptbaustein: Sasd.MailWorkbench.Analysis.Core.Attachments + Raw 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Doppelendung; MIME-Typ stimmt nicht mit Signatur überein; sehr großer Anhang; Dateinamenskollision.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Vor Öffnen erscheint deutliche Warnung oder Speichern-ist-erforderlich-Verhalten.</w:t>
            </w:r>
          </w:p>
        </w:tc>
      </w:tr>
    </w:tbl>
    <w:p>
      <w:pPr>
        <w:spacing w:after="40"/>
        <w:keepLines/>
      </w:pPr>
    </w:p>
    <w:p>
      <w:pPr>
        <w:pStyle w:val="RequirementTitle"/>
        <w:keepNext/>
        <w:keepNext/>
        <w:keepLines/>
      </w:pPr>
      <w:r>
        <w:rPr>
          <w:b/>
          <w:color w:val="224B5E"/>
        </w:rPr>
        <w:t>LF-ANH-004  [MUSS]</w:t>
      </w:r>
      <w:r>
        <w:t xml:space="preserve"> - Die Anwendung muss SHA-256 für Anhänge berechnen; SHA-512 soll optional möglich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AttachmentDescriptor speichert MIME-Pfad, Dateiname, Größe, Content-ID, deklarierten Typ, erkannten Signaturtyp und Hash. Speichern erfolgt über einen sicheren Dateidialog mit Kollisionsstrategie und ohne automatisches Öffnen. Primär betroffen sind Sasd.MailWorkbench.Analysis.Core.Attachments + Raw Store. Die fachlichen Daten werden über Attachment, AttachmentFingerprint, AttachmentClassification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Attachment, AttachmentFingerprint, AttachmentClassification. Zuständiger Hauptbaustein: Sasd.MailWorkbench.Analysis.Core.Attachments + Raw 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Doppelendung; MIME-Typ stimmt nicht mit Signatur überein; sehr großer Anhang; Dateinamenskollision.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Hashwerte sind reproduzierbar und exportierbar.</w:t>
            </w:r>
          </w:p>
        </w:tc>
      </w:tr>
    </w:tbl>
    <w:p>
      <w:pPr>
        <w:spacing w:after="40"/>
        <w:keepLines/>
      </w:pPr>
    </w:p>
    <w:p>
      <w:pPr>
        <w:pStyle w:val="RequirementTitle"/>
        <w:keepNext/>
        <w:keepNext/>
        <w:keepLines/>
      </w:pPr>
      <w:r>
        <w:rPr>
          <w:b/>
          <w:color w:val="224B5E"/>
        </w:rPr>
        <w:t>LF-ANH-005  [MUSS]</w:t>
      </w:r>
      <w:r>
        <w:t xml:space="preserve"> - Inline-Ressourcen müssen von normalen Anhängen unterscheidbar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AttachmentDescriptor speichert MIME-Pfad, Dateiname, Größe, Content-ID, deklarierten Typ, erkannten Signaturtyp und Hash. Speichern erfolgt über einen sicheren Dateidialog mit Kollisionsstrategie und ohne automatisches Öffnen. Primär betroffen sind Sasd.MailWorkbench.Analysis.Core.Attachments + Raw Store. Die fachlichen Daten werden über Attachment, AttachmentFingerprint, AttachmentClassification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Attachment, AttachmentFingerprint, AttachmentClassification. Zuständiger Hauptbaustein: Sasd.MailWorkbench.Analysis.Core.Attachments + Raw 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Doppelendung; MIME-Typ stimmt nicht mit Signatur überein; sehr großer Anhang; Dateinamenskollision.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CID-Bilder werden korrekt der HTML-Mail zugeordnet.</w:t>
            </w:r>
          </w:p>
        </w:tc>
      </w:tr>
    </w:tbl>
    <w:p>
      <w:pPr>
        <w:spacing w:after="40"/>
        <w:keepLines/>
      </w:pPr>
    </w:p>
    <w:p>
      <w:pPr>
        <w:pStyle w:val="RequirementTitle"/>
        <w:keepNext/>
        <w:keepNext/>
        <w:keepLines/>
      </w:pPr>
      <w:r>
        <w:rPr>
          <w:b/>
          <w:color w:val="224B5E"/>
        </w:rPr>
        <w:t>LF-ANH-006  [SOLL]</w:t>
      </w:r>
      <w:r>
        <w:t xml:space="preserve"> - Gängige technische Dateitypen sollen lokal klassifiziert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Sasd.MailWorkbench.Analysis.Core.Attachments + Raw Store. Die fachlichen Daten werden über Attachment, AttachmentFingerprint, AttachmentClassification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Attachment, AttachmentFingerprint, AttachmentClassification. Zuständiger Hauptbaustein: Sasd.MailWorkbench.Analysis.Core.Attachments + Raw Store.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Doppelendung; MIME-Typ stimmt nicht mit Signatur überein; sehr großer Anhang; Dateinamenskollision.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PDF, Office, CSV, JSON, XML, Quellcode, Archiv, Bild und Logdatei werden unterschieden.</w:t>
            </w:r>
          </w:p>
        </w:tc>
      </w:tr>
    </w:tbl>
    <w:p>
      <w:pPr>
        <w:spacing w:after="40"/>
        <w:keepLines/>
      </w:pPr>
    </w:p>
    <w:p>
      <w:pPr>
        <w:pStyle w:val="Heading2"/>
        <w:keepNext/>
        <w:keepLines/>
      </w:pPr>
      <w:r>
        <w:t>23.10 Scientific Foundation</w:t>
      </w:r>
    </w:p>
    <w:p>
      <w:pPr>
        <w:pStyle w:val="RequirementTitle"/>
        <w:keepNext/>
        <w:keepNext/>
        <w:keepLines/>
      </w:pPr>
      <w:r>
        <w:rPr>
          <w:b/>
          <w:color w:val="224B5E"/>
        </w:rPr>
        <w:t>LF-SCI-001  [MUSS]</w:t>
      </w:r>
      <w:r>
        <w:t xml:space="preserve"> - Jede Nachricht muss einen „Message Laboratory“-Bereich mit Nachricht, Analyse, Rohdaten und Historie besitzen.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MessageLaboratoryViewModel bündelt vier read-only Ansichten: Nachricht, Analyse, Rohdaten und Historie. Jede Ansicht lädt Daten asynchron über Application Queries und kennt keine Persistenzimplementierung.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Alle vier Sichten sind ohne externe Werkzeuge erreichbar.</w:t>
            </w:r>
          </w:p>
        </w:tc>
      </w:tr>
    </w:tbl>
    <w:p>
      <w:pPr>
        <w:spacing w:after="40"/>
        <w:keepLines/>
      </w:pPr>
    </w:p>
    <w:p>
      <w:pPr>
        <w:pStyle w:val="RequirementTitle"/>
        <w:keepNext/>
        <w:keepNext/>
        <w:keepLines/>
      </w:pPr>
      <w:r>
        <w:rPr>
          <w:b/>
          <w:color w:val="224B5E"/>
        </w:rPr>
        <w:t>LF-SCI-002  [MUSS]</w:t>
      </w:r>
      <w:r>
        <w:t xml:space="preserve"> - Analyseläufe müssen Analyzer-ID, Version, Eingabehash, Parameterhash, Zeit, Status und Ergebnis speichern.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AnalysisRun ist unveränderlich nach Abschluss. Ein erneuter Lauf erzeugt eine neue RunId; alte Resultate bleiben für Vergleich und Reproduzierbarkeit erhalten und können als Superseded markiert werden.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Ein Ergebnis ist später reproduzierbar zuordenbar.</w:t>
            </w:r>
          </w:p>
        </w:tc>
      </w:tr>
    </w:tbl>
    <w:p>
      <w:pPr>
        <w:spacing w:after="40"/>
        <w:keepLines/>
      </w:pPr>
    </w:p>
    <w:p>
      <w:pPr>
        <w:pStyle w:val="RequirementTitle"/>
        <w:keepNext/>
        <w:keepNext/>
        <w:keepLines/>
      </w:pPr>
      <w:r>
        <w:rPr>
          <w:b/>
          <w:color w:val="224B5E"/>
        </w:rPr>
        <w:t>LF-SCI-003  [MUSS]</w:t>
      </w:r>
      <w:r>
        <w:t xml:space="preserve"> - Eine Analyse muss erneut ausgeführt werden können, ohne die Rohmail neu abzurufen.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Reprocessing erzeugt neuen Lauf und erhält den alten Verlauf.</w:t>
            </w:r>
          </w:p>
        </w:tc>
      </w:tr>
    </w:tbl>
    <w:p>
      <w:pPr>
        <w:spacing w:after="40"/>
        <w:keepLines/>
      </w:pPr>
    </w:p>
    <w:p>
      <w:pPr>
        <w:pStyle w:val="RequirementTitle"/>
        <w:keepNext/>
        <w:keepNext/>
        <w:keepLines/>
      </w:pPr>
      <w:r>
        <w:rPr>
          <w:b/>
          <w:color w:val="224B5E"/>
        </w:rPr>
        <w:t>LF-SCI-004  [MUSS]</w:t>
      </w:r>
      <w:r>
        <w:t xml:space="preserve"> - Die Anwendung muss eine technische MIME-Baumansicht erzeugen.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Jeder Knoten zeigt Typ, Encoding, Größe und relevante Kennungen.</w:t>
            </w:r>
          </w:p>
        </w:tc>
      </w:tr>
    </w:tbl>
    <w:p>
      <w:pPr>
        <w:spacing w:after="40"/>
        <w:keepLines/>
      </w:pPr>
    </w:p>
    <w:p>
      <w:pPr>
        <w:pStyle w:val="RequirementTitle"/>
        <w:keepNext/>
        <w:keepNext/>
        <w:keepLines/>
      </w:pPr>
      <w:r>
        <w:rPr>
          <w:b/>
          <w:color w:val="224B5E"/>
        </w:rPr>
        <w:t>LF-SCI-005  [SOLL]</w:t>
      </w:r>
      <w:r>
        <w:t xml:space="preserve"> - Received-Header müssen als sortierte Transportzeitleiste dargestellt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Zeitpunkte, Relays und erkennbare Verzögerungen werden angezeigt.</w:t>
            </w:r>
          </w:p>
        </w:tc>
      </w:tr>
    </w:tbl>
    <w:p>
      <w:pPr>
        <w:spacing w:after="40"/>
        <w:keepLines/>
      </w:pPr>
    </w:p>
    <w:p>
      <w:pPr>
        <w:pStyle w:val="RequirementTitle"/>
        <w:keepNext/>
        <w:keepNext/>
        <w:keepLines/>
      </w:pPr>
      <w:r>
        <w:rPr>
          <w:b/>
          <w:color w:val="224B5E"/>
        </w:rPr>
        <w:t>LF-SCI-006  [SOLL]</w:t>
      </w:r>
      <w:r>
        <w:t xml:space="preserve"> - Ausgewählte Nachrichten müssen als definierter Datensatz gespeichert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DatasetDefinition speichert Auswahlkriterien, explizite MessageIds, Versionsnummer, Ersteller, Zeitpunkt und Datenstand. Exporte schreiben ein Manifest mit Inputhashes, Analyzer-Versionen und Pseudonymisierungsprofil.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Datensatz enthält Auswahlkriterien, Version, Anzahl, Zeitraum und Hashmanifest.</w:t>
            </w:r>
          </w:p>
        </w:tc>
      </w:tr>
    </w:tbl>
    <w:p>
      <w:pPr>
        <w:spacing w:after="40"/>
        <w:keepLines/>
      </w:pPr>
    </w:p>
    <w:p>
      <w:pPr>
        <w:pStyle w:val="RequirementTitle"/>
        <w:keepNext/>
        <w:keepNext/>
        <w:keepLines/>
      </w:pPr>
      <w:r>
        <w:rPr>
          <w:b/>
          <w:color w:val="224B5E"/>
        </w:rPr>
        <w:t>LF-SCI-007  [SOLL]</w:t>
      </w:r>
      <w:r>
        <w:t xml:space="preserve"> - Datensätze und Analyseergebnisse sollen als CSV, JSON, JSONL, SQLite und Markdown exportierbar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Export enthält Methodik, Schema- und Softwareversionen.</w:t>
            </w:r>
          </w:p>
        </w:tc>
      </w:tr>
    </w:tbl>
    <w:p>
      <w:pPr>
        <w:spacing w:after="40"/>
        <w:keepLines/>
      </w:pPr>
    </w:p>
    <w:p>
      <w:pPr>
        <w:pStyle w:val="RequirementTitle"/>
        <w:keepNext/>
        <w:keepNext/>
        <w:keepLines/>
      </w:pPr>
      <w:r>
        <w:rPr>
          <w:b/>
          <w:color w:val="224B5E"/>
        </w:rPr>
        <w:t>LF-SCI-008  [SOLL]</w:t>
      </w:r>
      <w:r>
        <w:t xml:space="preserve"> - Pseudonymisierungsprofile für Adressen, IPs, Betreff, Body und Anhänge sollen unterstützt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Vorschau zeigt resultierende Daten vor Export.</w:t>
            </w:r>
          </w:p>
        </w:tc>
      </w:tr>
    </w:tbl>
    <w:p>
      <w:pPr>
        <w:spacing w:after="40"/>
        <w:keepLines/>
      </w:pPr>
    </w:p>
    <w:p>
      <w:pPr>
        <w:pStyle w:val="RequirementTitle"/>
        <w:keepNext/>
        <w:keepNext/>
        <w:keepLines/>
      </w:pPr>
      <w:r>
        <w:rPr>
          <w:b/>
          <w:color w:val="224B5E"/>
        </w:rPr>
        <w:t>LF-SCI-009  [SOLL]</w:t>
      </w:r>
      <w:r>
        <w:t xml:space="preserve"> - Ein Untersuchungsbericht muss mindestens als Markdown oder HTML erzeugbar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Bericht nennt Datenbasis, Methoden, Ergebnisse, Warnungen und Einschränkungen.</w:t>
            </w:r>
          </w:p>
        </w:tc>
      </w:tr>
    </w:tbl>
    <w:p>
      <w:pPr>
        <w:spacing w:after="40"/>
        <w:keepLines/>
      </w:pPr>
    </w:p>
    <w:p>
      <w:pPr>
        <w:pStyle w:val="RequirementTitle"/>
        <w:keepNext/>
        <w:keepNext/>
        <w:keepLines/>
      </w:pPr>
      <w:r>
        <w:rPr>
          <w:b/>
          <w:color w:val="224B5E"/>
        </w:rPr>
        <w:t>LF-SCI-010  [MUSS]</w:t>
      </w:r>
      <w:r>
        <w:t xml:space="preserve"> - Das System muss zwischen Originaldaten, normalisierten Daten und Analyseergebnissen sichtbar unterscheiden.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Sasd.MailWorkbench.Analysis.Core.Scientific. Die fachlichen Daten werden über DatasetDefinition, AnalysisRun, ReportArtifact, PseudonymizationProfile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DatasetDefinition, AnalysisRun, ReportArtifact, PseudonymizationProfile. Zuständiger Hauptbaustein: Sasd.MailWorkbench.Analysis.Core.Scientific.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Analyzer-Version geändert; Rohmailhash nicht mehr passend; unvollständige Analyse; Export mit Pseudonymisierung.</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Fixture-basierter Test mit versionierten EML-Testmails. Fachlicher Nachweis: Keine abgeleitete Ansicht wird als Original bezeichnet.</w:t>
            </w:r>
          </w:p>
        </w:tc>
      </w:tr>
    </w:tbl>
    <w:p>
      <w:pPr>
        <w:spacing w:after="40"/>
        <w:keepLines/>
      </w:pPr>
    </w:p>
    <w:p>
      <w:pPr>
        <w:pStyle w:val="Heading2"/>
        <w:keepNext/>
        <w:keepLines/>
      </w:pPr>
      <w:r>
        <w:t>23.11 Erweiterbarkeit</w:t>
      </w:r>
    </w:p>
    <w:p>
      <w:pPr>
        <w:pStyle w:val="RequirementTitle"/>
        <w:keepNext/>
        <w:keepNext/>
        <w:keepLines/>
      </w:pPr>
      <w:r>
        <w:rPr>
          <w:b/>
          <w:color w:val="224B5E"/>
        </w:rPr>
        <w:t>LF-EXT-001  [MUSS]</w:t>
      </w:r>
      <w:r>
        <w:t xml:space="preserve"> - Kernprozessoren und Analyzer müssen über kleine, stabile Schnittstellen registriert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Kernmodule implementieren Verträge aus ExtensionModel und werden über Dependency Injection registriert. Der Host bestimmt Reihenfolge und Aktivierung; Application und Domain kennen keine konkreten Module. Primär betroffen sind Sasd.MailWorkbench.ExtensionModel. Die fachlichen Daten werden über ExtensionDescriptor, ExtensionResultEnvelope, ContractVersion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ExtensionDescriptor, ExtensionResultEnvelope, ContractVersion. Zuständiger Hauptbaustein: Sasd.MailWorkbench.ExtensionModel.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nicht kompatible Contract-Version; Extension liefert ungültiges Ergebnis; Reihenfolgeabhängigkeit.</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Architekturtest der Referenzrichtung. Fachlicher Nachweis: Neue interne Implementierung kann ohne Änderung des Abruf-Use-Cases ergänzt werden.</w:t>
            </w:r>
          </w:p>
        </w:tc>
      </w:tr>
    </w:tbl>
    <w:p>
      <w:pPr>
        <w:spacing w:after="40"/>
        <w:keepLines/>
      </w:pPr>
    </w:p>
    <w:p>
      <w:pPr>
        <w:pStyle w:val="RequirementTitle"/>
        <w:keepNext/>
        <w:keepNext/>
        <w:keepLines/>
      </w:pPr>
      <w:r>
        <w:rPr>
          <w:b/>
          <w:color w:val="224B5E"/>
        </w:rPr>
        <w:t>LF-EXT-002  [MUSS]</w:t>
      </w:r>
      <w:r>
        <w:t xml:space="preserve"> - Erweiterungen müssen stabile IDs, Versionen und versionierte Ergebnisformate besitzen.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Sasd.MailWorkbench.ExtensionModel. Die fachlichen Daten werden über ExtensionDescriptor, ExtensionResultEnvelope, ContractVersion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ExtensionDescriptor, ExtensionResultEnvelope, ContractVersion. Zuständiger Hauptbaustein: Sasd.MailWorkbench.ExtensionModel.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nicht kompatible Contract-Version; Extension liefert ungültiges Ergebnis; Reihenfolgeabhängigkeit.</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Architekturtest der Referenzrichtung. Fachlicher Nachweis: Ergebnis bleibt lesbar, wenn konkrete Implementierung nicht aktiv ist.</w:t>
            </w:r>
          </w:p>
        </w:tc>
      </w:tr>
    </w:tbl>
    <w:p>
      <w:pPr>
        <w:spacing w:after="40"/>
        <w:keepLines/>
      </w:pPr>
    </w:p>
    <w:p>
      <w:pPr>
        <w:pStyle w:val="RequirementTitle"/>
        <w:keepNext/>
        <w:keepNext/>
        <w:keepLines/>
      </w:pPr>
      <w:r>
        <w:rPr>
          <w:b/>
          <w:color w:val="224B5E"/>
        </w:rPr>
        <w:t>LF-EXT-003  [MUSS]</w:t>
      </w:r>
      <w:r>
        <w:t xml:space="preserve"> - SQLite darf keine konkreten CLR-Typnamen als fachliche Kopplung speichern.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Persistiert werden extension_id, extension_version, result_schema_version und result_json. AssemblyQualifiedName, Namespace oder konkrete Klassennamen sind nicht Teil des fachlichen Schemas. Primär betroffen sind Sasd.MailWorkbench.ExtensionModel. Die fachlichen Daten werden über ExtensionDescriptor, ExtensionResultEnvelope, ContractVersion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ExtensionDescriptor, ExtensionResultEnvelope, ContractVersion. Zuständiger Hauptbaustein: Sasd.MailWorkbench.ExtensionModel.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nicht kompatible Contract-Version; Extension liefert ungültiges Ergebnis; Reihenfolgeabhängigkeit.</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Architekturtest der Referenzrichtung. Fachlicher Nachweis: Gespeichert werden ID, Version, Schema-Version, Status und serialisierbares Ergebnis.</w:t>
            </w:r>
          </w:p>
        </w:tc>
      </w:tr>
    </w:tbl>
    <w:p>
      <w:pPr>
        <w:spacing w:after="40"/>
        <w:keepLines/>
      </w:pPr>
    </w:p>
    <w:p>
      <w:pPr>
        <w:pStyle w:val="RequirementTitle"/>
        <w:keepNext/>
        <w:keepNext/>
        <w:keepLines/>
      </w:pPr>
      <w:r>
        <w:rPr>
          <w:b/>
          <w:color w:val="224B5E"/>
        </w:rPr>
        <w:t>LF-EXT-004  [MUSS]</w:t>
      </w:r>
      <w:r>
        <w:t xml:space="preserve"> - Version 1 muss kein dynamisches Laden fremder DLLs unterstützen.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Sasd.MailWorkbench.ExtensionModel. Die fachlichen Daten werden über ExtensionDescriptor, ExtensionResultEnvelope, ContractVersion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ExtensionDescriptor, ExtensionResultEnvelope, ContractVersion. Zuständiger Hauptbaustein: Sasd.MailWorkbench.ExtensionModel.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nicht kompatible Contract-Version; Extension liefert ungültiges Ergebnis; Reihenfolgeabhängigkeit.</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Architekturtest der Referenzrichtung. Fachlicher Nachweis: Es existiert keine unkontrollierte Plugin-Ausführung im Hauptprozess.</w:t>
            </w:r>
          </w:p>
        </w:tc>
      </w:tr>
    </w:tbl>
    <w:p>
      <w:pPr>
        <w:spacing w:after="40"/>
        <w:keepLines/>
      </w:pPr>
    </w:p>
    <w:p>
      <w:pPr>
        <w:pStyle w:val="RequirementTitle"/>
        <w:keepNext/>
        <w:keepNext/>
        <w:keepLines/>
      </w:pPr>
      <w:r>
        <w:rPr>
          <w:b/>
          <w:color w:val="224B5E"/>
        </w:rPr>
        <w:t>LF-EXT-005  [MUSS]</w:t>
      </w:r>
      <w:r>
        <w:t xml:space="preserve"> - Die Architektur muss spätere Erweiterungstypen für Analyzer, Prozessoren, Exporter und Berichtsmodule vorbereiten.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Sasd.MailWorkbench.ExtensionModel. Die fachlichen Daten werden über ExtensionDescriptor, ExtensionResultEnvelope, ContractVersion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ExtensionDescriptor, ExtensionResultEnvelope, ContractVersion. Zuständiger Hauptbaustein: Sasd.MailWorkbench.ExtensionModel.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nicht kompatible Contract-Version; Extension liefert ungültiges Ergebnis; Reihenfolgeabhängigkeit.</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Architekturtest der Referenzrichtung. Fachlicher Nachweis: ExtensionModel-Projekt bleibt frei von GUI-, MailKit- und SQLite-Abhängigkeiten.</w:t>
            </w:r>
          </w:p>
        </w:tc>
      </w:tr>
    </w:tbl>
    <w:p>
      <w:pPr>
        <w:spacing w:after="40"/>
        <w:keepLines/>
      </w:pPr>
    </w:p>
    <w:p>
      <w:pPr>
        <w:pStyle w:val="RequirementTitle"/>
        <w:keepNext/>
        <w:keepNext/>
        <w:keepLines/>
      </w:pPr>
      <w:r>
        <w:rPr>
          <w:b/>
          <w:color w:val="224B5E"/>
        </w:rPr>
        <w:t>LF-EXT-006  [MUSS]</w:t>
      </w:r>
      <w:r>
        <w:t xml:space="preserve"> - UI-Erweiterungen dürfen in V1 nicht Teil eines offenen Plugin-Vertrags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Sasd.MailWorkbench.ExtensionModel. Die fachlichen Daten werden über ExtensionDescriptor, ExtensionResultEnvelope, ContractVersion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ExtensionDescriptor, ExtensionResultEnvelope, ContractVersion. Zuständiger Hauptbaustein: Sasd.MailWorkbench.ExtensionModel.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nicht kompatible Contract-Version; Extension liefert ungültiges Ergebnis; Reihenfolgeabhängigkeit.</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Architekturtest der Referenzrichtung. Fachlicher Nachweis: UI bleibt kontrolliert; spätere Panels werden separat geplant.</w:t>
            </w:r>
          </w:p>
        </w:tc>
      </w:tr>
    </w:tbl>
    <w:p>
      <w:pPr>
        <w:spacing w:after="40"/>
        <w:keepLines/>
      </w:pPr>
    </w:p>
    <w:p>
      <w:pPr>
        <w:pStyle w:val="Heading2"/>
        <w:keepNext/>
        <w:keepLines/>
      </w:pPr>
      <w:r>
        <w:t>23.12 WinForms und Presentation Core</w:t>
      </w:r>
    </w:p>
    <w:p>
      <w:pPr>
        <w:pStyle w:val="RequirementTitle"/>
        <w:keepNext/>
        <w:keepNext/>
        <w:keepLines/>
      </w:pPr>
      <w:r>
        <w:rPr>
          <w:b/>
          <w:color w:val="224B5E"/>
        </w:rPr>
        <w:t>LF-UI-001  [MUSS]</w:t>
      </w:r>
      <w:r>
        <w:t xml:space="preserve"> - Version 1 muss eine Windows-Forms-Oberfläche besitzen.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Das ausführbare UI-Projekt targetet net10.0-windows und enthält nur Forms, UserControls, Ressourcen und UI-spezifische Services. Alle Use Cases und ViewModels werden per Konstruktor injiziert.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Anwendung lässt sich unter unterstütztem Windows als Desktopprogramm bedienen.</w:t>
            </w:r>
          </w:p>
        </w:tc>
      </w:tr>
    </w:tbl>
    <w:p>
      <w:pPr>
        <w:spacing w:after="40"/>
        <w:keepLines/>
      </w:pPr>
    </w:p>
    <w:p>
      <w:pPr>
        <w:pStyle w:val="RequirementTitle"/>
        <w:keepNext/>
        <w:keepNext/>
        <w:keepLines/>
      </w:pPr>
      <w:r>
        <w:rPr>
          <w:b/>
          <w:color w:val="224B5E"/>
        </w:rPr>
        <w:t>LF-UI-002  [MUSS]</w:t>
      </w:r>
      <w:r>
        <w:t xml:space="preserve"> - Das WinForms-Projekt darf keine MailKit-, SQLite- oder fachliche Verarbeitung enthalten.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Das ausführbare UI-Projekt targetet net10.0-windows und enthält nur Forms, UserControls, Ressourcen und UI-spezifische Services. Alle Use Cases und ViewModels werden per Konstruktor injiziert.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Architekturtests erkennen verbotene Referenzen.</w:t>
            </w:r>
          </w:p>
        </w:tc>
      </w:tr>
    </w:tbl>
    <w:p>
      <w:pPr>
        <w:spacing w:after="40"/>
        <w:keepLines/>
      </w:pPr>
    </w:p>
    <w:p>
      <w:pPr>
        <w:pStyle w:val="RequirementTitle"/>
        <w:keepNext/>
        <w:keepNext/>
        <w:keepLines/>
      </w:pPr>
      <w:r>
        <w:rPr>
          <w:b/>
          <w:color w:val="224B5E"/>
        </w:rPr>
        <w:t>LF-UI-003  [MUSS]</w:t>
      </w:r>
      <w:r>
        <w:t xml:space="preserve"> - UI-unabhängige Zustände, ViewModels beziehungsweise Presenter müssen in einem separaten Presentation-Core-Projekt liegen.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Kernpräsentationslogik lässt sich ohne WinForms instanziieren und testen.</w:t>
            </w:r>
          </w:p>
        </w:tc>
      </w:tr>
    </w:tbl>
    <w:p>
      <w:pPr>
        <w:spacing w:after="40"/>
        <w:keepLines/>
      </w:pPr>
    </w:p>
    <w:p>
      <w:pPr>
        <w:pStyle w:val="RequirementTitle"/>
        <w:keepNext/>
        <w:keepNext/>
        <w:keepLines/>
      </w:pPr>
      <w:r>
        <w:rPr>
          <w:b/>
          <w:color w:val="224B5E"/>
        </w:rPr>
        <w:t>LF-UI-004  [MUSS]</w:t>
      </w:r>
      <w:r>
        <w:t xml:space="preserve"> - Die Standardansicht muss Konto-/Ordnernavigation, Nachrichtenliste und Lesebereich anbieten.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Drei Bereiche sind einzeln skalierbar und ihre Größe wird gespeichert.</w:t>
            </w:r>
          </w:p>
        </w:tc>
      </w:tr>
    </w:tbl>
    <w:p>
      <w:pPr>
        <w:spacing w:after="40"/>
        <w:keepLines/>
      </w:pPr>
    </w:p>
    <w:p>
      <w:pPr>
        <w:pStyle w:val="RequirementTitle"/>
        <w:keepNext/>
        <w:keepNext/>
        <w:keepLines/>
      </w:pPr>
      <w:r>
        <w:rPr>
          <w:b/>
          <w:color w:val="224B5E"/>
        </w:rPr>
        <w:t>LF-UI-005  [SOLL]</w:t>
      </w:r>
      <w:r>
        <w:t xml:space="preserve"> - Profilbild, aktives Konto und Verbindungsstatus sollen kompakt im Kopfbereich sichtbar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Anzeige benötigt keinen zusätzlichen Dialog.</w:t>
            </w:r>
          </w:p>
        </w:tc>
      </w:tr>
    </w:tbl>
    <w:p>
      <w:pPr>
        <w:spacing w:after="40"/>
        <w:keepLines/>
      </w:pPr>
    </w:p>
    <w:p>
      <w:pPr>
        <w:pStyle w:val="RequirementTitle"/>
        <w:keepNext/>
        <w:keepNext/>
        <w:keepLines/>
      </w:pPr>
      <w:r>
        <w:rPr>
          <w:b/>
          <w:color w:val="224B5E"/>
        </w:rPr>
        <w:t>LF-UI-006  [MUSS]</w:t>
      </w:r>
      <w:r>
        <w:t xml:space="preserve"> - Die Oberfläche muss Normal-, Analyse- und Diagnose-Workspace unterscheiden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Workspace-Wechsel ändert sichtbare Werkzeuge, nicht den fachlichen Datenbestand.</w:t>
            </w:r>
          </w:p>
        </w:tc>
      </w:tr>
    </w:tbl>
    <w:p>
      <w:pPr>
        <w:spacing w:after="40"/>
        <w:keepLines/>
      </w:pPr>
    </w:p>
    <w:p>
      <w:pPr>
        <w:pStyle w:val="RequirementTitle"/>
        <w:keepNext/>
        <w:keepNext/>
        <w:keepLines/>
      </w:pPr>
      <w:r>
        <w:rPr>
          <w:b/>
          <w:color w:val="224B5E"/>
        </w:rPr>
        <w:t>LF-UI-007  [SOLL]</w:t>
      </w:r>
      <w:r>
        <w:t xml:space="preserve"> - Layout, Theme und Informationsdichte müssen getrennt konfigurierbar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Mindestens Standard, dunkel und kompakt sind möglich, ohne Geschäftslogik zu ändern.</w:t>
            </w:r>
          </w:p>
        </w:tc>
      </w:tr>
    </w:tbl>
    <w:p>
      <w:pPr>
        <w:spacing w:after="40"/>
        <w:keepLines/>
      </w:pPr>
    </w:p>
    <w:p>
      <w:pPr>
        <w:pStyle w:val="RequirementTitle"/>
        <w:keepNext/>
        <w:keepNext/>
        <w:keepLines/>
      </w:pPr>
      <w:r>
        <w:rPr>
          <w:b/>
          <w:color w:val="224B5E"/>
        </w:rPr>
        <w:t>LF-UI-008  [MUSS]</w:t>
      </w:r>
      <w:r>
        <w:t xml:space="preserve"> - Designer-Dateien dürfen keine handgeschriebene Geschäftslogik enthalten.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*.Designer.cs wird ausschließlich durch den Visual-Studio-Designer erzeugt. Eigene Event- und Bindinglogik liegt in MainForm.cs beziehungsweise klar benannten Partial-Dateien; Architekturtests scannen Referenzen und Quelltextmuster.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Code Review und Architekturtest bestätigen die Trennung.</w:t>
            </w:r>
          </w:p>
        </w:tc>
      </w:tr>
    </w:tbl>
    <w:p>
      <w:pPr>
        <w:spacing w:after="40"/>
        <w:keepLines/>
      </w:pPr>
    </w:p>
    <w:p>
      <w:pPr>
        <w:pStyle w:val="RequirementTitle"/>
        <w:keepNext/>
        <w:keepNext/>
        <w:keepLines/>
      </w:pPr>
      <w:r>
        <w:rPr>
          <w:b/>
          <w:color w:val="224B5E"/>
        </w:rPr>
        <w:t>LF-UI-009  [MUSS]</w:t>
      </w:r>
      <w:r>
        <w:t xml:space="preserve"> - Eventhandler müssen kurz bleiben und ausschließlich UI-unabhängige Dienste oder ViewModels aufrufen.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POP3-, Hash- oder SQL-Code ist in Forms nicht vorhanden.</w:t>
            </w:r>
          </w:p>
        </w:tc>
      </w:tr>
    </w:tbl>
    <w:p>
      <w:pPr>
        <w:spacing w:after="40"/>
        <w:keepLines/>
      </w:pPr>
    </w:p>
    <w:p>
      <w:pPr>
        <w:pStyle w:val="RequirementTitle"/>
        <w:keepNext/>
        <w:keepNext/>
        <w:keepLines/>
      </w:pPr>
      <w:r>
        <w:rPr>
          <w:b/>
          <w:color w:val="224B5E"/>
        </w:rPr>
        <w:t>LF-UI-010  [MUSS]</w:t>
      </w:r>
      <w:r>
        <w:t xml:space="preserve"> - Die Oberfläche muss Tastaturbedienung, sichtbaren Fokus, skalierbare Schrift und High-DPI unterstützen.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Tab-Reihenfolge, AccessibleName/Description, Shortcuts, AutoScaleMode.Dpi und LayoutPanels werden verbindlich geprüft. UI-Tests erfolgen mindestens bei 100 % und 150 % Skalierung.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Kernabläufe sind ohne Maus möglich; 150 % Skalierung bleibt nutzbar.</w:t>
            </w:r>
          </w:p>
        </w:tc>
      </w:tr>
    </w:tbl>
    <w:p>
      <w:pPr>
        <w:spacing w:after="40"/>
        <w:keepLines/>
      </w:pPr>
    </w:p>
    <w:p>
      <w:pPr>
        <w:pStyle w:val="RequirementTitle"/>
        <w:keepNext/>
        <w:keepNext/>
        <w:keepLines/>
      </w:pPr>
      <w:r>
        <w:rPr>
          <w:b/>
          <w:color w:val="224B5E"/>
        </w:rPr>
        <w:t>LF-UI-011  [MUSS]</w:t>
      </w:r>
      <w:r>
        <w:t xml:space="preserve"> - Status und Warnungen dürfen nicht ausschließlich durch Farbe vermittelt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Text, Symbol oder Form ergänzt jede Farbcodierung.</w:t>
            </w:r>
          </w:p>
        </w:tc>
      </w:tr>
    </w:tbl>
    <w:p>
      <w:pPr>
        <w:spacing w:after="40"/>
        <w:keepLines/>
      </w:pPr>
    </w:p>
    <w:p>
      <w:pPr>
        <w:pStyle w:val="RequirementTitle"/>
        <w:keepNext/>
        <w:keepNext/>
        <w:keepLines/>
      </w:pPr>
      <w:r>
        <w:rPr>
          <w:b/>
          <w:color w:val="224B5E"/>
        </w:rPr>
        <w:t>LF-UI-012  [SOLL]</w:t>
      </w:r>
      <w:r>
        <w:t xml:space="preserve"> - Frühere visuelle Studien müssen später als Themes oder Layoutvorlagen umsetzbar bleiben, ohne den Kern zu verändern.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Sasd.MailWorkbench.Presentation.Core / Presentation.WinForms. Die fachlichen Daten werden über WorkspaceState, ViewModelState, UiPreference, LayoutProfile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WorkspaceState, ViewModelState, UiPreference, LayoutProfile. Zuständiger Hauptbaustein: Sasd.MailWorkbench.Presentation.Core / Presentation.WinForms.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150 % DPI; Tastaturnavigation; abgebrochener asynchroner Vorgang; Form wird während Job geschlossen.</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Unit-Test der Validierung und ViewModel-Logik; Architekturtest der Referenzrichtung. Fachlicher Nachweis: Themewechsel benötigt keine Änderung in Domain, Application oder Mail Engine.</w:t>
            </w:r>
          </w:p>
        </w:tc>
      </w:tr>
    </w:tbl>
    <w:p>
      <w:pPr>
        <w:spacing w:after="40"/>
        <w:keepLines/>
      </w:pPr>
    </w:p>
    <w:p>
      <w:pPr>
        <w:pStyle w:val="Heading2"/>
        <w:keepNext/>
        <w:keepLines/>
      </w:pPr>
      <w:r>
        <w:t>23.13 Betrieb, Sicherheit und Diagnose</w:t>
      </w:r>
    </w:p>
    <w:p>
      <w:pPr>
        <w:pStyle w:val="RequirementTitle"/>
        <w:keepNext/>
        <w:keepNext/>
        <w:keepLines/>
      </w:pPr>
      <w:r>
        <w:rPr>
          <w:b/>
          <w:color w:val="224B5E"/>
        </w:rPr>
        <w:t>LF-BET-001  [MUSS]</w:t>
      </w:r>
      <w:r>
        <w:t xml:space="preserve"> - Passwörter und Tokens müssen über einen Windows-geeigneten Secret Store geschützt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ISecretStore kapselt Windows Credential Manager oder DPAPI-geschützte Ablage. In SQLite steht nur eine SecretReference; Logs, Exceptions und Exporte maskieren Werte zentral über ISecretRedactor.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SQLite und Konfigurationsdateien enthalten keine Klartextpasswörter.</w:t>
            </w:r>
          </w:p>
        </w:tc>
      </w:tr>
    </w:tbl>
    <w:p>
      <w:pPr>
        <w:spacing w:after="40"/>
        <w:keepLines/>
      </w:pPr>
    </w:p>
    <w:p>
      <w:pPr>
        <w:pStyle w:val="RequirementTitle"/>
        <w:keepNext/>
        <w:keepNext/>
        <w:keepLines/>
      </w:pPr>
      <w:r>
        <w:rPr>
          <w:b/>
          <w:color w:val="224B5E"/>
        </w:rPr>
        <w:t>LF-BET-002  [MUSS]</w:t>
      </w:r>
      <w:r>
        <w:t xml:space="preserve"> - TLS-Zertifikate und Hostnamen müssen regulär geprüft werden; ungültige Zertifikate dürfen nicht still akzeptiert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Verbindung schlägt mit verständlicher Diagnose fehl.</w:t>
            </w:r>
          </w:p>
        </w:tc>
      </w:tr>
    </w:tbl>
    <w:p>
      <w:pPr>
        <w:spacing w:after="40"/>
        <w:keepLines/>
      </w:pPr>
    </w:p>
    <w:p>
      <w:pPr>
        <w:pStyle w:val="RequirementTitle"/>
        <w:keepNext/>
        <w:keepNext/>
        <w:keepLines/>
      </w:pPr>
      <w:r>
        <w:rPr>
          <w:b/>
          <w:color w:val="224B5E"/>
        </w:rPr>
        <w:t>LF-BET-003  [MUSS]</w:t>
      </w:r>
      <w:r>
        <w:t xml:space="preserve"> - Logs dürfen keine Passwörter, Tokens oder vollständige Mailbodys enthalten.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Automatisierter Logtest findet keine Testgeheimnisse oder Body-Testmarker.</w:t>
            </w:r>
          </w:p>
        </w:tc>
      </w:tr>
    </w:tbl>
    <w:p>
      <w:pPr>
        <w:spacing w:after="40"/>
        <w:keepLines/>
      </w:pPr>
    </w:p>
    <w:p>
      <w:pPr>
        <w:pStyle w:val="RequirementTitle"/>
        <w:keepNext/>
        <w:keepNext/>
        <w:keepLines/>
      </w:pPr>
      <w:r>
        <w:rPr>
          <w:b/>
          <w:color w:val="224B5E"/>
        </w:rPr>
        <w:t>LF-BET-004  [MUSS]</w:t>
      </w:r>
      <w:r>
        <w:t xml:space="preserve"> - Technische Logs müssen strukturierte Korrelation über Konto-, Nachrichten-, Abruf- und Analyse-IDs ermöglichen.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Ein Vorgang lässt sich über IDs vom Abruf bis zur Analyse verfolgen.</w:t>
            </w:r>
          </w:p>
        </w:tc>
      </w:tr>
    </w:tbl>
    <w:p>
      <w:pPr>
        <w:spacing w:after="40"/>
        <w:keepLines/>
      </w:pPr>
    </w:p>
    <w:p>
      <w:pPr>
        <w:pStyle w:val="RequirementTitle"/>
        <w:keepNext/>
        <w:keepNext/>
        <w:keepLines/>
      </w:pPr>
      <w:r>
        <w:rPr>
          <w:b/>
          <w:color w:val="224B5E"/>
        </w:rPr>
        <w:t>LF-BET-005  [SOLL]</w:t>
      </w:r>
      <w:r>
        <w:t xml:space="preserve"> - Ein anonymisiertes Diagnosepaket muss exportierbar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Vorschau zeigt enthaltene Dateien; Secrets und Mailinhalte sind standardmäßig ausgeschlossen.</w:t>
            </w:r>
          </w:p>
        </w:tc>
      </w:tr>
    </w:tbl>
    <w:p>
      <w:pPr>
        <w:spacing w:after="40"/>
        <w:keepLines/>
      </w:pPr>
    </w:p>
    <w:p>
      <w:pPr>
        <w:pStyle w:val="RequirementTitle"/>
        <w:keepNext/>
        <w:keepNext/>
        <w:keepLines/>
      </w:pPr>
      <w:r>
        <w:rPr>
          <w:b/>
          <w:color w:val="224B5E"/>
        </w:rPr>
        <w:t>LF-BET-006  [MUSS]</w:t>
      </w:r>
      <w:r>
        <w:t xml:space="preserve"> - Die Anwendung muss ihre SQLite-Datenbank und Rohmails konsistent sichern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BackupService erzeugt einen konsistenten SQLite-Snapshot, kopiert anschließend referenzierte Rohdateien und schreibt manifest.json mit Versionen, Dateilängen und SHA-256. Restore arbeitet nur in ein leeres oder explizit bestätigtes Profil.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Backup kann validiert und in leerem Profil wiederhergestellt werden.</w:t>
            </w:r>
          </w:p>
        </w:tc>
      </w:tr>
    </w:tbl>
    <w:p>
      <w:pPr>
        <w:spacing w:after="40"/>
        <w:keepLines/>
      </w:pPr>
    </w:p>
    <w:p>
      <w:pPr>
        <w:pStyle w:val="RequirementTitle"/>
        <w:keepNext/>
        <w:keepNext/>
        <w:keepLines/>
      </w:pPr>
      <w:r>
        <w:rPr>
          <w:b/>
          <w:color w:val="224B5E"/>
        </w:rPr>
        <w:t>LF-BET-007  [MUSS]</w:t>
      </w:r>
      <w:r>
        <w:t xml:space="preserve"> - Einzelne Nachrichten müssen als EML exportiert und importiert werden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Exportierte Mail ist bytegleich oder dokumentiert normalisiert; Import verhindert exakte Duplikate.</w:t>
            </w:r>
          </w:p>
        </w:tc>
      </w:tr>
    </w:tbl>
    <w:p>
      <w:pPr>
        <w:spacing w:after="40"/>
        <w:keepLines/>
      </w:pPr>
    </w:p>
    <w:p>
      <w:pPr>
        <w:pStyle w:val="RequirementTitle"/>
        <w:keepNext/>
        <w:keepNext/>
        <w:keepLines/>
      </w:pPr>
      <w:r>
        <w:rPr>
          <w:b/>
          <w:color w:val="224B5E"/>
        </w:rPr>
        <w:t>LF-BET-008  [SOLL]</w:t>
      </w:r>
      <w:r>
        <w:t xml:space="preserve"> - Kontoeinstellungen, Regeln, Markenprofile, Themes und Layouts müssen ohne Geheimnisse exportierbar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BrandTrustProfile enthält primäre Domains, erlaubte Subdomains, bekannte Versand-/Trackingdienstleister, Gültigkeitszeitraum, Herausgeber und Versionsnummer. Profile sind lokal editierbar und werden nie automatisch aus einer Mail erweitert.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Import in neues Profil rekonstruiert die Einstellungen.</w:t>
            </w:r>
          </w:p>
        </w:tc>
      </w:tr>
    </w:tbl>
    <w:p>
      <w:pPr>
        <w:spacing w:after="40"/>
        <w:keepLines/>
      </w:pPr>
    </w:p>
    <w:p>
      <w:pPr>
        <w:pStyle w:val="RequirementTitle"/>
        <w:keepNext/>
        <w:keepNext/>
        <w:keepLines/>
      </w:pPr>
      <w:r>
        <w:rPr>
          <w:b/>
          <w:color w:val="224B5E"/>
        </w:rPr>
        <w:t>LF-BET-009  [MUSS]</w:t>
      </w:r>
      <w:r>
        <w:t xml:space="preserve"> - Die Anwendung muss eine Datenbankintegritätsprüfung und eine Wiederherstellungsdiagnose anbieten.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MaintenanceUseCase führt PRAGMA quick_check/integrity_check, Fremdschlüsselprüfung, Rohdatei-Abgleich und Hash-Stichprobe aus. Reparaturen sind getrennte, bestätigungspflichtige Schritte und setzen ein Backup voraus.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Fehler werden verständlich gemeldet; keine automatische destruktive Reparatur ohne Backup.</w:t>
            </w:r>
          </w:p>
        </w:tc>
      </w:tr>
    </w:tbl>
    <w:p>
      <w:pPr>
        <w:spacing w:after="40"/>
        <w:keepLines/>
      </w:pPr>
    </w:p>
    <w:p>
      <w:pPr>
        <w:pStyle w:val="RequirementTitle"/>
        <w:keepNext/>
        <w:keepNext/>
        <w:keepLines/>
      </w:pPr>
      <w:r>
        <w:rPr>
          <w:b/>
          <w:color w:val="224B5E"/>
        </w:rPr>
        <w:t>LF-BET-010  [MUSS]</w:t>
      </w:r>
      <w:r>
        <w:t xml:space="preserve"> - Alle sicherheitsrelevanten Standardwerte müssen datenschutzfreundlich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Remote-Inhalte, Online-Reputation und Telemetrie sind standardmäßig aus.</w:t>
            </w:r>
          </w:p>
        </w:tc>
      </w:tr>
    </w:tbl>
    <w:p>
      <w:pPr>
        <w:spacing w:after="40"/>
        <w:keepLines/>
      </w:pPr>
    </w:p>
    <w:p>
      <w:pPr>
        <w:pStyle w:val="RequirementTitle"/>
        <w:keepNext/>
        <w:keepNext/>
        <w:keepLines/>
      </w:pPr>
      <w:r>
        <w:rPr>
          <w:b/>
          <w:color w:val="224B5E"/>
        </w:rPr>
        <w:t>LF-BET-011  [MUSS]</w:t>
      </w:r>
      <w:r>
        <w:t xml:space="preserve"> - Telemetrie darf in Version 1 nicht vorausgesetzt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Anwendung funktioniert vollständig ohne Herstellerkonto oder Cloud-Telemetrie.</w:t>
            </w:r>
          </w:p>
        </w:tc>
      </w:tr>
    </w:tbl>
    <w:p>
      <w:pPr>
        <w:spacing w:after="40"/>
        <w:keepLines/>
      </w:pPr>
    </w:p>
    <w:p>
      <w:pPr>
        <w:pStyle w:val="RequirementTitle"/>
        <w:keepNext/>
        <w:keepNext/>
        <w:keepLines/>
      </w:pPr>
      <w:r>
        <w:rPr>
          <w:b/>
          <w:color w:val="224B5E"/>
        </w:rPr>
        <w:t>LF-BET-012  [SOLL]</w:t>
      </w:r>
      <w:r>
        <w:t xml:space="preserve"> - Die Anwendung muss ein nachvollziehbares Änderungs- und Migrationsprotokoll führen.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2268"/>
            <w:shd w:fill="E7EEF1"/>
            <w:tcMar>
              <w:top w:w="60" w:type="dxa"/>
              <w:left w:w="80" w:type="dxa"/>
              <w:bottom w:w="60" w:type="dxa"/>
              <w:right w:w="80" w:type="dxa"/>
            </w:tcMar>
          </w:tcPr>
          <w:p>
            <w:r>
              <w:rPr>
                <w:b/>
                <w:color w:val="224B5E"/>
                <w:sz w:val="16"/>
              </w:rPr>
              <w:t>Technische Realisierung</w:t>
            </w:r>
          </w:p>
        </w:tc>
        <w:tc>
          <w:tcPr>
            <w:tcW w:type="dxa" w:w="6973"/>
            <w:tcMar>
              <w:top w:w="60" w:type="dxa"/>
              <w:left w:w="80" w:type="dxa"/>
              <w:bottom w:w="60" w:type="dxa"/>
              <w:right w:w="80" w:type="dxa"/>
            </w:tcMar>
          </w:tcPr>
          <w:p>
            <w:r>
              <w:rPr>
                <w:sz w:val="16"/>
              </w:rPr>
              <w:t>Die Anforderung wird im zuständigen Use Case umgesetzt. Der Ablauf wird über eigene Verträge modelliert, persistente Zustände werden transaktional gespeichert und die Oberfläche erhält ausschließlich DTOs beziehungsweise ViewModels. Primär betroffen sind Sasd.MailWorkbench.Security / Infrastructure / Host.WinForms. Die fachlichen Daten werden über BackupManifest, DiagnosticPackage, AuditEvent, SchemaMigration abgebildet.</w:t>
            </w:r>
          </w:p>
        </w:tc>
      </w:tr>
      <w:tr>
        <w:trPr>
          <w:cantSplit/>
        </w:trPr>
        <w:tc>
          <w:tcPr>
            <w:tcW w:type="dxa" w:w="2268"/>
            <w:shd w:fill="E7EEF1"/>
            <w:tcMar>
              <w:top w:w="60" w:type="dxa"/>
              <w:left w:w="80" w:type="dxa"/>
              <w:bottom w:w="60" w:type="dxa"/>
              <w:right w:w="80" w:type="dxa"/>
            </w:tcMar>
          </w:tcPr>
          <w:p>
            <w:r>
              <w:rPr>
                <w:b/>
                <w:color w:val="224B5E"/>
                <w:sz w:val="16"/>
              </w:rPr>
              <w:t>Daten / Schnittstellen</w:t>
            </w:r>
          </w:p>
        </w:tc>
        <w:tc>
          <w:tcPr>
            <w:tcW w:type="dxa" w:w="6973"/>
            <w:tcMar>
              <w:top w:w="60" w:type="dxa"/>
              <w:left w:w="80" w:type="dxa"/>
              <w:bottom w:w="60" w:type="dxa"/>
              <w:right w:w="80" w:type="dxa"/>
            </w:tcMar>
          </w:tcPr>
          <w:p>
            <w:r>
              <w:rPr>
                <w:sz w:val="16"/>
              </w:rPr>
              <w:t>Betroffene fachliche Daten: BackupManifest, DiagnosticPackage, AuditEvent, SchemaMigration. Zuständiger Hauptbaustein: Sasd.MailWorkbench.Security / Infrastructure / Host.WinForms. Öffentliche Übergaben erfolgen über versionierte Requests, Responses und DTOs.</w:t>
            </w:r>
          </w:p>
        </w:tc>
      </w:tr>
      <w:tr>
        <w:trPr>
          <w:cantSplit/>
        </w:trPr>
        <w:tc>
          <w:tcPr>
            <w:tcW w:type="dxa" w:w="2268"/>
            <w:shd w:fill="E7EEF1"/>
            <w:tcMar>
              <w:top w:w="60" w:type="dxa"/>
              <w:left w:w="80" w:type="dxa"/>
              <w:bottom w:w="60" w:type="dxa"/>
              <w:right w:w="80" w:type="dxa"/>
            </w:tcMar>
          </w:tcPr>
          <w:p>
            <w:r>
              <w:rPr>
                <w:b/>
                <w:color w:val="224B5E"/>
                <w:sz w:val="16"/>
              </w:rPr>
              <w:t>Fehler- und Randfälle</w:t>
            </w:r>
          </w:p>
        </w:tc>
        <w:tc>
          <w:tcPr>
            <w:tcW w:type="dxa" w:w="6973"/>
            <w:tcMar>
              <w:top w:w="60" w:type="dxa"/>
              <w:left w:w="80" w:type="dxa"/>
              <w:bottom w:w="60" w:type="dxa"/>
              <w:right w:w="80" w:type="dxa"/>
            </w:tcMar>
          </w:tcPr>
          <w:p>
            <w:r>
              <w:rPr>
                <w:sz w:val="16"/>
              </w:rPr>
              <w:t>Backup während laufender Jobs; beschädigte Datenbank; fehlende Rohdatei; Secret nicht verfügbar.</w:t>
            </w:r>
          </w:p>
        </w:tc>
      </w:tr>
      <w:tr>
        <w:trPr>
          <w:cantSplit/>
        </w:trPr>
        <w:tc>
          <w:tcPr>
            <w:tcW w:type="dxa" w:w="2268"/>
            <w:shd w:fill="E7EEF1"/>
            <w:tcMar>
              <w:top w:w="60" w:type="dxa"/>
              <w:left w:w="80" w:type="dxa"/>
              <w:bottom w:w="60" w:type="dxa"/>
              <w:right w:w="80" w:type="dxa"/>
            </w:tcMar>
          </w:tcPr>
          <w:p>
            <w:r>
              <w:rPr>
                <w:b/>
                <w:color w:val="224B5E"/>
                <w:sz w:val="16"/>
              </w:rPr>
              <w:t>Verifikation</w:t>
            </w:r>
          </w:p>
        </w:tc>
        <w:tc>
          <w:tcPr>
            <w:tcW w:type="dxa" w:w="6973"/>
            <w:tcMar>
              <w:top w:w="60" w:type="dxa"/>
              <w:left w:w="80" w:type="dxa"/>
              <w:bottom w:w="60" w:type="dxa"/>
              <w:right w:w="80" w:type="dxa"/>
            </w:tcMar>
          </w:tcPr>
          <w:p>
            <w:r>
              <w:rPr>
                <w:sz w:val="16"/>
              </w:rPr>
              <w:t>SQLite-/Dateisystem-Integrationstest in isoliertem Testprofil. Fachlicher Nachweis: Version, Schemaänderung, Zeitpunkt und Ergebnis sind lokal dokumentiert.</w:t>
            </w:r>
          </w:p>
        </w:tc>
      </w:tr>
    </w:tbl>
    <w:p>
      <w:pPr>
        <w:spacing w:after="40"/>
        <w:keepLines/>
      </w:pPr>
    </w:p>
    <w:p>
      <w:pPr>
        <w:pStyle w:val="Heading2"/>
        <w:keepNext/>
        <w:keepLines/>
      </w:pPr>
      <w:r>
        <w:t>23.14 Nichtfunktionale Anforderungen</w:t>
      </w:r>
    </w:p>
    <w:p>
      <w:pPr>
        <w:pStyle w:val="RequirementTitle"/>
        <w:keepNext/>
        <w:keepLines/>
      </w:pPr>
      <w:r>
        <w:rPr>
          <w:b/>
          <w:color w:val="224B5E"/>
        </w:rPr>
        <w:t>NF-ZUV-001  [MUSS]</w:t>
      </w:r>
      <w:r>
        <w:t xml:space="preserve"> - Ein Absturz oder Verbindungsabbruch darf keine als vollständig markierte, aber unvollständige Nachricht erzeugen.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Application/Persistence/Mail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NF-ZUV-002  [MUSS]</w:t>
      </w:r>
      <w:r>
        <w:t xml:space="preserve"> - Wiederholte Abruf-, Import- und Uploadvorgänge müssen idempotent geplant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Application/Persistence/Mail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NF-ZUV-003  [MUSS]</w:t>
      </w:r>
      <w:r>
        <w:t xml:space="preserve"> - Ein Fehler bei einer Nachricht darf andere unabhängige Nachrichten nicht unnötig blockieren.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Application/Persistence/Mail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NF-PER-001  [MUSS]</w:t>
      </w:r>
      <w:r>
        <w:t xml:space="preserve"> - Die Anwendung soll einen lokalen Bestand von mindestens 100.000 Nachrichten verwalten können.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Persistence/Presentation.Core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NF-PER-002  [MUSS]</w:t>
      </w:r>
      <w:r>
        <w:t xml:space="preserve"> - Nachrichtenlisten und Suchergebnisse müssen ohne vollständiges Laden aller Bodies reagieren.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Persistence/Presentation.Core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NF-PER-003  [MUSS]</w:t>
      </w:r>
      <w:r>
        <w:t xml:space="preserve"> - Hashberechnung und Download müssen streambasiert erfolgen, sodass große Nachrichten nicht vollständig im RAM liegen müssen.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Persistence/Presentation.Core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NF-SEC-001  [MUSS]</w:t>
      </w:r>
      <w:r>
        <w:t xml:space="preserve"> - Alle Netzverbindungen müssen moderne TLS-Verfahren und reguläre Zertifikatsprüfung verwenden.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Security/Mail/Presentation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NF-SEC-002  [MUSS]</w:t>
      </w:r>
      <w:r>
        <w:t xml:space="preserve"> - HTML-Inhalte sind grundsätzlich als nicht vertrauenswürdig zu behandeln.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Security/Mail/Presentation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NF-SEC-003  [MUSS]</w:t>
      </w:r>
      <w:r>
        <w:t xml:space="preserve"> - Sicherheitswarnungen müssen erklärbar, protokollierbar und ohne versteckte Cloudabhängigkeit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Security/Mail/Presentation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NF-DSG-001  [MUSS]</w:t>
      </w:r>
      <w:r>
        <w:t xml:space="preserve"> - Mailinhalte und Analyseergebnisse bleiben standardmäßig lokal.</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Security/Export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NF-DSG-002  [SOLL]</w:t>
      </w:r>
      <w:r>
        <w:t xml:space="preserve"> - Export- und Diagnosefunktionen müssen eine Vorschau und Pseudonymisierung ermöglichen.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Security/Export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NF-BED-001  [MUSS]</w:t>
      </w:r>
      <w:r>
        <w:t xml:space="preserve"> - Kernabläufe müssen per Tastatur bedienbar und bei 150 % Skalierung nutzbar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Presentation.Core/WinForms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NF-BED-002  [MUSS]</w:t>
      </w:r>
      <w:r>
        <w:t xml:space="preserve"> - Fehlermeldungen müssen Handlungsoptionen nennen und dürfen nicht nur technische Ausnahmebezeichnungen zeigen.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Presentation.Core/WinForms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NF-WAR-001  [MUSS]</w:t>
      </w:r>
      <w:r>
        <w:t xml:space="preserve"> - Öffentliche Typen und Methoden müssen verständliche XML-Dokumentationskommentare erhalten.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Sasd.MailWorkbench.Analysis.Core. Die fachlichen Daten werden über AnalysisRun, WarningFinding, BrandTrustProfile, AnalyzerDefinition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gesamte Solution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legitimer externer Dienstleister; fehlender Authentication-Results-Header; IDN mit gemischten Schriftsystemen; Linkverkürzer; 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Fixture-basierter Test mit versionierten EML-Testmails; messbares Quality Gate in CI und dokumentierter manueller Nachweis</w:t>
            </w:r>
          </w:p>
        </w:tc>
      </w:tr>
    </w:tbl>
    <w:p>
      <w:pPr>
        <w:spacing w:after="40"/>
        <w:keepLines/>
      </w:pPr>
    </w:p>
    <w:p>
      <w:pPr>
        <w:pStyle w:val="RequirementTitle"/>
        <w:keepNext/>
        <w:keepLines/>
      </w:pPr>
      <w:r>
        <w:rPr>
          <w:b/>
          <w:color w:val="224B5E"/>
        </w:rPr>
        <w:t>NF-WAR-002  [MUSS]</w:t>
      </w:r>
      <w:r>
        <w:t xml:space="preserve"> - Komplexe Entscheidungen müssen das Warum im Code oder in ADRs dokumentieren.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Sasd.MailWorkbench.Analysis.Core. Die fachlichen Daten werden über AnalysisRun, WarningFinding, BrandTrustProfile, AnalyzerDefinition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gesamte Solution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legitimer externer Dienstleister; fehlender Authentication-Results-Header; IDN mit gemischten Schriftsystemen; Linkverkürzer; 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Fixture-basierter Test mit versionierten EML-Testmails; messbares Quality Gate in CI und dokumentierter manueller Nachweis</w:t>
            </w:r>
          </w:p>
        </w:tc>
      </w:tr>
    </w:tbl>
    <w:p>
      <w:pPr>
        <w:spacing w:after="40"/>
        <w:keepLines/>
      </w:pPr>
    </w:p>
    <w:p>
      <w:pPr>
        <w:pStyle w:val="RequirementTitle"/>
        <w:keepNext/>
        <w:keepLines/>
      </w:pPr>
      <w:r>
        <w:rPr>
          <w:b/>
          <w:color w:val="224B5E"/>
        </w:rPr>
        <w:t>NF-TST-001  [MUSS]</w:t>
      </w:r>
      <w:r>
        <w:t xml:space="preserve"> - Domain-, Application-, Persistence-, Mail-, Analysis- und Architekturregeln müssen automatisiert testbar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alle Testprojekte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NF-TST-002  [MUSS]</w:t>
      </w:r>
      <w:r>
        <w:t xml:space="preserve"> - Protokolltests gegen kontrollierte Testserver dürfen keine produktiven Postfächer voraussetzen.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Diese Qualitätsanforderung wird als automatisiertes Quality Gate, Architekturregel oder messbares Akzeptanzkriterium umgesetzt und ist Bestandteil der Definition of Done für jedes betroffene Arbeitspaket.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alle Testprojekte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NF-PORT-001  [MUSS]</w:t>
      </w:r>
      <w:r>
        <w:t xml:space="preserve"> - Domain, Application, Mail Engine, Persistence, Security, Extension Model und Presentation Core dürfen keine WinForms-Abhängigkeit besitzen.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Das ausführbare UI-Projekt targetet net10.0-windows und enthält nur Forms, UserControls, Ressourcen und UI-spezifische Services. Alle Use Cases und ViewModels werden per Konstruktor injiziert.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ArchitectureTests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NF-INT-001  [MUSS]</w:t>
      </w:r>
      <w:r>
        <w:t xml:space="preserve"> - Standardformate EML, MIME, POP3, SMTP, IMAP APPEND und SQLite müssen interoperabel genutzt werden.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SentMessageUploadService ermittelt den Zielordner, öffnet ihn schreibbar und verwendet MailKit AppendAsync mit der exakt versendeten MimeMessage und dem Flag Seen. APPENDUID wird, falls verfügbar, gespeichert.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Mail/Persistence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RequirementTitle"/>
        <w:keepNext/>
        <w:keepLines/>
      </w:pPr>
      <w:r>
        <w:rPr>
          <w:b/>
          <w:color w:val="224B5E"/>
        </w:rPr>
        <w:t>NF-DOC-001  [MUSS]</w:t>
      </w:r>
      <w:r>
        <w:t xml:space="preserve"> - Installation, Entwicklung, Betrieb, Backup, Wiederherstellung und Tests müssen dokumentiert sein.</w:t>
      </w:r>
    </w:p>
    <w:tbl>
      <w:tblPr>
        <w:tblStyle w:val="TableGrid"/>
        <w:tblW w:type="auto" w:w="0"/>
        <w:jc w:val="center"/>
        <w:tblLook w:firstColumn="1" w:firstRow="1" w:lastColumn="0" w:lastRow="0" w:noHBand="0" w:noVBand="1" w:val="04A0"/>
      </w:tblPr>
      <w:tblGrid>
        <w:gridCol w:w="5014"/>
        <w:gridCol w:w="5014"/>
      </w:tblGrid>
      <w:tr>
        <w:trPr>
          <w:cantSplit/>
          <w:tblHeader/>
        </w:trPr>
        <w:tc>
          <w:tcPr>
            <w:tcW w:type="dxa" w:w="5014"/>
            <w:shd w:fill="E7EEF1"/>
            <w:tcMar>
              <w:top w:w="60" w:type="dxa"/>
              <w:left w:w="80" w:type="dxa"/>
              <w:bottom w:w="60" w:type="dxa"/>
              <w:right w:w="80" w:type="dxa"/>
            </w:tcMar>
          </w:tcPr>
          <w:p>
            <w:r>
              <w:rPr>
                <w:b/>
                <w:color w:val="224B5E"/>
                <w:sz w:val="16"/>
              </w:rPr>
              <w:t>Umsetzung</w:t>
            </w:r>
          </w:p>
        </w:tc>
        <w:tc>
          <w:tcPr>
            <w:tcW w:type="dxa" w:w="5014"/>
            <w:tcMar>
              <w:top w:w="60" w:type="dxa"/>
              <w:left w:w="80" w:type="dxa"/>
              <w:bottom w:w="60" w:type="dxa"/>
              <w:right w:w="80" w:type="dxa"/>
            </w:tcMar>
          </w:tcPr>
          <w:p>
            <w:r>
              <w:rPr>
                <w:sz w:val="16"/>
              </w:rPr>
              <w:t>BackupService erzeugt einen konsistenten SQLite-Snapshot, kopiert anschließend referenzierte Rohdateien und schreibt manifest.json mit Versionen, Dateilängen und SHA-256. Restore arbeitet nur in ein leeres oder explizit bestätigtes Profil. Primär betroffen sind mehrere Kernprojekte. Die fachlichen Daten werden über versionierte Domain- und Persistenzmodelle abgebildet.</w:t>
            </w:r>
          </w:p>
        </w:tc>
      </w:tr>
      <w:tr>
        <w:trPr>
          <w:cantSplit/>
        </w:trPr>
        <w:tc>
          <w:tcPr>
            <w:tcW w:type="dxa" w:w="5014"/>
            <w:shd w:fill="E7EEF1"/>
            <w:tcMar>
              <w:top w:w="60" w:type="dxa"/>
              <w:left w:w="80" w:type="dxa"/>
              <w:bottom w:w="60" w:type="dxa"/>
              <w:right w:w="80" w:type="dxa"/>
            </w:tcMar>
          </w:tcPr>
          <w:p>
            <w:r>
              <w:rPr>
                <w:b/>
                <w:color w:val="224B5E"/>
                <w:sz w:val="16"/>
              </w:rPr>
              <w:t>Messgröße / Gate</w:t>
            </w:r>
          </w:p>
        </w:tc>
        <w:tc>
          <w:tcPr>
            <w:tcW w:type="dxa" w:w="5014"/>
            <w:tcMar>
              <w:top w:w="60" w:type="dxa"/>
              <w:left w:w="80" w:type="dxa"/>
              <w:bottom w:w="60" w:type="dxa"/>
              <w:right w:w="80" w:type="dxa"/>
            </w:tcMar>
          </w:tcPr>
          <w:p>
            <w:r>
              <w:rPr>
                <w:sz w:val="16"/>
              </w:rPr>
              <w:t>Die Anforderung wird dem Bereich docs und Releaseprozess zugeordnet. Sie gilt als nicht erfüllt, wenn kein automatisierter Nachweis oder keine freigegebene manuelle Prüfanweisung existiert.</w:t>
            </w:r>
          </w:p>
        </w:tc>
      </w:tr>
      <w:tr>
        <w:trPr>
          <w:cantSplit/>
        </w:trPr>
        <w:tc>
          <w:tcPr>
            <w:tcW w:type="dxa" w:w="5014"/>
            <w:shd w:fill="E7EEF1"/>
            <w:tcMar>
              <w:top w:w="60" w:type="dxa"/>
              <w:left w:w="80" w:type="dxa"/>
              <w:bottom w:w="60" w:type="dxa"/>
              <w:right w:w="80" w:type="dxa"/>
            </w:tcMar>
          </w:tcPr>
          <w:p>
            <w:r>
              <w:rPr>
                <w:b/>
                <w:color w:val="224B5E"/>
                <w:sz w:val="16"/>
              </w:rPr>
              <w:t>Randfälle</w:t>
            </w:r>
          </w:p>
        </w:tc>
        <w:tc>
          <w:tcPr>
            <w:tcW w:type="dxa" w:w="5014"/>
            <w:tcMar>
              <w:top w:w="60" w:type="dxa"/>
              <w:left w:w="80" w:type="dxa"/>
              <w:bottom w:w="60" w:type="dxa"/>
              <w:right w:w="80" w:type="dxa"/>
            </w:tcMar>
          </w:tcPr>
          <w:p>
            <w:r>
              <w:rPr>
                <w:sz w:val="16"/>
              </w:rPr>
              <w:t>Messbarkeit im CI; Regression durch Abhängigkeitsupdate.</w:t>
            </w:r>
          </w:p>
        </w:tc>
      </w:tr>
      <w:tr>
        <w:trPr>
          <w:cantSplit/>
        </w:trPr>
        <w:tc>
          <w:tcPr>
            <w:tcW w:type="dxa" w:w="5014"/>
            <w:shd w:fill="E7EEF1"/>
            <w:tcMar>
              <w:top w:w="60" w:type="dxa"/>
              <w:left w:w="80" w:type="dxa"/>
              <w:bottom w:w="60" w:type="dxa"/>
              <w:right w:w="80" w:type="dxa"/>
            </w:tcMar>
          </w:tcPr>
          <w:p>
            <w:r>
              <w:rPr>
                <w:b/>
                <w:color w:val="224B5E"/>
                <w:sz w:val="16"/>
              </w:rPr>
              <w:t>Nachweis</w:t>
            </w:r>
          </w:p>
        </w:tc>
        <w:tc>
          <w:tcPr>
            <w:tcW w:type="dxa" w:w="5014"/>
            <w:tcMar>
              <w:top w:w="60" w:type="dxa"/>
              <w:left w:w="80" w:type="dxa"/>
              <w:bottom w:w="60" w:type="dxa"/>
              <w:right w:w="80" w:type="dxa"/>
            </w:tcMar>
          </w:tcPr>
          <w:p>
            <w:r>
              <w:rPr>
                <w:sz w:val="16"/>
              </w:rPr>
              <w:t>messbares Quality Gate in CI und dokumentierter manueller Nachweis</w:t>
            </w:r>
          </w:p>
        </w:tc>
      </w:tr>
    </w:tbl>
    <w:p>
      <w:pPr>
        <w:spacing w:after="40"/>
        <w:keepLines/>
      </w:pPr>
    </w:p>
    <w:p>
      <w:pPr>
        <w:pStyle w:val="Heading1"/>
        <w:keepNext/>
        <w:keepLines/>
      </w:pPr>
      <w:r>
        <w:t>Anhang A - Datenbankschema</w:t>
      </w:r>
    </w:p>
    <w:p>
      <w:pPr>
        <w:pStyle w:val="BodyText"/>
        <w:keepLines/>
      </w:pPr>
      <w:r>
        <w:t>Die folgenden Tabellen bilden das fachliche Zielschema. Spaltennamen sind als technischer Entwurf verbindlich; Feinanpassungen benötigen eine Migration und Aktualisierung dieses Dokuments.</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381"/>
            <w:shd w:fill="244A5A"/>
            <w:vAlign w:val="center"/>
            <w:tcMar>
              <w:top w:w="60" w:type="dxa"/>
              <w:left w:w="80" w:type="dxa"/>
              <w:bottom w:w="60" w:type="dxa"/>
              <w:right w:w="80" w:type="dxa"/>
            </w:tcMar>
          </w:tcPr>
          <w:p>
            <w:pPr>
              <w:jc w:val="center"/>
            </w:pPr>
            <w:r>
              <w:rPr>
                <w:b/>
                <w:color w:val="FFFFFF"/>
                <w:sz w:val="14"/>
              </w:rPr>
              <w:t>Tabelle</w:t>
            </w:r>
          </w:p>
        </w:tc>
        <w:tc>
          <w:tcPr>
            <w:tcW w:type="dxa" w:w="6973"/>
            <w:shd w:fill="244A5A"/>
            <w:vAlign w:val="center"/>
            <w:tcMar>
              <w:top w:w="60" w:type="dxa"/>
              <w:left w:w="80" w:type="dxa"/>
              <w:bottom w:w="60" w:type="dxa"/>
              <w:right w:w="80" w:type="dxa"/>
            </w:tcMar>
          </w:tcPr>
          <w:p>
            <w:pPr>
              <w:jc w:val="center"/>
            </w:pPr>
            <w:r>
              <w:rPr>
                <w:b/>
                <w:color w:val="FFFFFF"/>
                <w:sz w:val="14"/>
              </w:rPr>
              <w:t>Zielspalten</w:t>
            </w:r>
          </w:p>
        </w:tc>
      </w:tr>
      <w:tr>
        <w:trPr>
          <w:cantSplit/>
        </w:trPr>
        <w:tc>
          <w:tcPr>
            <w:tcW w:type="dxa" w:w="2381"/>
            <w:vAlign w:val="top"/>
            <w:shd w:fill="F4F7F8"/>
            <w:tcMar>
              <w:top w:w="60" w:type="dxa"/>
              <w:left w:w="80" w:type="dxa"/>
              <w:bottom w:w="60" w:type="dxa"/>
              <w:right w:w="80" w:type="dxa"/>
            </w:tcMar>
          </w:tcPr>
          <w:p>
            <w:pPr>
              <w:spacing w:after="40"/>
            </w:pPr>
            <w:r>
              <w:rPr>
                <w:sz w:val="14"/>
              </w:rPr>
              <w:t>mail_accounts</w:t>
            </w:r>
          </w:p>
        </w:tc>
        <w:tc>
          <w:tcPr>
            <w:tcW w:type="dxa" w:w="6973"/>
            <w:vAlign w:val="top"/>
            <w:shd w:fill="F4F7F8"/>
            <w:tcMar>
              <w:top w:w="60" w:type="dxa"/>
              <w:left w:w="80" w:type="dxa"/>
              <w:bottom w:w="60" w:type="dxa"/>
              <w:right w:w="80" w:type="dxa"/>
            </w:tcMar>
          </w:tcPr>
          <w:p>
            <w:pPr>
              <w:spacing w:after="40"/>
            </w:pPr>
            <w:r>
              <w:rPr>
                <w:sz w:val="14"/>
              </w:rPr>
              <w:t>account_id TEXT PK; display_name; email_address; is_enabled; provider_key; pop_host/port/security; smtp_host/port/security; imap_host/port/security; secret_ref; created_at; updated_at</w:t>
            </w:r>
          </w:p>
        </w:tc>
      </w:tr>
      <w:tr>
        <w:trPr>
          <w:cantSplit/>
        </w:trPr>
        <w:tc>
          <w:tcPr>
            <w:tcW w:type="dxa" w:w="2381"/>
            <w:vAlign w:val="top"/>
            <w:tcMar>
              <w:top w:w="60" w:type="dxa"/>
              <w:left w:w="80" w:type="dxa"/>
              <w:bottom w:w="60" w:type="dxa"/>
              <w:right w:w="80" w:type="dxa"/>
            </w:tcMar>
          </w:tcPr>
          <w:p>
            <w:pPr>
              <w:spacing w:after="40"/>
            </w:pPr>
            <w:r>
              <w:rPr>
                <w:sz w:val="14"/>
              </w:rPr>
              <w:t>mail_identities</w:t>
            </w:r>
          </w:p>
        </w:tc>
        <w:tc>
          <w:tcPr>
            <w:tcW w:type="dxa" w:w="6973"/>
            <w:vAlign w:val="top"/>
            <w:tcMar>
              <w:top w:w="60" w:type="dxa"/>
              <w:left w:w="80" w:type="dxa"/>
              <w:bottom w:w="60" w:type="dxa"/>
              <w:right w:w="80" w:type="dxa"/>
            </w:tcMar>
          </w:tcPr>
          <w:p>
            <w:pPr>
              <w:spacing w:after="40"/>
            </w:pPr>
            <w:r>
              <w:rPr>
                <w:sz w:val="14"/>
              </w:rPr>
              <w:t>identity_id TEXT PK; account_id FK; display_name; email_address; reply_to; signature_text; signature_html; is_default</w:t>
            </w:r>
          </w:p>
        </w:tc>
      </w:tr>
      <w:tr>
        <w:trPr>
          <w:cantSplit/>
        </w:trPr>
        <w:tc>
          <w:tcPr>
            <w:tcW w:type="dxa" w:w="2381"/>
            <w:vAlign w:val="top"/>
            <w:shd w:fill="F4F7F8"/>
            <w:tcMar>
              <w:top w:w="60" w:type="dxa"/>
              <w:left w:w="80" w:type="dxa"/>
              <w:bottom w:w="60" w:type="dxa"/>
              <w:right w:w="80" w:type="dxa"/>
            </w:tcMar>
          </w:tcPr>
          <w:p>
            <w:pPr>
              <w:spacing w:after="40"/>
            </w:pPr>
            <w:r>
              <w:rPr>
                <w:sz w:val="14"/>
              </w:rPr>
              <w:t>fetch_runs</w:t>
            </w:r>
          </w:p>
        </w:tc>
        <w:tc>
          <w:tcPr>
            <w:tcW w:type="dxa" w:w="6973"/>
            <w:vAlign w:val="top"/>
            <w:shd w:fill="F4F7F8"/>
            <w:tcMar>
              <w:top w:w="60" w:type="dxa"/>
              <w:left w:w="80" w:type="dxa"/>
              <w:bottom w:w="60" w:type="dxa"/>
              <w:right w:w="80" w:type="dxa"/>
            </w:tcMar>
          </w:tcPr>
          <w:p>
            <w:pPr>
              <w:spacing w:after="40"/>
            </w:pPr>
            <w:r>
              <w:rPr>
                <w:sz w:val="14"/>
              </w:rPr>
              <w:t>run_id TEXT PK; account_id FK; mode; state; started_at; finished_at; server_count; checked_count; new_count; duplicate_count; failed_count; bytes_received</w:t>
            </w:r>
          </w:p>
        </w:tc>
      </w:tr>
      <w:tr>
        <w:trPr>
          <w:cantSplit/>
        </w:trPr>
        <w:tc>
          <w:tcPr>
            <w:tcW w:type="dxa" w:w="2381"/>
            <w:vAlign w:val="top"/>
            <w:tcMar>
              <w:top w:w="60" w:type="dxa"/>
              <w:left w:w="80" w:type="dxa"/>
              <w:bottom w:w="60" w:type="dxa"/>
              <w:right w:w="80" w:type="dxa"/>
            </w:tcMar>
          </w:tcPr>
          <w:p>
            <w:pPr>
              <w:spacing w:after="40"/>
            </w:pPr>
            <w:r>
              <w:rPr>
                <w:sz w:val="14"/>
              </w:rPr>
              <w:t>remote_message_identities</w:t>
            </w:r>
          </w:p>
        </w:tc>
        <w:tc>
          <w:tcPr>
            <w:tcW w:type="dxa" w:w="6973"/>
            <w:vAlign w:val="top"/>
            <w:tcMar>
              <w:top w:w="60" w:type="dxa"/>
              <w:left w:w="80" w:type="dxa"/>
              <w:bottom w:w="60" w:type="dxa"/>
              <w:right w:w="80" w:type="dxa"/>
            </w:tcMar>
          </w:tcPr>
          <w:p>
            <w:pPr>
              <w:spacing w:after="40"/>
            </w:pPr>
            <w:r>
              <w:rPr>
                <w:sz w:val="14"/>
              </w:rPr>
              <w:t>account_id FK; uidl; last_seen_at; message_id FK NULL; size; PK(account_id, uidl)</w:t>
            </w:r>
          </w:p>
        </w:tc>
      </w:tr>
      <w:tr>
        <w:trPr>
          <w:cantSplit/>
        </w:trPr>
        <w:tc>
          <w:tcPr>
            <w:tcW w:type="dxa" w:w="2381"/>
            <w:vAlign w:val="top"/>
            <w:shd w:fill="F4F7F8"/>
            <w:tcMar>
              <w:top w:w="60" w:type="dxa"/>
              <w:left w:w="80" w:type="dxa"/>
              <w:bottom w:w="60" w:type="dxa"/>
              <w:right w:w="80" w:type="dxa"/>
            </w:tcMar>
          </w:tcPr>
          <w:p>
            <w:pPr>
              <w:spacing w:after="40"/>
            </w:pPr>
            <w:r>
              <w:rPr>
                <w:sz w:val="14"/>
              </w:rPr>
              <w:t>messages</w:t>
            </w:r>
          </w:p>
        </w:tc>
        <w:tc>
          <w:tcPr>
            <w:tcW w:type="dxa" w:w="6973"/>
            <w:vAlign w:val="top"/>
            <w:shd w:fill="F4F7F8"/>
            <w:tcMar>
              <w:top w:w="60" w:type="dxa"/>
              <w:left w:w="80" w:type="dxa"/>
              <w:bottom w:w="60" w:type="dxa"/>
              <w:right w:w="80" w:type="dxa"/>
            </w:tcMar>
          </w:tcPr>
          <w:p>
            <w:pPr>
              <w:spacing w:after="40"/>
            </w:pPr>
            <w:r>
              <w:rPr>
                <w:sz w:val="14"/>
              </w:rPr>
              <w:t>message_id TEXT PK; account_id FK; state; subject_summary; sent_at; received_at; has_attachments; warning_level; created_at; updated_at</w:t>
            </w:r>
          </w:p>
        </w:tc>
      </w:tr>
      <w:tr>
        <w:trPr>
          <w:cantSplit/>
        </w:trPr>
        <w:tc>
          <w:tcPr>
            <w:tcW w:type="dxa" w:w="2381"/>
            <w:vAlign w:val="top"/>
            <w:tcMar>
              <w:top w:w="60" w:type="dxa"/>
              <w:left w:w="80" w:type="dxa"/>
              <w:bottom w:w="60" w:type="dxa"/>
              <w:right w:w="80" w:type="dxa"/>
            </w:tcMar>
          </w:tcPr>
          <w:p>
            <w:pPr>
              <w:spacing w:after="40"/>
            </w:pPr>
            <w:r>
              <w:rPr>
                <w:sz w:val="14"/>
              </w:rPr>
              <w:t>raw_messages</w:t>
            </w:r>
          </w:p>
        </w:tc>
        <w:tc>
          <w:tcPr>
            <w:tcW w:type="dxa" w:w="6973"/>
            <w:vAlign w:val="top"/>
            <w:tcMar>
              <w:top w:w="60" w:type="dxa"/>
              <w:left w:w="80" w:type="dxa"/>
              <w:bottom w:w="60" w:type="dxa"/>
              <w:right w:w="80" w:type="dxa"/>
            </w:tcMar>
          </w:tcPr>
          <w:p>
            <w:pPr>
              <w:spacing w:after="40"/>
            </w:pPr>
            <w:r>
              <w:rPr>
                <w:sz w:val="14"/>
              </w:rPr>
              <w:t>message_id PK/FK; raw_sha256 BLOB(32); raw_length INTEGER; storage_path; acquisition_kind; acquired_at; uidl; UNIQUE(account_id via message, hash, length)</w:t>
            </w:r>
          </w:p>
        </w:tc>
      </w:tr>
      <w:tr>
        <w:trPr>
          <w:cantSplit/>
        </w:trPr>
        <w:tc>
          <w:tcPr>
            <w:tcW w:type="dxa" w:w="2381"/>
            <w:vAlign w:val="top"/>
            <w:shd w:fill="F4F7F8"/>
            <w:tcMar>
              <w:top w:w="60" w:type="dxa"/>
              <w:left w:w="80" w:type="dxa"/>
              <w:bottom w:w="60" w:type="dxa"/>
              <w:right w:w="80" w:type="dxa"/>
            </w:tcMar>
          </w:tcPr>
          <w:p>
            <w:pPr>
              <w:spacing w:after="40"/>
            </w:pPr>
            <w:r>
              <w:rPr>
                <w:sz w:val="14"/>
              </w:rPr>
              <w:t>parsed_messages</w:t>
            </w:r>
          </w:p>
        </w:tc>
        <w:tc>
          <w:tcPr>
            <w:tcW w:type="dxa" w:w="6973"/>
            <w:vAlign w:val="top"/>
            <w:shd w:fill="F4F7F8"/>
            <w:tcMar>
              <w:top w:w="60" w:type="dxa"/>
              <w:left w:w="80" w:type="dxa"/>
              <w:bottom w:w="60" w:type="dxa"/>
              <w:right w:w="80" w:type="dxa"/>
            </w:tcMar>
          </w:tcPr>
          <w:p>
            <w:pPr>
              <w:spacing w:after="40"/>
            </w:pPr>
            <w:r>
              <w:rPr>
                <w:sz w:val="14"/>
              </w:rPr>
              <w:t>message_id FK; parser_id; parser_version; parsed_at; message_id_header; text_body; html_body_sanitized; normalized_text; parse_status; warnings_json; PK(message_id, parser_version)</w:t>
            </w:r>
          </w:p>
        </w:tc>
      </w:tr>
      <w:tr>
        <w:trPr>
          <w:cantSplit/>
        </w:trPr>
        <w:tc>
          <w:tcPr>
            <w:tcW w:type="dxa" w:w="2381"/>
            <w:vAlign w:val="top"/>
            <w:tcMar>
              <w:top w:w="60" w:type="dxa"/>
              <w:left w:w="80" w:type="dxa"/>
              <w:bottom w:w="60" w:type="dxa"/>
              <w:right w:w="80" w:type="dxa"/>
            </w:tcMar>
          </w:tcPr>
          <w:p>
            <w:pPr>
              <w:spacing w:after="40"/>
            </w:pPr>
            <w:r>
              <w:rPr>
                <w:sz w:val="14"/>
              </w:rPr>
              <w:t>message_addresses</w:t>
            </w:r>
          </w:p>
        </w:tc>
        <w:tc>
          <w:tcPr>
            <w:tcW w:type="dxa" w:w="6973"/>
            <w:vAlign w:val="top"/>
            <w:tcMar>
              <w:top w:w="60" w:type="dxa"/>
              <w:left w:w="80" w:type="dxa"/>
              <w:bottom w:w="60" w:type="dxa"/>
              <w:right w:w="80" w:type="dxa"/>
            </w:tcMar>
          </w:tcPr>
          <w:p>
            <w:pPr>
              <w:spacing w:after="40"/>
            </w:pPr>
            <w:r>
              <w:rPr>
                <w:sz w:val="14"/>
              </w:rPr>
              <w:t>id INTEGER PK; message_id FK; role; display_name; address_original; address_normalized; domain_ascii; domain_unicode</w:t>
            </w:r>
          </w:p>
        </w:tc>
      </w:tr>
      <w:tr>
        <w:trPr>
          <w:cantSplit/>
        </w:trPr>
        <w:tc>
          <w:tcPr>
            <w:tcW w:type="dxa" w:w="2381"/>
            <w:vAlign w:val="top"/>
            <w:shd w:fill="F4F7F8"/>
            <w:tcMar>
              <w:top w:w="60" w:type="dxa"/>
              <w:left w:w="80" w:type="dxa"/>
              <w:bottom w:w="60" w:type="dxa"/>
              <w:right w:w="80" w:type="dxa"/>
            </w:tcMar>
          </w:tcPr>
          <w:p>
            <w:pPr>
              <w:spacing w:after="40"/>
            </w:pPr>
            <w:r>
              <w:rPr>
                <w:sz w:val="14"/>
              </w:rPr>
              <w:t>attachments</w:t>
            </w:r>
          </w:p>
        </w:tc>
        <w:tc>
          <w:tcPr>
            <w:tcW w:type="dxa" w:w="6973"/>
            <w:vAlign w:val="top"/>
            <w:shd w:fill="F4F7F8"/>
            <w:tcMar>
              <w:top w:w="60" w:type="dxa"/>
              <w:left w:w="80" w:type="dxa"/>
              <w:bottom w:w="60" w:type="dxa"/>
              <w:right w:w="80" w:type="dxa"/>
            </w:tcMar>
          </w:tcPr>
          <w:p>
            <w:pPr>
              <w:spacing w:after="40"/>
            </w:pPr>
            <w:r>
              <w:rPr>
                <w:sz w:val="14"/>
              </w:rPr>
              <w:t>attachment_id TEXT PK; message_id FK; mime_path; file_name; declared_mime; detected_type; content_id; size; sha256; sha512 NULL; is_inline; risk_class</w:t>
            </w:r>
          </w:p>
        </w:tc>
      </w:tr>
      <w:tr>
        <w:trPr>
          <w:cantSplit/>
        </w:trPr>
        <w:tc>
          <w:tcPr>
            <w:tcW w:type="dxa" w:w="2381"/>
            <w:vAlign w:val="top"/>
            <w:tcMar>
              <w:top w:w="60" w:type="dxa"/>
              <w:left w:w="80" w:type="dxa"/>
              <w:bottom w:w="60" w:type="dxa"/>
              <w:right w:w="80" w:type="dxa"/>
            </w:tcMar>
          </w:tcPr>
          <w:p>
            <w:pPr>
              <w:spacing w:after="40"/>
            </w:pPr>
            <w:r>
              <w:rPr>
                <w:sz w:val="14"/>
              </w:rPr>
              <w:t>outbox_items</w:t>
            </w:r>
          </w:p>
        </w:tc>
        <w:tc>
          <w:tcPr>
            <w:tcW w:type="dxa" w:w="6973"/>
            <w:vAlign w:val="top"/>
            <w:tcMar>
              <w:top w:w="60" w:type="dxa"/>
              <w:left w:w="80" w:type="dxa"/>
              <w:bottom w:w="60" w:type="dxa"/>
              <w:right w:w="80" w:type="dxa"/>
            </w:tcMar>
          </w:tcPr>
          <w:p>
            <w:pPr>
              <w:spacing w:after="40"/>
            </w:pPr>
            <w:r>
              <w:rPr>
                <w:sz w:val="14"/>
              </w:rPr>
              <w:t>outbox_id TEXT PK; account_id FK; mime_path; message_id_header; state; attempt_count; next_attempt_at; last_error_code; created_at; updated_at</w:t>
            </w:r>
          </w:p>
        </w:tc>
      </w:tr>
      <w:tr>
        <w:trPr>
          <w:cantSplit/>
        </w:trPr>
        <w:tc>
          <w:tcPr>
            <w:tcW w:type="dxa" w:w="2381"/>
            <w:vAlign w:val="top"/>
            <w:shd w:fill="F4F7F8"/>
            <w:tcMar>
              <w:top w:w="60" w:type="dxa"/>
              <w:left w:w="80" w:type="dxa"/>
              <w:bottom w:w="60" w:type="dxa"/>
              <w:right w:w="80" w:type="dxa"/>
            </w:tcMar>
          </w:tcPr>
          <w:p>
            <w:pPr>
              <w:spacing w:after="40"/>
            </w:pPr>
            <w:r>
              <w:rPr>
                <w:sz w:val="14"/>
              </w:rPr>
              <w:t>sent_upload_jobs</w:t>
            </w:r>
          </w:p>
        </w:tc>
        <w:tc>
          <w:tcPr>
            <w:tcW w:type="dxa" w:w="6973"/>
            <w:vAlign w:val="top"/>
            <w:shd w:fill="F4F7F8"/>
            <w:tcMar>
              <w:top w:w="60" w:type="dxa"/>
              <w:left w:w="80" w:type="dxa"/>
              <w:bottom w:w="60" w:type="dxa"/>
              <w:right w:w="80" w:type="dxa"/>
            </w:tcMar>
          </w:tcPr>
          <w:p>
            <w:pPr>
              <w:spacing w:after="40"/>
            </w:pPr>
            <w:r>
              <w:rPr>
                <w:sz w:val="14"/>
              </w:rPr>
              <w:t>upload_id TEXT PK; outbox_id FK; account_id FK; target_folder; state; imap_uid NULL; attempt_count; last_error_code; created_at; updated_at</w:t>
            </w:r>
          </w:p>
        </w:tc>
      </w:tr>
      <w:tr>
        <w:trPr>
          <w:cantSplit/>
        </w:trPr>
        <w:tc>
          <w:tcPr>
            <w:tcW w:type="dxa" w:w="2381"/>
            <w:vAlign w:val="top"/>
            <w:tcMar>
              <w:top w:w="60" w:type="dxa"/>
              <w:left w:w="80" w:type="dxa"/>
              <w:bottom w:w="60" w:type="dxa"/>
              <w:right w:w="80" w:type="dxa"/>
            </w:tcMar>
          </w:tcPr>
          <w:p>
            <w:pPr>
              <w:spacing w:after="40"/>
            </w:pPr>
            <w:r>
              <w:rPr>
                <w:sz w:val="14"/>
              </w:rPr>
              <w:t>analysis_runs</w:t>
            </w:r>
          </w:p>
        </w:tc>
        <w:tc>
          <w:tcPr>
            <w:tcW w:type="dxa" w:w="6973"/>
            <w:vAlign w:val="top"/>
            <w:tcMar>
              <w:top w:w="60" w:type="dxa"/>
              <w:left w:w="80" w:type="dxa"/>
              <w:bottom w:w="60" w:type="dxa"/>
              <w:right w:w="80" w:type="dxa"/>
            </w:tcMar>
          </w:tcPr>
          <w:p>
            <w:pPr>
              <w:spacing w:after="40"/>
            </w:pPr>
            <w:r>
              <w:rPr>
                <w:sz w:val="14"/>
              </w:rPr>
              <w:t>analysis_run_id TEXT PK; message_id FK; analyzer_id; analyzer_version; result_schema_version; input_hash; config_hash; state; result_json; started_at; completed_at</w:t>
            </w:r>
          </w:p>
        </w:tc>
      </w:tr>
      <w:tr>
        <w:trPr>
          <w:cantSplit/>
        </w:trPr>
        <w:tc>
          <w:tcPr>
            <w:tcW w:type="dxa" w:w="2381"/>
            <w:vAlign w:val="top"/>
            <w:shd w:fill="F4F7F8"/>
            <w:tcMar>
              <w:top w:w="60" w:type="dxa"/>
              <w:left w:w="80" w:type="dxa"/>
              <w:bottom w:w="60" w:type="dxa"/>
              <w:right w:w="80" w:type="dxa"/>
            </w:tcMar>
          </w:tcPr>
          <w:p>
            <w:pPr>
              <w:spacing w:after="40"/>
            </w:pPr>
            <w:r>
              <w:rPr>
                <w:sz w:val="14"/>
              </w:rPr>
              <w:t>warning_findings</w:t>
            </w:r>
          </w:p>
        </w:tc>
        <w:tc>
          <w:tcPr>
            <w:tcW w:type="dxa" w:w="6973"/>
            <w:vAlign w:val="top"/>
            <w:shd w:fill="F4F7F8"/>
            <w:tcMar>
              <w:top w:w="60" w:type="dxa"/>
              <w:left w:w="80" w:type="dxa"/>
              <w:bottom w:w="60" w:type="dxa"/>
              <w:right w:w="80" w:type="dxa"/>
            </w:tcMar>
          </w:tcPr>
          <w:p>
            <w:pPr>
              <w:spacing w:after="40"/>
            </w:pPr>
            <w:r>
              <w:rPr>
                <w:sz w:val="14"/>
              </w:rPr>
              <w:t>finding_id TEXT PK; analysis_run_id FK; rule_id; rule_version; severity; title; explanation; evidence_json; recommendation</w:t>
            </w:r>
          </w:p>
        </w:tc>
      </w:tr>
      <w:tr>
        <w:trPr>
          <w:cantSplit/>
        </w:trPr>
        <w:tc>
          <w:tcPr>
            <w:tcW w:type="dxa" w:w="2381"/>
            <w:vAlign w:val="top"/>
            <w:tcMar>
              <w:top w:w="60" w:type="dxa"/>
              <w:left w:w="80" w:type="dxa"/>
              <w:bottom w:w="60" w:type="dxa"/>
              <w:right w:w="80" w:type="dxa"/>
            </w:tcMar>
          </w:tcPr>
          <w:p>
            <w:pPr>
              <w:spacing w:after="40"/>
            </w:pPr>
            <w:r>
              <w:rPr>
                <w:sz w:val="14"/>
              </w:rPr>
              <w:t>brand_trust_profiles</w:t>
            </w:r>
          </w:p>
        </w:tc>
        <w:tc>
          <w:tcPr>
            <w:tcW w:type="dxa" w:w="6973"/>
            <w:vAlign w:val="top"/>
            <w:tcMar>
              <w:top w:w="60" w:type="dxa"/>
              <w:left w:w="80" w:type="dxa"/>
              <w:bottom w:w="60" w:type="dxa"/>
              <w:right w:w="80" w:type="dxa"/>
            </w:tcMar>
          </w:tcPr>
          <w:p>
            <w:pPr>
              <w:spacing w:after="40"/>
            </w:pPr>
            <w:r>
              <w:rPr>
                <w:sz w:val="14"/>
              </w:rPr>
              <w:t>profile_id TEXT; version INTEGER; name; primary_domains_json; allowed_domains_json; provider_domains_json; valid_from; valid_to; source; change_reason; PK(profile_id, version)</w:t>
            </w:r>
          </w:p>
        </w:tc>
      </w:tr>
      <w:tr>
        <w:trPr>
          <w:cantSplit/>
        </w:trPr>
        <w:tc>
          <w:tcPr>
            <w:tcW w:type="dxa" w:w="2381"/>
            <w:vAlign w:val="top"/>
            <w:shd w:fill="F4F7F8"/>
            <w:tcMar>
              <w:top w:w="60" w:type="dxa"/>
              <w:left w:w="80" w:type="dxa"/>
              <w:bottom w:w="60" w:type="dxa"/>
              <w:right w:w="80" w:type="dxa"/>
            </w:tcMar>
          </w:tcPr>
          <w:p>
            <w:pPr>
              <w:spacing w:after="40"/>
            </w:pPr>
            <w:r>
              <w:rPr>
                <w:sz w:val="14"/>
              </w:rPr>
              <w:t>folders</w:t>
            </w:r>
          </w:p>
        </w:tc>
        <w:tc>
          <w:tcPr>
            <w:tcW w:type="dxa" w:w="6973"/>
            <w:vAlign w:val="top"/>
            <w:shd w:fill="F4F7F8"/>
            <w:tcMar>
              <w:top w:w="60" w:type="dxa"/>
              <w:left w:w="80" w:type="dxa"/>
              <w:bottom w:w="60" w:type="dxa"/>
              <w:right w:w="80" w:type="dxa"/>
            </w:tcMar>
          </w:tcPr>
          <w:p>
            <w:pPr>
              <w:spacing w:after="40"/>
            </w:pPr>
            <w:r>
              <w:rPr>
                <w:sz w:val="14"/>
              </w:rPr>
              <w:t>folder_id TEXT PK; account_id NULL; parent_id NULL; kind; name; sort_order; is_system</w:t>
            </w:r>
          </w:p>
        </w:tc>
      </w:tr>
      <w:tr>
        <w:trPr>
          <w:cantSplit/>
        </w:trPr>
        <w:tc>
          <w:tcPr>
            <w:tcW w:type="dxa" w:w="2381"/>
            <w:vAlign w:val="top"/>
            <w:tcMar>
              <w:top w:w="60" w:type="dxa"/>
              <w:left w:w="80" w:type="dxa"/>
              <w:bottom w:w="60" w:type="dxa"/>
              <w:right w:w="80" w:type="dxa"/>
            </w:tcMar>
          </w:tcPr>
          <w:p>
            <w:pPr>
              <w:spacing w:after="40"/>
            </w:pPr>
            <w:r>
              <w:rPr>
                <w:sz w:val="14"/>
              </w:rPr>
              <w:t>message_folders</w:t>
            </w:r>
          </w:p>
        </w:tc>
        <w:tc>
          <w:tcPr>
            <w:tcW w:type="dxa" w:w="6973"/>
            <w:vAlign w:val="top"/>
            <w:tcMar>
              <w:top w:w="60" w:type="dxa"/>
              <w:left w:w="80" w:type="dxa"/>
              <w:bottom w:w="60" w:type="dxa"/>
              <w:right w:w="80" w:type="dxa"/>
            </w:tcMar>
          </w:tcPr>
          <w:p>
            <w:pPr>
              <w:spacing w:after="40"/>
            </w:pPr>
            <w:r>
              <w:rPr>
                <w:sz w:val="14"/>
              </w:rPr>
              <w:t>message_id FK; folder_id FK; added_at; PK(message_id, folder_id)</w:t>
            </w:r>
          </w:p>
        </w:tc>
      </w:tr>
      <w:tr>
        <w:trPr>
          <w:cantSplit/>
        </w:trPr>
        <w:tc>
          <w:tcPr>
            <w:tcW w:type="dxa" w:w="2381"/>
            <w:vAlign w:val="top"/>
            <w:shd w:fill="F4F7F8"/>
            <w:tcMar>
              <w:top w:w="60" w:type="dxa"/>
              <w:left w:w="80" w:type="dxa"/>
              <w:bottom w:w="60" w:type="dxa"/>
              <w:right w:w="80" w:type="dxa"/>
            </w:tcMar>
          </w:tcPr>
          <w:p>
            <w:pPr>
              <w:spacing w:after="40"/>
            </w:pPr>
            <w:r>
              <w:rPr>
                <w:sz w:val="14"/>
              </w:rPr>
              <w:t>tags</w:t>
            </w:r>
          </w:p>
        </w:tc>
        <w:tc>
          <w:tcPr>
            <w:tcW w:type="dxa" w:w="6973"/>
            <w:vAlign w:val="top"/>
            <w:shd w:fill="F4F7F8"/>
            <w:tcMar>
              <w:top w:w="60" w:type="dxa"/>
              <w:left w:w="80" w:type="dxa"/>
              <w:bottom w:w="60" w:type="dxa"/>
              <w:right w:w="80" w:type="dxa"/>
            </w:tcMar>
          </w:tcPr>
          <w:p>
            <w:pPr>
              <w:spacing w:after="40"/>
            </w:pPr>
            <w:r>
              <w:rPr>
                <w:sz w:val="14"/>
              </w:rPr>
              <w:t>tag_id TEXT PK; name UNIQUE; color NULL; icon NULL</w:t>
            </w:r>
          </w:p>
        </w:tc>
      </w:tr>
      <w:tr>
        <w:trPr>
          <w:cantSplit/>
        </w:trPr>
        <w:tc>
          <w:tcPr>
            <w:tcW w:type="dxa" w:w="2381"/>
            <w:vAlign w:val="top"/>
            <w:tcMar>
              <w:top w:w="60" w:type="dxa"/>
              <w:left w:w="80" w:type="dxa"/>
              <w:bottom w:w="60" w:type="dxa"/>
              <w:right w:w="80" w:type="dxa"/>
            </w:tcMar>
          </w:tcPr>
          <w:p>
            <w:pPr>
              <w:spacing w:after="40"/>
            </w:pPr>
            <w:r>
              <w:rPr>
                <w:sz w:val="14"/>
              </w:rPr>
              <w:t>message_tags</w:t>
            </w:r>
          </w:p>
        </w:tc>
        <w:tc>
          <w:tcPr>
            <w:tcW w:type="dxa" w:w="6973"/>
            <w:vAlign w:val="top"/>
            <w:tcMar>
              <w:top w:w="60" w:type="dxa"/>
              <w:left w:w="80" w:type="dxa"/>
              <w:bottom w:w="60" w:type="dxa"/>
              <w:right w:w="80" w:type="dxa"/>
            </w:tcMar>
          </w:tcPr>
          <w:p>
            <w:pPr>
              <w:spacing w:after="40"/>
            </w:pPr>
            <w:r>
              <w:rPr>
                <w:sz w:val="14"/>
              </w:rPr>
              <w:t>message_id FK; tag_id FK; PK(message_id, tag_id)</w:t>
            </w:r>
          </w:p>
        </w:tc>
      </w:tr>
      <w:tr>
        <w:trPr>
          <w:cantSplit/>
        </w:trPr>
        <w:tc>
          <w:tcPr>
            <w:tcW w:type="dxa" w:w="2381"/>
            <w:vAlign w:val="top"/>
            <w:shd w:fill="F4F7F8"/>
            <w:tcMar>
              <w:top w:w="60" w:type="dxa"/>
              <w:left w:w="80" w:type="dxa"/>
              <w:bottom w:w="60" w:type="dxa"/>
              <w:right w:w="80" w:type="dxa"/>
            </w:tcMar>
          </w:tcPr>
          <w:p>
            <w:pPr>
              <w:spacing w:after="40"/>
            </w:pPr>
            <w:r>
              <w:rPr>
                <w:sz w:val="14"/>
              </w:rPr>
              <w:t>rules</w:t>
            </w:r>
          </w:p>
        </w:tc>
        <w:tc>
          <w:tcPr>
            <w:tcW w:type="dxa" w:w="6973"/>
            <w:vAlign w:val="top"/>
            <w:shd w:fill="F4F7F8"/>
            <w:tcMar>
              <w:top w:w="60" w:type="dxa"/>
              <w:left w:w="80" w:type="dxa"/>
              <w:bottom w:w="60" w:type="dxa"/>
              <w:right w:w="80" w:type="dxa"/>
            </w:tcMar>
          </w:tcPr>
          <w:p>
            <w:pPr>
              <w:spacing w:after="40"/>
            </w:pPr>
            <w:r>
              <w:rPr>
                <w:sz w:val="14"/>
              </w:rPr>
              <w:t>rule_id TEXT PK; name; enabled; priority; condition_json; action_json; version; updated_at</w:t>
            </w:r>
          </w:p>
        </w:tc>
      </w:tr>
      <w:tr>
        <w:trPr>
          <w:cantSplit/>
        </w:trPr>
        <w:tc>
          <w:tcPr>
            <w:tcW w:type="dxa" w:w="2381"/>
            <w:vAlign w:val="top"/>
            <w:tcMar>
              <w:top w:w="60" w:type="dxa"/>
              <w:left w:w="80" w:type="dxa"/>
              <w:bottom w:w="60" w:type="dxa"/>
              <w:right w:w="80" w:type="dxa"/>
            </w:tcMar>
          </w:tcPr>
          <w:p>
            <w:pPr>
              <w:spacing w:after="40"/>
            </w:pPr>
            <w:r>
              <w:rPr>
                <w:sz w:val="14"/>
              </w:rPr>
              <w:t>rule_runs</w:t>
            </w:r>
          </w:p>
        </w:tc>
        <w:tc>
          <w:tcPr>
            <w:tcW w:type="dxa" w:w="6973"/>
            <w:vAlign w:val="top"/>
            <w:tcMar>
              <w:top w:w="60" w:type="dxa"/>
              <w:left w:w="80" w:type="dxa"/>
              <w:bottom w:w="60" w:type="dxa"/>
              <w:right w:w="80" w:type="dxa"/>
            </w:tcMar>
          </w:tcPr>
          <w:p>
            <w:pPr>
              <w:spacing w:after="40"/>
            </w:pPr>
            <w:r>
              <w:rPr>
                <w:sz w:val="14"/>
              </w:rPr>
              <w:t>rule_run_id TEXT PK; rule_id FK; message_id FK; rule_version; matched; actions_json; executed_at</w:t>
            </w:r>
          </w:p>
        </w:tc>
      </w:tr>
      <w:tr>
        <w:trPr>
          <w:cantSplit/>
        </w:trPr>
        <w:tc>
          <w:tcPr>
            <w:tcW w:type="dxa" w:w="2381"/>
            <w:vAlign w:val="top"/>
            <w:shd w:fill="F4F7F8"/>
            <w:tcMar>
              <w:top w:w="60" w:type="dxa"/>
              <w:left w:w="80" w:type="dxa"/>
              <w:bottom w:w="60" w:type="dxa"/>
              <w:right w:w="80" w:type="dxa"/>
            </w:tcMar>
          </w:tcPr>
          <w:p>
            <w:pPr>
              <w:spacing w:after="40"/>
            </w:pPr>
            <w:r>
              <w:rPr>
                <w:sz w:val="14"/>
              </w:rPr>
              <w:t>schema_migrations</w:t>
            </w:r>
          </w:p>
        </w:tc>
        <w:tc>
          <w:tcPr>
            <w:tcW w:type="dxa" w:w="6973"/>
            <w:vAlign w:val="top"/>
            <w:shd w:fill="F4F7F8"/>
            <w:tcMar>
              <w:top w:w="60" w:type="dxa"/>
              <w:left w:w="80" w:type="dxa"/>
              <w:bottom w:w="60" w:type="dxa"/>
              <w:right w:w="80" w:type="dxa"/>
            </w:tcMar>
          </w:tcPr>
          <w:p>
            <w:pPr>
              <w:spacing w:after="40"/>
            </w:pPr>
            <w:r>
              <w:rPr>
                <w:sz w:val="14"/>
              </w:rPr>
              <w:t>version INTEGER PK; name; checksum; applied_at; success; details</w:t>
            </w:r>
          </w:p>
        </w:tc>
      </w:tr>
      <w:tr>
        <w:trPr>
          <w:cantSplit/>
        </w:trPr>
        <w:tc>
          <w:tcPr>
            <w:tcW w:type="dxa" w:w="2381"/>
            <w:vAlign w:val="top"/>
            <w:tcMar>
              <w:top w:w="60" w:type="dxa"/>
              <w:left w:w="80" w:type="dxa"/>
              <w:bottom w:w="60" w:type="dxa"/>
              <w:right w:w="80" w:type="dxa"/>
            </w:tcMar>
          </w:tcPr>
          <w:p>
            <w:pPr>
              <w:spacing w:after="40"/>
            </w:pPr>
            <w:r>
              <w:rPr>
                <w:sz w:val="14"/>
              </w:rPr>
              <w:t>audit_events</w:t>
            </w:r>
          </w:p>
        </w:tc>
        <w:tc>
          <w:tcPr>
            <w:tcW w:type="dxa" w:w="6973"/>
            <w:vAlign w:val="top"/>
            <w:tcMar>
              <w:top w:w="60" w:type="dxa"/>
              <w:left w:w="80" w:type="dxa"/>
              <w:bottom w:w="60" w:type="dxa"/>
              <w:right w:w="80" w:type="dxa"/>
            </w:tcMar>
          </w:tcPr>
          <w:p>
            <w:pPr>
              <w:spacing w:after="40"/>
            </w:pPr>
            <w:r>
              <w:rPr>
                <w:sz w:val="14"/>
              </w:rPr>
              <w:t>event_id TEXT PK; occurred_at; event_type; correlation_id; account_id NULL; message_id NULL; details_json</w:t>
            </w:r>
          </w:p>
        </w:tc>
      </w:tr>
    </w:tbl>
    <w:p>
      <w:pPr>
        <w:keepLines/>
      </w:pPr>
    </w:p>
    <w:tbl>
      <w:tblPr>
        <w:tblStyle w:val="TableGrid"/>
        <w:tblW w:type="auto" w:w="0"/>
        <w:tblLook w:firstColumn="1" w:firstRow="1" w:lastColumn="0" w:lastRow="0" w:noHBand="0" w:noVBand="1" w:val="04A0"/>
      </w:tblPr>
      <w:tblGrid>
        <w:gridCol w:w="10029"/>
      </w:tblGrid>
      <w:tr>
        <w:trPr>
          <w:cantSplit/>
          <w:tblHeader/>
        </w:trPr>
        <w:tc>
          <w:tcPr>
            <w:tcW w:type="dxa" w:w="10029"/>
            <w:shd w:fill="F1F3F4"/>
            <w:tcMar>
              <w:top w:w="60" w:type="dxa"/>
              <w:left w:w="80" w:type="dxa"/>
              <w:bottom w:w="60" w:type="dxa"/>
              <w:right w:w="80" w:type="dxa"/>
            </w:tcMar>
          </w:tcPr>
          <w:p>
            <w:pPr>
              <w:spacing w:after="0"/>
            </w:pPr>
            <w:r>
              <w:rPr>
                <w:rFonts w:ascii="Consolas" w:hAnsi="Consolas"/>
                <w:sz w:val="17"/>
              </w:rPr>
              <w:t>PRAGMA foreign_keys = ON;</w:t>
              <w:br/>
              <w:t>PRAGMA journal_mode = WAL;</w:t>
              <w:br/>
              <w:t>PRAGMA synchronous = FULL;</w:t>
              <w:br/>
              <w:t>PRAGMA busy_timeout = 5000;</w:t>
              <w:br/>
              <w:br/>
              <w:t>CREATE UNIQUE INDEX ux_raw_exact</w:t>
              <w:br/>
              <w:t>ON raw_messages(account_id, raw_sha256, raw_length);</w:t>
              <w:br/>
              <w:br/>
              <w:t>CREATE VIRTUAL TABLE message_search_fts USING fts5(</w:t>
              <w:br/>
              <w:t xml:space="preserve">    message_id UNINDEXED,</w:t>
              <w:br/>
              <w:t xml:space="preserve">    subject,</w:t>
              <w:br/>
              <w:t xml:space="preserve">    addresses,</w:t>
              <w:br/>
              <w:t xml:space="preserve">    normalized_text,</w:t>
              <w:br/>
              <w:t xml:space="preserve">    attachment_names,</w:t>
              <w:br/>
              <w:t xml:space="preserve">    tokenize = 'unicode61 remove_diacritics 2'</w:t>
              <w:br/>
              <w:t>);</w:t>
              <w:br/>
            </w:r>
          </w:p>
        </w:tc>
      </w:tr>
    </w:tbl>
    <w:p>
      <w:pPr>
        <w:keepLines/>
      </w:pPr>
    </w:p>
    <w:p>
      <w:pPr>
        <w:pStyle w:val="Heading1"/>
        <w:keepNext/>
        <w:keepLines/>
      </w:pPr>
      <w:r>
        <w:t>Anhang B - Schnittstellenkatalog</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948"/>
            <w:shd w:fill="244A5A"/>
            <w:vAlign w:val="center"/>
            <w:tcMar>
              <w:top w:w="60" w:type="dxa"/>
              <w:left w:w="80" w:type="dxa"/>
              <w:bottom w:w="60" w:type="dxa"/>
              <w:right w:w="80" w:type="dxa"/>
            </w:tcMar>
          </w:tcPr>
          <w:p>
            <w:pPr>
              <w:jc w:val="center"/>
            </w:pPr>
            <w:r>
              <w:rPr>
                <w:b/>
                <w:color w:val="FFFFFF"/>
                <w:sz w:val="16"/>
              </w:rPr>
              <w:t>Interface</w:t>
            </w:r>
          </w:p>
        </w:tc>
        <w:tc>
          <w:tcPr>
            <w:tcW w:type="dxa" w:w="6406"/>
            <w:shd w:fill="244A5A"/>
            <w:vAlign w:val="center"/>
            <w:tcMar>
              <w:top w:w="60" w:type="dxa"/>
              <w:left w:w="80" w:type="dxa"/>
              <w:bottom w:w="60" w:type="dxa"/>
              <w:right w:w="80" w:type="dxa"/>
            </w:tcMar>
          </w:tcPr>
          <w:p>
            <w:pPr>
              <w:jc w:val="center"/>
            </w:pPr>
            <w:r>
              <w:rPr>
                <w:b/>
                <w:color w:val="FFFFFF"/>
                <w:sz w:val="16"/>
              </w:rPr>
              <w:t>Vertrag</w:t>
            </w:r>
          </w:p>
        </w:tc>
      </w:tr>
      <w:tr>
        <w:trPr>
          <w:cantSplit/>
        </w:trPr>
        <w:tc>
          <w:tcPr>
            <w:tcW w:type="dxa" w:w="2948"/>
            <w:vAlign w:val="top"/>
            <w:shd w:fill="F4F7F8"/>
            <w:tcMar>
              <w:top w:w="60" w:type="dxa"/>
              <w:left w:w="80" w:type="dxa"/>
              <w:bottom w:w="60" w:type="dxa"/>
              <w:right w:w="80" w:type="dxa"/>
            </w:tcMar>
          </w:tcPr>
          <w:p>
            <w:pPr>
              <w:spacing w:after="40"/>
            </w:pPr>
            <w:r>
              <w:rPr>
                <w:sz w:val="16"/>
              </w:rPr>
              <w:t>IPop3MailboxClient</w:t>
            </w:r>
          </w:p>
        </w:tc>
        <w:tc>
          <w:tcPr>
            <w:tcW w:type="dxa" w:w="6406"/>
            <w:vAlign w:val="top"/>
            <w:shd w:fill="F4F7F8"/>
            <w:tcMar>
              <w:top w:w="60" w:type="dxa"/>
              <w:left w:w="80" w:type="dxa"/>
              <w:bottom w:w="60" w:type="dxa"/>
              <w:right w:w="80" w:type="dxa"/>
            </w:tcMar>
          </w:tcPr>
          <w:p>
            <w:pPr>
              <w:spacing w:after="40"/>
            </w:pPr>
            <w:r>
              <w:rPr>
                <w:sz w:val="16"/>
              </w:rPr>
              <w:t>Connect/Test/List/GetMessageStream/Disconnect; keine Domainpersistenz.</w:t>
            </w:r>
          </w:p>
        </w:tc>
      </w:tr>
      <w:tr>
        <w:trPr>
          <w:cantSplit/>
        </w:trPr>
        <w:tc>
          <w:tcPr>
            <w:tcW w:type="dxa" w:w="2948"/>
            <w:vAlign w:val="top"/>
            <w:tcMar>
              <w:top w:w="60" w:type="dxa"/>
              <w:left w:w="80" w:type="dxa"/>
              <w:bottom w:w="60" w:type="dxa"/>
              <w:right w:w="80" w:type="dxa"/>
            </w:tcMar>
          </w:tcPr>
          <w:p>
            <w:pPr>
              <w:spacing w:after="40"/>
            </w:pPr>
            <w:r>
              <w:rPr>
                <w:sz w:val="16"/>
              </w:rPr>
              <w:t>ISmtpTransport</w:t>
            </w:r>
          </w:p>
        </w:tc>
        <w:tc>
          <w:tcPr>
            <w:tcW w:type="dxa" w:w="6406"/>
            <w:vAlign w:val="top"/>
            <w:tcMar>
              <w:top w:w="60" w:type="dxa"/>
              <w:left w:w="80" w:type="dxa"/>
              <w:bottom w:w="60" w:type="dxa"/>
              <w:right w:w="80" w:type="dxa"/>
            </w:tcMar>
          </w:tcPr>
          <w:p>
            <w:pPr>
              <w:spacing w:after="40"/>
            </w:pPr>
            <w:r>
              <w:rPr>
                <w:sz w:val="16"/>
              </w:rPr>
              <w:t>SendAsync einer vorbereiteten MIME-Datei; liefert serverseitige Antwort und Uncertainty.</w:t>
            </w:r>
          </w:p>
        </w:tc>
      </w:tr>
      <w:tr>
        <w:trPr>
          <w:cantSplit/>
        </w:trPr>
        <w:tc>
          <w:tcPr>
            <w:tcW w:type="dxa" w:w="2948"/>
            <w:vAlign w:val="top"/>
            <w:shd w:fill="F4F7F8"/>
            <w:tcMar>
              <w:top w:w="60" w:type="dxa"/>
              <w:left w:w="80" w:type="dxa"/>
              <w:bottom w:w="60" w:type="dxa"/>
              <w:right w:w="80" w:type="dxa"/>
            </w:tcMar>
          </w:tcPr>
          <w:p>
            <w:pPr>
              <w:spacing w:after="40"/>
            </w:pPr>
            <w:r>
              <w:rPr>
                <w:sz w:val="16"/>
              </w:rPr>
              <w:t>IImapSentFolderClient</w:t>
            </w:r>
          </w:p>
        </w:tc>
        <w:tc>
          <w:tcPr>
            <w:tcW w:type="dxa" w:w="6406"/>
            <w:vAlign w:val="top"/>
            <w:shd w:fill="F4F7F8"/>
            <w:tcMar>
              <w:top w:w="60" w:type="dxa"/>
              <w:left w:w="80" w:type="dxa"/>
              <w:bottom w:w="60" w:type="dxa"/>
              <w:right w:w="80" w:type="dxa"/>
            </w:tcMar>
          </w:tcPr>
          <w:p>
            <w:pPr>
              <w:spacing w:after="40"/>
            </w:pPr>
            <w:r>
              <w:rPr>
                <w:sz w:val="16"/>
              </w:rPr>
              <w:t>ResolveSentFolder, SearchCandidate, AppendAsync; nur Gesendet-Use-Case.</w:t>
            </w:r>
          </w:p>
        </w:tc>
      </w:tr>
      <w:tr>
        <w:trPr>
          <w:cantSplit/>
        </w:trPr>
        <w:tc>
          <w:tcPr>
            <w:tcW w:type="dxa" w:w="2948"/>
            <w:vAlign w:val="top"/>
            <w:tcMar>
              <w:top w:w="60" w:type="dxa"/>
              <w:left w:w="80" w:type="dxa"/>
              <w:bottom w:w="60" w:type="dxa"/>
              <w:right w:w="80" w:type="dxa"/>
            </w:tcMar>
          </w:tcPr>
          <w:p>
            <w:pPr>
              <w:spacing w:after="40"/>
            </w:pPr>
            <w:r>
              <w:rPr>
                <w:sz w:val="16"/>
              </w:rPr>
              <w:t>IMimeMessageParser</w:t>
            </w:r>
          </w:p>
        </w:tc>
        <w:tc>
          <w:tcPr>
            <w:tcW w:type="dxa" w:w="6406"/>
            <w:vAlign w:val="top"/>
            <w:tcMar>
              <w:top w:w="60" w:type="dxa"/>
              <w:left w:w="80" w:type="dxa"/>
              <w:bottom w:w="60" w:type="dxa"/>
              <w:right w:w="80" w:type="dxa"/>
            </w:tcMar>
          </w:tcPr>
          <w:p>
            <w:pPr>
              <w:spacing w:after="40"/>
            </w:pPr>
            <w:r>
              <w:rPr>
                <w:sz w:val="16"/>
              </w:rPr>
              <w:t>RawMessageInput → ParsedMessageResult mit Warnungen.</w:t>
            </w:r>
          </w:p>
        </w:tc>
      </w:tr>
      <w:tr>
        <w:trPr>
          <w:cantSplit/>
        </w:trPr>
        <w:tc>
          <w:tcPr>
            <w:tcW w:type="dxa" w:w="2948"/>
            <w:vAlign w:val="top"/>
            <w:shd w:fill="F4F7F8"/>
            <w:tcMar>
              <w:top w:w="60" w:type="dxa"/>
              <w:left w:w="80" w:type="dxa"/>
              <w:bottom w:w="60" w:type="dxa"/>
              <w:right w:w="80" w:type="dxa"/>
            </w:tcMar>
          </w:tcPr>
          <w:p>
            <w:pPr>
              <w:spacing w:after="40"/>
            </w:pPr>
            <w:r>
              <w:rPr>
                <w:sz w:val="16"/>
              </w:rPr>
              <w:t>IRawMessageStore</w:t>
            </w:r>
          </w:p>
        </w:tc>
        <w:tc>
          <w:tcPr>
            <w:tcW w:type="dxa" w:w="6406"/>
            <w:vAlign w:val="top"/>
            <w:shd w:fill="F4F7F8"/>
            <w:tcMar>
              <w:top w:w="60" w:type="dxa"/>
              <w:left w:w="80" w:type="dxa"/>
              <w:bottom w:w="60" w:type="dxa"/>
              <w:right w:w="80" w:type="dxa"/>
            </w:tcMar>
          </w:tcPr>
          <w:p>
            <w:pPr>
              <w:spacing w:after="40"/>
            </w:pPr>
            <w:r>
              <w:rPr>
                <w:sz w:val="16"/>
              </w:rPr>
              <w:t>CreateTemp, CommitCanonical, OpenRead, DeleteTemp, Verify.</w:t>
            </w:r>
          </w:p>
        </w:tc>
      </w:tr>
      <w:tr>
        <w:trPr>
          <w:cantSplit/>
        </w:trPr>
        <w:tc>
          <w:tcPr>
            <w:tcW w:type="dxa" w:w="2948"/>
            <w:vAlign w:val="top"/>
            <w:tcMar>
              <w:top w:w="60" w:type="dxa"/>
              <w:left w:w="80" w:type="dxa"/>
              <w:bottom w:w="60" w:type="dxa"/>
              <w:right w:w="80" w:type="dxa"/>
            </w:tcMar>
          </w:tcPr>
          <w:p>
            <w:pPr>
              <w:spacing w:after="40"/>
            </w:pPr>
            <w:r>
              <w:rPr>
                <w:sz w:val="16"/>
              </w:rPr>
              <w:t>IMessageRepository</w:t>
            </w:r>
          </w:p>
        </w:tc>
        <w:tc>
          <w:tcPr>
            <w:tcW w:type="dxa" w:w="6406"/>
            <w:vAlign w:val="top"/>
            <w:tcMar>
              <w:top w:w="60" w:type="dxa"/>
              <w:left w:w="80" w:type="dxa"/>
              <w:bottom w:w="60" w:type="dxa"/>
              <w:right w:w="80" w:type="dxa"/>
            </w:tcMar>
          </w:tcPr>
          <w:p>
            <w:pPr>
              <w:spacing w:after="40"/>
            </w:pPr>
            <w:r>
              <w:rPr>
                <w:sz w:val="16"/>
              </w:rPr>
              <w:t>Nachrichtenstatus, Summaries, Provenienz und Queries.</w:t>
            </w:r>
          </w:p>
        </w:tc>
      </w:tr>
      <w:tr>
        <w:trPr>
          <w:cantSplit/>
        </w:trPr>
        <w:tc>
          <w:tcPr>
            <w:tcW w:type="dxa" w:w="2948"/>
            <w:vAlign w:val="top"/>
            <w:shd w:fill="F4F7F8"/>
            <w:tcMar>
              <w:top w:w="60" w:type="dxa"/>
              <w:left w:w="80" w:type="dxa"/>
              <w:bottom w:w="60" w:type="dxa"/>
              <w:right w:w="80" w:type="dxa"/>
            </w:tcMar>
          </w:tcPr>
          <w:p>
            <w:pPr>
              <w:spacing w:after="40"/>
            </w:pPr>
            <w:r>
              <w:rPr>
                <w:sz w:val="16"/>
              </w:rPr>
              <w:t>IFetchRunRepository</w:t>
            </w:r>
          </w:p>
        </w:tc>
        <w:tc>
          <w:tcPr>
            <w:tcW w:type="dxa" w:w="6406"/>
            <w:vAlign w:val="top"/>
            <w:shd w:fill="F4F7F8"/>
            <w:tcMar>
              <w:top w:w="60" w:type="dxa"/>
              <w:left w:w="80" w:type="dxa"/>
              <w:bottom w:w="60" w:type="dxa"/>
              <w:right w:w="80" w:type="dxa"/>
            </w:tcMar>
          </w:tcPr>
          <w:p>
            <w:pPr>
              <w:spacing w:after="40"/>
            </w:pPr>
            <w:r>
              <w:rPr>
                <w:sz w:val="16"/>
              </w:rPr>
              <w:t>Abruflauf und Itemfortschritt.</w:t>
            </w:r>
          </w:p>
        </w:tc>
      </w:tr>
      <w:tr>
        <w:trPr>
          <w:cantSplit/>
        </w:trPr>
        <w:tc>
          <w:tcPr>
            <w:tcW w:type="dxa" w:w="2948"/>
            <w:vAlign w:val="top"/>
            <w:tcMar>
              <w:top w:w="60" w:type="dxa"/>
              <w:left w:w="80" w:type="dxa"/>
              <w:bottom w:w="60" w:type="dxa"/>
              <w:right w:w="80" w:type="dxa"/>
            </w:tcMar>
          </w:tcPr>
          <w:p>
            <w:pPr>
              <w:spacing w:after="40"/>
            </w:pPr>
            <w:r>
              <w:rPr>
                <w:sz w:val="16"/>
              </w:rPr>
              <w:t>IDeduplicationService</w:t>
            </w:r>
          </w:p>
        </w:tc>
        <w:tc>
          <w:tcPr>
            <w:tcW w:type="dxa" w:w="6406"/>
            <w:vAlign w:val="top"/>
            <w:tcMar>
              <w:top w:w="60" w:type="dxa"/>
              <w:left w:w="80" w:type="dxa"/>
              <w:bottom w:w="60" w:type="dxa"/>
              <w:right w:w="80" w:type="dxa"/>
            </w:tcMar>
          </w:tcPr>
          <w:p>
            <w:pPr>
              <w:spacing w:after="40"/>
            </w:pPr>
            <w:r>
              <w:rPr>
                <w:sz w:val="16"/>
              </w:rPr>
              <w:t>LookupExact, RegisterCanonical, RecordDuplicate.</w:t>
            </w:r>
          </w:p>
        </w:tc>
      </w:tr>
      <w:tr>
        <w:trPr>
          <w:cantSplit/>
        </w:trPr>
        <w:tc>
          <w:tcPr>
            <w:tcW w:type="dxa" w:w="2948"/>
            <w:vAlign w:val="top"/>
            <w:shd w:fill="F4F7F8"/>
            <w:tcMar>
              <w:top w:w="60" w:type="dxa"/>
              <w:left w:w="80" w:type="dxa"/>
              <w:bottom w:w="60" w:type="dxa"/>
              <w:right w:w="80" w:type="dxa"/>
            </w:tcMar>
          </w:tcPr>
          <w:p>
            <w:pPr>
              <w:spacing w:after="40"/>
            </w:pPr>
            <w:r>
              <w:rPr>
                <w:sz w:val="16"/>
              </w:rPr>
              <w:t>IMessageFingerprintService</w:t>
            </w:r>
          </w:p>
        </w:tc>
        <w:tc>
          <w:tcPr>
            <w:tcW w:type="dxa" w:w="6406"/>
            <w:vAlign w:val="top"/>
            <w:shd w:fill="F4F7F8"/>
            <w:tcMar>
              <w:top w:w="60" w:type="dxa"/>
              <w:left w:w="80" w:type="dxa"/>
              <w:bottom w:w="60" w:type="dxa"/>
              <w:right w:w="80" w:type="dxa"/>
            </w:tcMar>
          </w:tcPr>
          <w:p>
            <w:pPr>
              <w:spacing w:after="40"/>
            </w:pPr>
            <w:r>
              <w:rPr>
                <w:sz w:val="16"/>
              </w:rPr>
              <w:t>streambasierter SHA-256/optional SHA-512.</w:t>
            </w:r>
          </w:p>
        </w:tc>
      </w:tr>
      <w:tr>
        <w:trPr>
          <w:cantSplit/>
        </w:trPr>
        <w:tc>
          <w:tcPr>
            <w:tcW w:type="dxa" w:w="2948"/>
            <w:vAlign w:val="top"/>
            <w:tcMar>
              <w:top w:w="60" w:type="dxa"/>
              <w:left w:w="80" w:type="dxa"/>
              <w:bottom w:w="60" w:type="dxa"/>
              <w:right w:w="80" w:type="dxa"/>
            </w:tcMar>
          </w:tcPr>
          <w:p>
            <w:pPr>
              <w:spacing w:after="40"/>
            </w:pPr>
            <w:r>
              <w:rPr>
                <w:sz w:val="16"/>
              </w:rPr>
              <w:t>ISecretStore</w:t>
            </w:r>
          </w:p>
        </w:tc>
        <w:tc>
          <w:tcPr>
            <w:tcW w:type="dxa" w:w="6406"/>
            <w:vAlign w:val="top"/>
            <w:tcMar>
              <w:top w:w="60" w:type="dxa"/>
              <w:left w:w="80" w:type="dxa"/>
              <w:bottom w:w="60" w:type="dxa"/>
              <w:right w:w="80" w:type="dxa"/>
            </w:tcMar>
          </w:tcPr>
          <w:p>
            <w:pPr>
              <w:spacing w:after="40"/>
            </w:pPr>
            <w:r>
              <w:rPr>
                <w:sz w:val="16"/>
              </w:rPr>
              <w:t>Save/Get/Delete über SecretReference.</w:t>
            </w:r>
          </w:p>
        </w:tc>
      </w:tr>
      <w:tr>
        <w:trPr>
          <w:cantSplit/>
        </w:trPr>
        <w:tc>
          <w:tcPr>
            <w:tcW w:type="dxa" w:w="2948"/>
            <w:vAlign w:val="top"/>
            <w:shd w:fill="F4F7F8"/>
            <w:tcMar>
              <w:top w:w="60" w:type="dxa"/>
              <w:left w:w="80" w:type="dxa"/>
              <w:bottom w:w="60" w:type="dxa"/>
              <w:right w:w="80" w:type="dxa"/>
            </w:tcMar>
          </w:tcPr>
          <w:p>
            <w:pPr>
              <w:spacing w:after="40"/>
            </w:pPr>
            <w:r>
              <w:rPr>
                <w:sz w:val="16"/>
              </w:rPr>
              <w:t>IHtmlSanitizer</w:t>
            </w:r>
          </w:p>
        </w:tc>
        <w:tc>
          <w:tcPr>
            <w:tcW w:type="dxa" w:w="6406"/>
            <w:vAlign w:val="top"/>
            <w:shd w:fill="F4F7F8"/>
            <w:tcMar>
              <w:top w:w="60" w:type="dxa"/>
              <w:left w:w="80" w:type="dxa"/>
              <w:bottom w:w="60" w:type="dxa"/>
              <w:right w:w="80" w:type="dxa"/>
            </w:tcMar>
          </w:tcPr>
          <w:p>
            <w:pPr>
              <w:spacing w:after="40"/>
            </w:pPr>
            <w:r>
              <w:rPr>
                <w:sz w:val="16"/>
              </w:rPr>
              <w:t>Untrusted HTML → SanitizedHtml + observations.</w:t>
            </w:r>
          </w:p>
        </w:tc>
      </w:tr>
      <w:tr>
        <w:trPr>
          <w:cantSplit/>
        </w:trPr>
        <w:tc>
          <w:tcPr>
            <w:tcW w:type="dxa" w:w="2948"/>
            <w:vAlign w:val="top"/>
            <w:tcMar>
              <w:top w:w="60" w:type="dxa"/>
              <w:left w:w="80" w:type="dxa"/>
              <w:bottom w:w="60" w:type="dxa"/>
              <w:right w:w="80" w:type="dxa"/>
            </w:tcMar>
          </w:tcPr>
          <w:p>
            <w:pPr>
              <w:spacing w:after="40"/>
            </w:pPr>
            <w:r>
              <w:rPr>
                <w:sz w:val="16"/>
              </w:rPr>
              <w:t>ILinkObservationExtractor</w:t>
            </w:r>
          </w:p>
        </w:tc>
        <w:tc>
          <w:tcPr>
            <w:tcW w:type="dxa" w:w="6406"/>
            <w:vAlign w:val="top"/>
            <w:tcMar>
              <w:top w:w="60" w:type="dxa"/>
              <w:left w:w="80" w:type="dxa"/>
              <w:bottom w:w="60" w:type="dxa"/>
              <w:right w:w="80" w:type="dxa"/>
            </w:tcMar>
          </w:tcPr>
          <w:p>
            <w:pPr>
              <w:spacing w:after="40"/>
            </w:pPr>
            <w:r>
              <w:rPr>
                <w:sz w:val="16"/>
              </w:rPr>
              <w:t>HTML → LinkObservation-Liste.</w:t>
            </w:r>
          </w:p>
        </w:tc>
      </w:tr>
      <w:tr>
        <w:trPr>
          <w:cantSplit/>
        </w:trPr>
        <w:tc>
          <w:tcPr>
            <w:tcW w:type="dxa" w:w="2948"/>
            <w:vAlign w:val="top"/>
            <w:shd w:fill="F4F7F8"/>
            <w:tcMar>
              <w:top w:w="60" w:type="dxa"/>
              <w:left w:w="80" w:type="dxa"/>
              <w:bottom w:w="60" w:type="dxa"/>
              <w:right w:w="80" w:type="dxa"/>
            </w:tcMar>
          </w:tcPr>
          <w:p>
            <w:pPr>
              <w:spacing w:after="40"/>
            </w:pPr>
            <w:r>
              <w:rPr>
                <w:sz w:val="16"/>
              </w:rPr>
              <w:t>IMessageAnalyzer</w:t>
            </w:r>
          </w:p>
        </w:tc>
        <w:tc>
          <w:tcPr>
            <w:tcW w:type="dxa" w:w="6406"/>
            <w:vAlign w:val="top"/>
            <w:shd w:fill="F4F7F8"/>
            <w:tcMar>
              <w:top w:w="60" w:type="dxa"/>
              <w:left w:w="80" w:type="dxa"/>
              <w:bottom w:w="60" w:type="dxa"/>
              <w:right w:w="80" w:type="dxa"/>
            </w:tcMar>
          </w:tcPr>
          <w:p>
            <w:pPr>
              <w:spacing w:after="40"/>
            </w:pPr>
            <w:r>
              <w:rPr>
                <w:sz w:val="16"/>
              </w:rPr>
              <w:t>versionierter AnalysisInput → AnalysisResultEnvelope.</w:t>
            </w:r>
          </w:p>
        </w:tc>
      </w:tr>
      <w:tr>
        <w:trPr>
          <w:cantSplit/>
        </w:trPr>
        <w:tc>
          <w:tcPr>
            <w:tcW w:type="dxa" w:w="2948"/>
            <w:vAlign w:val="top"/>
            <w:tcMar>
              <w:top w:w="60" w:type="dxa"/>
              <w:left w:w="80" w:type="dxa"/>
              <w:bottom w:w="60" w:type="dxa"/>
              <w:right w:w="80" w:type="dxa"/>
            </w:tcMar>
          </w:tcPr>
          <w:p>
            <w:pPr>
              <w:spacing w:after="40"/>
            </w:pPr>
            <w:r>
              <w:rPr>
                <w:sz w:val="16"/>
              </w:rPr>
              <w:t>IWarningAggregator</w:t>
            </w:r>
          </w:p>
        </w:tc>
        <w:tc>
          <w:tcPr>
            <w:tcW w:type="dxa" w:w="6406"/>
            <w:vAlign w:val="top"/>
            <w:tcMar>
              <w:top w:w="60" w:type="dxa"/>
              <w:left w:w="80" w:type="dxa"/>
              <w:bottom w:w="60" w:type="dxa"/>
              <w:right w:w="80" w:type="dxa"/>
            </w:tcMar>
          </w:tcPr>
          <w:p>
            <w:pPr>
              <w:spacing w:after="40"/>
            </w:pPr>
            <w:r>
              <w:rPr>
                <w:sz w:val="16"/>
              </w:rPr>
              <w:t>Findings → WarningSummary.</w:t>
            </w:r>
          </w:p>
        </w:tc>
      </w:tr>
      <w:tr>
        <w:trPr>
          <w:cantSplit/>
        </w:trPr>
        <w:tc>
          <w:tcPr>
            <w:tcW w:type="dxa" w:w="2948"/>
            <w:vAlign w:val="top"/>
            <w:shd w:fill="F4F7F8"/>
            <w:tcMar>
              <w:top w:w="60" w:type="dxa"/>
              <w:left w:w="80" w:type="dxa"/>
              <w:bottom w:w="60" w:type="dxa"/>
              <w:right w:w="80" w:type="dxa"/>
            </w:tcMar>
          </w:tcPr>
          <w:p>
            <w:pPr>
              <w:spacing w:after="40"/>
            </w:pPr>
            <w:r>
              <w:rPr>
                <w:sz w:val="16"/>
              </w:rPr>
              <w:t>IBrandTrustProfileRepository</w:t>
            </w:r>
          </w:p>
        </w:tc>
        <w:tc>
          <w:tcPr>
            <w:tcW w:type="dxa" w:w="6406"/>
            <w:vAlign w:val="top"/>
            <w:shd w:fill="F4F7F8"/>
            <w:tcMar>
              <w:top w:w="60" w:type="dxa"/>
              <w:left w:w="80" w:type="dxa"/>
              <w:bottom w:w="60" w:type="dxa"/>
              <w:right w:w="80" w:type="dxa"/>
            </w:tcMar>
          </w:tcPr>
          <w:p>
            <w:pPr>
              <w:spacing w:after="40"/>
            </w:pPr>
            <w:r>
              <w:rPr>
                <w:sz w:val="16"/>
              </w:rPr>
              <w:t>Versionen laden/speichern und aktives Profil bestimmen.</w:t>
            </w:r>
          </w:p>
        </w:tc>
      </w:tr>
      <w:tr>
        <w:trPr>
          <w:cantSplit/>
        </w:trPr>
        <w:tc>
          <w:tcPr>
            <w:tcW w:type="dxa" w:w="2948"/>
            <w:vAlign w:val="top"/>
            <w:tcMar>
              <w:top w:w="60" w:type="dxa"/>
              <w:left w:w="80" w:type="dxa"/>
              <w:bottom w:w="60" w:type="dxa"/>
              <w:right w:w="80" w:type="dxa"/>
            </w:tcMar>
          </w:tcPr>
          <w:p>
            <w:pPr>
              <w:spacing w:after="40"/>
            </w:pPr>
            <w:r>
              <w:rPr>
                <w:sz w:val="16"/>
              </w:rPr>
              <w:t>ISearchIndex</w:t>
            </w:r>
          </w:p>
        </w:tc>
        <w:tc>
          <w:tcPr>
            <w:tcW w:type="dxa" w:w="6406"/>
            <w:vAlign w:val="top"/>
            <w:tcMar>
              <w:top w:w="60" w:type="dxa"/>
              <w:left w:w="80" w:type="dxa"/>
              <w:bottom w:w="60" w:type="dxa"/>
              <w:right w:w="80" w:type="dxa"/>
            </w:tcMar>
          </w:tcPr>
          <w:p>
            <w:pPr>
              <w:spacing w:after="40"/>
            </w:pPr>
            <w:r>
              <w:rPr>
                <w:sz w:val="16"/>
              </w:rPr>
              <w:t>Index/Remove/Search/Rebuild.</w:t>
            </w:r>
          </w:p>
        </w:tc>
      </w:tr>
      <w:tr>
        <w:trPr>
          <w:cantSplit/>
        </w:trPr>
        <w:tc>
          <w:tcPr>
            <w:tcW w:type="dxa" w:w="2948"/>
            <w:vAlign w:val="top"/>
            <w:shd w:fill="F4F7F8"/>
            <w:tcMar>
              <w:top w:w="60" w:type="dxa"/>
              <w:left w:w="80" w:type="dxa"/>
              <w:bottom w:w="60" w:type="dxa"/>
              <w:right w:w="80" w:type="dxa"/>
            </w:tcMar>
          </w:tcPr>
          <w:p>
            <w:pPr>
              <w:spacing w:after="40"/>
            </w:pPr>
            <w:r>
              <w:rPr>
                <w:sz w:val="16"/>
              </w:rPr>
              <w:t>IBackupService</w:t>
            </w:r>
          </w:p>
        </w:tc>
        <w:tc>
          <w:tcPr>
            <w:tcW w:type="dxa" w:w="6406"/>
            <w:vAlign w:val="top"/>
            <w:shd w:fill="F4F7F8"/>
            <w:tcMar>
              <w:top w:w="60" w:type="dxa"/>
              <w:left w:w="80" w:type="dxa"/>
              <w:bottom w:w="60" w:type="dxa"/>
              <w:right w:w="80" w:type="dxa"/>
            </w:tcMar>
          </w:tcPr>
          <w:p>
            <w:pPr>
              <w:spacing w:after="40"/>
            </w:pPr>
            <w:r>
              <w:rPr>
                <w:sz w:val="16"/>
              </w:rPr>
              <w:t>Create/Validate/Restore über Manifest.</w:t>
            </w:r>
          </w:p>
        </w:tc>
      </w:tr>
      <w:tr>
        <w:trPr>
          <w:cantSplit/>
        </w:trPr>
        <w:tc>
          <w:tcPr>
            <w:tcW w:type="dxa" w:w="2948"/>
            <w:vAlign w:val="top"/>
            <w:tcMar>
              <w:top w:w="60" w:type="dxa"/>
              <w:left w:w="80" w:type="dxa"/>
              <w:bottom w:w="60" w:type="dxa"/>
              <w:right w:w="80" w:type="dxa"/>
            </w:tcMar>
          </w:tcPr>
          <w:p>
            <w:pPr>
              <w:spacing w:after="40"/>
            </w:pPr>
            <w:r>
              <w:rPr>
                <w:sz w:val="16"/>
              </w:rPr>
              <w:t>IDiagnosticPackageService</w:t>
            </w:r>
          </w:p>
        </w:tc>
        <w:tc>
          <w:tcPr>
            <w:tcW w:type="dxa" w:w="6406"/>
            <w:vAlign w:val="top"/>
            <w:tcMar>
              <w:top w:w="60" w:type="dxa"/>
              <w:left w:w="80" w:type="dxa"/>
              <w:bottom w:w="60" w:type="dxa"/>
              <w:right w:w="80" w:type="dxa"/>
            </w:tcMar>
          </w:tcPr>
          <w:p>
            <w:pPr>
              <w:spacing w:after="40"/>
            </w:pPr>
            <w:r>
              <w:rPr>
                <w:sz w:val="16"/>
              </w:rPr>
              <w:t>Preview/Create mit Redaktionsprofil.</w:t>
            </w:r>
          </w:p>
        </w:tc>
      </w:tr>
      <w:tr>
        <w:trPr>
          <w:cantSplit/>
        </w:trPr>
        <w:tc>
          <w:tcPr>
            <w:tcW w:type="dxa" w:w="2948"/>
            <w:vAlign w:val="top"/>
            <w:shd w:fill="F4F7F8"/>
            <w:tcMar>
              <w:top w:w="60" w:type="dxa"/>
              <w:left w:w="80" w:type="dxa"/>
              <w:bottom w:w="60" w:type="dxa"/>
              <w:right w:w="80" w:type="dxa"/>
            </w:tcMar>
          </w:tcPr>
          <w:p>
            <w:pPr>
              <w:spacing w:after="40"/>
            </w:pPr>
            <w:r>
              <w:rPr>
                <w:sz w:val="16"/>
              </w:rPr>
              <w:t>IUserNotificationService</w:t>
            </w:r>
          </w:p>
        </w:tc>
        <w:tc>
          <w:tcPr>
            <w:tcW w:type="dxa" w:w="6406"/>
            <w:vAlign w:val="top"/>
            <w:shd w:fill="F4F7F8"/>
            <w:tcMar>
              <w:top w:w="60" w:type="dxa"/>
              <w:left w:w="80" w:type="dxa"/>
              <w:bottom w:w="60" w:type="dxa"/>
              <w:right w:w="80" w:type="dxa"/>
            </w:tcMar>
          </w:tcPr>
          <w:p>
            <w:pPr>
              <w:spacing w:after="40"/>
            </w:pPr>
            <w:r>
              <w:rPr>
                <w:sz w:val="16"/>
              </w:rPr>
              <w:t>UI-neutrale Information/Fehler/Bestätigung.</w:t>
            </w:r>
          </w:p>
        </w:tc>
      </w:tr>
      <w:tr>
        <w:trPr>
          <w:cantSplit/>
        </w:trPr>
        <w:tc>
          <w:tcPr>
            <w:tcW w:type="dxa" w:w="2948"/>
            <w:vAlign w:val="top"/>
            <w:tcMar>
              <w:top w:w="60" w:type="dxa"/>
              <w:left w:w="80" w:type="dxa"/>
              <w:bottom w:w="60" w:type="dxa"/>
              <w:right w:w="80" w:type="dxa"/>
            </w:tcMar>
          </w:tcPr>
          <w:p>
            <w:pPr>
              <w:spacing w:after="40"/>
            </w:pPr>
            <w:r>
              <w:rPr>
                <w:sz w:val="16"/>
              </w:rPr>
              <w:t>IFileDialogService</w:t>
            </w:r>
          </w:p>
        </w:tc>
        <w:tc>
          <w:tcPr>
            <w:tcW w:type="dxa" w:w="6406"/>
            <w:vAlign w:val="top"/>
            <w:tcMar>
              <w:top w:w="60" w:type="dxa"/>
              <w:left w:w="80" w:type="dxa"/>
              <w:bottom w:w="60" w:type="dxa"/>
              <w:right w:w="80" w:type="dxa"/>
            </w:tcMar>
          </w:tcPr>
          <w:p>
            <w:pPr>
              <w:spacing w:after="40"/>
            </w:pPr>
            <w:r>
              <w:rPr>
                <w:sz w:val="16"/>
              </w:rPr>
              <w:t>UI-neutrale Datei-/Ordnerauswahl.</w:t>
            </w:r>
          </w:p>
        </w:tc>
      </w:tr>
      <w:tr>
        <w:trPr>
          <w:cantSplit/>
        </w:trPr>
        <w:tc>
          <w:tcPr>
            <w:tcW w:type="dxa" w:w="2948"/>
            <w:vAlign w:val="top"/>
            <w:shd w:fill="F4F7F8"/>
            <w:tcMar>
              <w:top w:w="60" w:type="dxa"/>
              <w:left w:w="80" w:type="dxa"/>
              <w:bottom w:w="60" w:type="dxa"/>
              <w:right w:w="80" w:type="dxa"/>
            </w:tcMar>
          </w:tcPr>
          <w:p>
            <w:pPr>
              <w:spacing w:after="40"/>
            </w:pPr>
            <w:r>
              <w:rPr>
                <w:sz w:val="16"/>
              </w:rPr>
              <w:t>ILinkOpenService</w:t>
            </w:r>
          </w:p>
        </w:tc>
        <w:tc>
          <w:tcPr>
            <w:tcW w:type="dxa" w:w="6406"/>
            <w:vAlign w:val="top"/>
            <w:shd w:fill="F4F7F8"/>
            <w:tcMar>
              <w:top w:w="60" w:type="dxa"/>
              <w:left w:w="80" w:type="dxa"/>
              <w:bottom w:w="60" w:type="dxa"/>
              <w:right w:w="80" w:type="dxa"/>
            </w:tcMar>
          </w:tcPr>
          <w:p>
            <w:pPr>
              <w:spacing w:after="40"/>
            </w:pPr>
            <w:r>
              <w:rPr>
                <w:sz w:val="16"/>
              </w:rPr>
              <w:t>prüft WarningSummary und öffnet über Betriebssystem nach Bestätigung.</w:t>
            </w:r>
          </w:p>
        </w:tc>
      </w:tr>
    </w:tbl>
    <w:p>
      <w:pPr>
        <w:keepLines/>
      </w:pPr>
    </w:p>
    <w:p>
      <w:pPr>
        <w:pStyle w:val="Heading1"/>
        <w:keepNext/>
        <w:keepLines/>
      </w:pPr>
      <w:r>
        <w:t>Anhang C - Glossar und technische Referenzen</w:t>
      </w:r>
    </w:p>
    <w:tbl>
      <w:tblPr>
        <w:tblStyle w:val="TableGrid"/>
        <w:tblW w:type="auto" w:w="0"/>
        <w:jc w:val="center"/>
        <w:tblLook w:firstColumn="1" w:firstRow="1" w:lastColumn="0" w:lastRow="0" w:noHBand="0" w:noVBand="1" w:val="04A0"/>
      </w:tblPr>
      <w:tblGrid>
        <w:gridCol w:w="5014"/>
        <w:gridCol w:w="5014"/>
      </w:tblGrid>
      <w:tr>
        <w:trPr>
          <w:tblHeader w:val="true"/>
          <w:cantSplit/>
        </w:trPr>
        <w:tc>
          <w:tcPr>
            <w:tcW w:type="dxa" w:w="2438"/>
            <w:shd w:fill="244A5A"/>
            <w:vAlign w:val="center"/>
            <w:tcMar>
              <w:top w:w="60" w:type="dxa"/>
              <w:left w:w="80" w:type="dxa"/>
              <w:bottom w:w="60" w:type="dxa"/>
              <w:right w:w="80" w:type="dxa"/>
            </w:tcMar>
          </w:tcPr>
          <w:p>
            <w:pPr>
              <w:jc w:val="center"/>
            </w:pPr>
            <w:r>
              <w:rPr>
                <w:b/>
                <w:color w:val="FFFFFF"/>
                <w:sz w:val="16"/>
              </w:rPr>
              <w:t>Begriff</w:t>
            </w:r>
          </w:p>
        </w:tc>
        <w:tc>
          <w:tcPr>
            <w:tcW w:type="dxa" w:w="6917"/>
            <w:shd w:fill="244A5A"/>
            <w:vAlign w:val="center"/>
            <w:tcMar>
              <w:top w:w="60" w:type="dxa"/>
              <w:left w:w="80" w:type="dxa"/>
              <w:bottom w:w="60" w:type="dxa"/>
              <w:right w:w="80" w:type="dxa"/>
            </w:tcMar>
          </w:tcPr>
          <w:p>
            <w:pPr>
              <w:jc w:val="center"/>
            </w:pPr>
            <w:r>
              <w:rPr>
                <w:b/>
                <w:color w:val="FFFFFF"/>
                <w:sz w:val="16"/>
              </w:rPr>
              <w:t>Bedeutung</w:t>
            </w:r>
          </w:p>
        </w:tc>
      </w:tr>
      <w:tr>
        <w:trPr>
          <w:cantSplit/>
        </w:trPr>
        <w:tc>
          <w:tcPr>
            <w:tcW w:type="dxa" w:w="2438"/>
            <w:vAlign w:val="top"/>
            <w:shd w:fill="F4F7F8"/>
            <w:tcMar>
              <w:top w:w="60" w:type="dxa"/>
              <w:left w:w="80" w:type="dxa"/>
              <w:bottom w:w="60" w:type="dxa"/>
              <w:right w:w="80" w:type="dxa"/>
            </w:tcMar>
          </w:tcPr>
          <w:p>
            <w:pPr>
              <w:spacing w:after="40"/>
            </w:pPr>
            <w:r>
              <w:rPr>
                <w:sz w:val="16"/>
              </w:rPr>
              <w:t>APPENDUID</w:t>
            </w:r>
          </w:p>
        </w:tc>
        <w:tc>
          <w:tcPr>
            <w:tcW w:type="dxa" w:w="6917"/>
            <w:vAlign w:val="top"/>
            <w:shd w:fill="F4F7F8"/>
            <w:tcMar>
              <w:top w:w="60" w:type="dxa"/>
              <w:left w:w="80" w:type="dxa"/>
              <w:bottom w:w="60" w:type="dxa"/>
              <w:right w:w="80" w:type="dxa"/>
            </w:tcMar>
          </w:tcPr>
          <w:p>
            <w:pPr>
              <w:spacing w:after="40"/>
            </w:pPr>
            <w:r>
              <w:rPr>
                <w:sz w:val="16"/>
              </w:rPr>
              <w:t>Vom IMAP-Server gelieferte UID der angehängten Nachricht, sofern UIDPLUS unterstützt wird.</w:t>
            </w:r>
          </w:p>
        </w:tc>
      </w:tr>
      <w:tr>
        <w:trPr>
          <w:cantSplit/>
        </w:trPr>
        <w:tc>
          <w:tcPr>
            <w:tcW w:type="dxa" w:w="2438"/>
            <w:vAlign w:val="top"/>
            <w:tcMar>
              <w:top w:w="60" w:type="dxa"/>
              <w:left w:w="80" w:type="dxa"/>
              <w:bottom w:w="60" w:type="dxa"/>
              <w:right w:w="80" w:type="dxa"/>
            </w:tcMar>
          </w:tcPr>
          <w:p>
            <w:pPr>
              <w:spacing w:after="40"/>
            </w:pPr>
            <w:r>
              <w:rPr>
                <w:sz w:val="16"/>
              </w:rPr>
              <w:t>Canonical Message</w:t>
            </w:r>
          </w:p>
        </w:tc>
        <w:tc>
          <w:tcPr>
            <w:tcW w:type="dxa" w:w="6917"/>
            <w:vAlign w:val="top"/>
            <w:tcMar>
              <w:top w:w="60" w:type="dxa"/>
              <w:left w:w="80" w:type="dxa"/>
              <w:bottom w:w="60" w:type="dxa"/>
              <w:right w:w="80" w:type="dxa"/>
            </w:tcMar>
          </w:tcPr>
          <w:p>
            <w:pPr>
              <w:spacing w:after="40"/>
            </w:pPr>
            <w:r>
              <w:rPr>
                <w:sz w:val="16"/>
              </w:rPr>
              <w:t>Die eine lokal gültige Originalinstanz einer exakten Rohmail pro Konto.</w:t>
            </w:r>
          </w:p>
        </w:tc>
      </w:tr>
      <w:tr>
        <w:trPr>
          <w:cantSplit/>
        </w:trPr>
        <w:tc>
          <w:tcPr>
            <w:tcW w:type="dxa" w:w="2438"/>
            <w:vAlign w:val="top"/>
            <w:shd w:fill="F4F7F8"/>
            <w:tcMar>
              <w:top w:w="60" w:type="dxa"/>
              <w:left w:w="80" w:type="dxa"/>
              <w:bottom w:w="60" w:type="dxa"/>
              <w:right w:w="80" w:type="dxa"/>
            </w:tcMar>
          </w:tcPr>
          <w:p>
            <w:pPr>
              <w:spacing w:after="40"/>
            </w:pPr>
            <w:r>
              <w:rPr>
                <w:sz w:val="16"/>
              </w:rPr>
              <w:t>Get all</w:t>
            </w:r>
          </w:p>
        </w:tc>
        <w:tc>
          <w:tcPr>
            <w:tcW w:type="dxa" w:w="6917"/>
            <w:vAlign w:val="top"/>
            <w:shd w:fill="F4F7F8"/>
            <w:tcMar>
              <w:top w:w="60" w:type="dxa"/>
              <w:left w:w="80" w:type="dxa"/>
              <w:bottom w:w="60" w:type="dxa"/>
              <w:right w:w="80" w:type="dxa"/>
            </w:tcMar>
          </w:tcPr>
          <w:p>
            <w:pPr>
              <w:spacing w:after="40"/>
            </w:pPr>
            <w:r>
              <w:rPr>
                <w:sz w:val="16"/>
              </w:rPr>
              <w:t>Vollständiger POP3-Abruf aller noch sichtbaren Servernachrichten mit Hashvergleich.</w:t>
            </w:r>
          </w:p>
        </w:tc>
      </w:tr>
      <w:tr>
        <w:trPr>
          <w:cantSplit/>
        </w:trPr>
        <w:tc>
          <w:tcPr>
            <w:tcW w:type="dxa" w:w="2438"/>
            <w:vAlign w:val="top"/>
            <w:tcMar>
              <w:top w:w="60" w:type="dxa"/>
              <w:left w:w="80" w:type="dxa"/>
              <w:bottom w:w="60" w:type="dxa"/>
              <w:right w:w="80" w:type="dxa"/>
            </w:tcMar>
          </w:tcPr>
          <w:p>
            <w:pPr>
              <w:spacing w:after="40"/>
            </w:pPr>
            <w:r>
              <w:rPr>
                <w:sz w:val="16"/>
              </w:rPr>
              <w:t>Idempotenz</w:t>
            </w:r>
          </w:p>
        </w:tc>
        <w:tc>
          <w:tcPr>
            <w:tcW w:type="dxa" w:w="6917"/>
            <w:vAlign w:val="top"/>
            <w:tcMar>
              <w:top w:w="60" w:type="dxa"/>
              <w:left w:w="80" w:type="dxa"/>
              <w:bottom w:w="60" w:type="dxa"/>
              <w:right w:w="80" w:type="dxa"/>
            </w:tcMar>
          </w:tcPr>
          <w:p>
            <w:pPr>
              <w:spacing w:after="40"/>
            </w:pPr>
            <w:r>
              <w:rPr>
                <w:sz w:val="16"/>
              </w:rPr>
              <w:t>Wiederholung eines Vorgangs erzeugt keinen zusätzlichen fachlichen Effekt.</w:t>
            </w:r>
          </w:p>
        </w:tc>
      </w:tr>
      <w:tr>
        <w:trPr>
          <w:cantSplit/>
        </w:trPr>
        <w:tc>
          <w:tcPr>
            <w:tcW w:type="dxa" w:w="2438"/>
            <w:vAlign w:val="top"/>
            <w:shd w:fill="F4F7F8"/>
            <w:tcMar>
              <w:top w:w="60" w:type="dxa"/>
              <w:left w:w="80" w:type="dxa"/>
              <w:bottom w:w="60" w:type="dxa"/>
              <w:right w:w="80" w:type="dxa"/>
            </w:tcMar>
          </w:tcPr>
          <w:p>
            <w:pPr>
              <w:spacing w:after="40"/>
            </w:pPr>
            <w:r>
              <w:rPr>
                <w:sz w:val="16"/>
              </w:rPr>
              <w:t>Message Laboratory</w:t>
            </w:r>
          </w:p>
        </w:tc>
        <w:tc>
          <w:tcPr>
            <w:tcW w:type="dxa" w:w="6917"/>
            <w:vAlign w:val="top"/>
            <w:shd w:fill="F4F7F8"/>
            <w:tcMar>
              <w:top w:w="60" w:type="dxa"/>
              <w:left w:w="80" w:type="dxa"/>
              <w:bottom w:w="60" w:type="dxa"/>
              <w:right w:w="80" w:type="dxa"/>
            </w:tcMar>
          </w:tcPr>
          <w:p>
            <w:pPr>
              <w:spacing w:after="40"/>
            </w:pPr>
            <w:r>
              <w:rPr>
                <w:sz w:val="16"/>
              </w:rPr>
              <w:t>Ansicht für Nachricht, Analyse, Rohdaten und Historie.</w:t>
            </w:r>
          </w:p>
        </w:tc>
      </w:tr>
      <w:tr>
        <w:trPr>
          <w:cantSplit/>
        </w:trPr>
        <w:tc>
          <w:tcPr>
            <w:tcW w:type="dxa" w:w="2438"/>
            <w:vAlign w:val="top"/>
            <w:tcMar>
              <w:top w:w="60" w:type="dxa"/>
              <w:left w:w="80" w:type="dxa"/>
              <w:bottom w:w="60" w:type="dxa"/>
              <w:right w:w="80" w:type="dxa"/>
            </w:tcMar>
          </w:tcPr>
          <w:p>
            <w:pPr>
              <w:spacing w:after="40"/>
            </w:pPr>
            <w:r>
              <w:rPr>
                <w:sz w:val="16"/>
              </w:rPr>
              <w:t>Provenienz</w:t>
            </w:r>
          </w:p>
        </w:tc>
        <w:tc>
          <w:tcPr>
            <w:tcW w:type="dxa" w:w="6917"/>
            <w:vAlign w:val="top"/>
            <w:tcMar>
              <w:top w:w="60" w:type="dxa"/>
              <w:left w:w="80" w:type="dxa"/>
              <w:bottom w:w="60" w:type="dxa"/>
              <w:right w:w="80" w:type="dxa"/>
            </w:tcMar>
          </w:tcPr>
          <w:p>
            <w:pPr>
              <w:spacing w:after="40"/>
            </w:pPr>
            <w:r>
              <w:rPr>
                <w:sz w:val="16"/>
              </w:rPr>
              <w:t>Nachweis von Quelle, Abrufart, Zeitpunkt, Hash, UIDL und Verarbeitung.</w:t>
            </w:r>
          </w:p>
        </w:tc>
      </w:tr>
      <w:tr>
        <w:trPr>
          <w:cantSplit/>
        </w:trPr>
        <w:tc>
          <w:tcPr>
            <w:tcW w:type="dxa" w:w="2438"/>
            <w:vAlign w:val="top"/>
            <w:shd w:fill="F4F7F8"/>
            <w:tcMar>
              <w:top w:w="60" w:type="dxa"/>
              <w:left w:w="80" w:type="dxa"/>
              <w:bottom w:w="60" w:type="dxa"/>
              <w:right w:w="80" w:type="dxa"/>
            </w:tcMar>
          </w:tcPr>
          <w:p>
            <w:pPr>
              <w:spacing w:after="40"/>
            </w:pPr>
            <w:r>
              <w:rPr>
                <w:sz w:val="16"/>
              </w:rPr>
              <w:t>Raw Message</w:t>
            </w:r>
          </w:p>
        </w:tc>
        <w:tc>
          <w:tcPr>
            <w:tcW w:type="dxa" w:w="6917"/>
            <w:vAlign w:val="top"/>
            <w:shd w:fill="F4F7F8"/>
            <w:tcMar>
              <w:top w:w="60" w:type="dxa"/>
              <w:left w:w="80" w:type="dxa"/>
              <w:bottom w:w="60" w:type="dxa"/>
              <w:right w:w="80" w:type="dxa"/>
            </w:tcMar>
          </w:tcPr>
          <w:p>
            <w:pPr>
              <w:spacing w:after="40"/>
            </w:pPr>
            <w:r>
              <w:rPr>
                <w:sz w:val="16"/>
              </w:rPr>
              <w:t>Unveränderte RFC-822-/MIME-Bytes der Mail.</w:t>
            </w:r>
          </w:p>
        </w:tc>
      </w:tr>
      <w:tr>
        <w:trPr>
          <w:cantSplit/>
        </w:trPr>
        <w:tc>
          <w:tcPr>
            <w:tcW w:type="dxa" w:w="2438"/>
            <w:vAlign w:val="top"/>
            <w:tcMar>
              <w:top w:w="60" w:type="dxa"/>
              <w:left w:w="80" w:type="dxa"/>
              <w:bottom w:w="60" w:type="dxa"/>
              <w:right w:w="80" w:type="dxa"/>
            </w:tcMar>
          </w:tcPr>
          <w:p>
            <w:pPr>
              <w:spacing w:after="40"/>
            </w:pPr>
            <w:r>
              <w:rPr>
                <w:sz w:val="16"/>
              </w:rPr>
              <w:t>SendUncertain</w:t>
            </w:r>
          </w:p>
        </w:tc>
        <w:tc>
          <w:tcPr>
            <w:tcW w:type="dxa" w:w="6917"/>
            <w:vAlign w:val="top"/>
            <w:tcMar>
              <w:top w:w="60" w:type="dxa"/>
              <w:left w:w="80" w:type="dxa"/>
              <w:bottom w:w="60" w:type="dxa"/>
              <w:right w:w="80" w:type="dxa"/>
            </w:tcMar>
          </w:tcPr>
          <w:p>
            <w:pPr>
              <w:spacing w:after="40"/>
            </w:pPr>
            <w:r>
              <w:rPr>
                <w:sz w:val="16"/>
              </w:rPr>
              <w:t>SMTP-Verbindung brach in einer Phase ab, in der die Serverannahme nicht sicher bekannt ist.</w:t>
            </w:r>
          </w:p>
        </w:tc>
      </w:tr>
      <w:tr>
        <w:trPr>
          <w:cantSplit/>
        </w:trPr>
        <w:tc>
          <w:tcPr>
            <w:tcW w:type="dxa" w:w="2438"/>
            <w:vAlign w:val="top"/>
            <w:shd w:fill="F4F7F8"/>
            <w:tcMar>
              <w:top w:w="60" w:type="dxa"/>
              <w:left w:w="80" w:type="dxa"/>
              <w:bottom w:w="60" w:type="dxa"/>
              <w:right w:w="80" w:type="dxa"/>
            </w:tcMar>
          </w:tcPr>
          <w:p>
            <w:pPr>
              <w:spacing w:after="40"/>
            </w:pPr>
            <w:r>
              <w:rPr>
                <w:sz w:val="16"/>
              </w:rPr>
              <w:t>UploadUncertain</w:t>
            </w:r>
          </w:p>
        </w:tc>
        <w:tc>
          <w:tcPr>
            <w:tcW w:type="dxa" w:w="6917"/>
            <w:vAlign w:val="top"/>
            <w:shd w:fill="F4F7F8"/>
            <w:tcMar>
              <w:top w:w="60" w:type="dxa"/>
              <w:left w:w="80" w:type="dxa"/>
              <w:bottom w:w="60" w:type="dxa"/>
              <w:right w:w="80" w:type="dxa"/>
            </w:tcMar>
          </w:tcPr>
          <w:p>
            <w:pPr>
              <w:spacing w:after="40"/>
            </w:pPr>
            <w:r>
              <w:rPr>
                <w:sz w:val="16"/>
              </w:rPr>
              <w:t>IMAP-APPEND könnte erfolgreich gewesen sein, Antwort ging aber verloren.</w:t>
            </w:r>
          </w:p>
        </w:tc>
      </w:tr>
      <w:tr>
        <w:trPr>
          <w:cantSplit/>
        </w:trPr>
        <w:tc>
          <w:tcPr>
            <w:tcW w:type="dxa" w:w="2438"/>
            <w:vAlign w:val="top"/>
            <w:tcMar>
              <w:top w:w="60" w:type="dxa"/>
              <w:left w:w="80" w:type="dxa"/>
              <w:bottom w:w="60" w:type="dxa"/>
              <w:right w:w="80" w:type="dxa"/>
            </w:tcMar>
          </w:tcPr>
          <w:p>
            <w:pPr>
              <w:spacing w:after="40"/>
            </w:pPr>
            <w:r>
              <w:rPr>
                <w:sz w:val="16"/>
              </w:rPr>
              <w:t>WarningFinding</w:t>
            </w:r>
          </w:p>
        </w:tc>
        <w:tc>
          <w:tcPr>
            <w:tcW w:type="dxa" w:w="6917"/>
            <w:vAlign w:val="top"/>
            <w:tcMar>
              <w:top w:w="60" w:type="dxa"/>
              <w:left w:w="80" w:type="dxa"/>
              <w:bottom w:w="60" w:type="dxa"/>
              <w:right w:w="80" w:type="dxa"/>
            </w:tcMar>
          </w:tcPr>
          <w:p>
            <w:pPr>
              <w:spacing w:after="40"/>
            </w:pPr>
            <w:r>
              <w:rPr>
                <w:sz w:val="16"/>
              </w:rPr>
              <w:t>Erklärbarer Einzelbefund mit Regelversion und Evidenz.</w:t>
            </w:r>
          </w:p>
        </w:tc>
      </w:tr>
    </w:tbl>
    <w:p>
      <w:pPr>
        <w:keepLines/>
      </w:pPr>
    </w:p>
    <w:p>
      <w:pPr>
        <w:pStyle w:val="Heading2"/>
        <w:keepNext/>
        <w:keepLines/>
      </w:pPr>
      <w:r>
        <w:t>Technische Referenzen</w:t>
      </w:r>
    </w:p>
    <w:p>
      <w:pPr>
        <w:pStyle w:val="ListBullet"/>
        <w:keepLines/>
      </w:pPr>
      <w:r>
        <w:t>[R1] Microsoft: .NET and .NET Core official support policy - https://dotnet.microsoft.com/en-us/platform/support/policy/dotnet-core</w:t>
      </w:r>
    </w:p>
    <w:p>
      <w:pPr>
        <w:pStyle w:val="ListBullet"/>
        <w:keepLines/>
      </w:pPr>
      <w:r>
        <w:t>[R2] Microsoft: Windows Forms overview / What is new in .NET 10 - https://learn.microsoft.com/dotnet/desktop/winforms/</w:t>
      </w:r>
    </w:p>
    <w:p>
      <w:pPr>
        <w:pStyle w:val="ListBullet"/>
        <w:keepLines/>
      </w:pPr>
      <w:r>
        <w:t>[R3] MailKit/MimeKit API documentation - https://mimekit.net/docs/html/</w:t>
      </w:r>
    </w:p>
    <w:p>
      <w:pPr>
        <w:pStyle w:val="ListBullet"/>
        <w:keepLines/>
      </w:pPr>
      <w:r>
        <w:t>[R4] Microsoft.Data.Sqlite overview - https://learn.microsoft.com/dotnet/standard/data/sqlite/</w:t>
      </w:r>
    </w:p>
    <w:p>
      <w:pPr>
        <w:pStyle w:val="ListBullet"/>
        <w:keepLines/>
      </w:pPr>
      <w:r>
        <w:t>[R5] RFC 1939 - Post Office Protocol Version 3.</w:t>
      </w:r>
    </w:p>
    <w:p>
      <w:pPr>
        <w:pStyle w:val="ListBullet"/>
        <w:keepLines/>
      </w:pPr>
      <w:r>
        <w:t>[R6] RFC 5321 - Simple Mail Transfer Protocol.</w:t>
      </w:r>
    </w:p>
    <w:p>
      <w:pPr>
        <w:pStyle w:val="ListBullet"/>
        <w:keepLines/>
      </w:pPr>
      <w:r>
        <w:t>[R7] RFC 9051 - Internet Message Access Protocol Version 4rev2.</w:t>
      </w:r>
    </w:p>
    <w:p>
      <w:pPr>
        <w:pStyle w:val="ListBullet"/>
        <w:keepLines/>
      </w:pPr>
      <w:r>
        <w:t>[R8] RFC 2045-2049 - Multipurpose Internet Mail Extensions.</w:t>
      </w:r>
    </w:p>
    <w:p>
      <w:pPr>
        <w:pStyle w:val="ListBullet"/>
        <w:keepLines/>
      </w:pPr>
      <w:r>
        <w:t>[R9] RFC 8601 - Message Header Field for Indicating Message Authentication Status.</w:t>
      </w:r>
    </w:p>
    <w:p>
      <w:pPr>
        <w:pStyle w:val="ListBullet"/>
        <w:keepLines/>
      </w:pPr>
      <w:r>
        <w:t>[R10] OWASP guidance for untrusted HTML, URL and file handling.</w:t>
      </w:r>
    </w:p>
    <w:p>
      <w:pPr>
        <w:pStyle w:val="Heading1"/>
        <w:keepNext/>
        <w:keepLines/>
      </w:pPr>
      <w:r>
        <w:t>Anhang D - Freigabe</w:t>
      </w:r>
    </w:p>
    <w:tbl>
      <w:tblPr>
        <w:tblW w:type="auto" w:w="0"/>
        <w:jc w:val="center"/>
        <w:tblLayout w:type="autofit"/>
        <w:tblLook w:firstColumn="1" w:firstRow="1" w:lastColumn="0" w:lastRow="0" w:noHBand="0" w:noVBand="1" w:val="04A0"/>
      </w:tblPr>
      <w:tblGrid>
        <w:gridCol w:w="10029"/>
      </w:tblGrid>
      <w:tr>
        <w:trPr>
          <w:cantSplit/>
          <w:tblHeader/>
        </w:trPr>
        <w:tc>
          <w:tcPr>
            <w:tcW w:type="dxa" w:w="10029"/>
            <w:shd w:fill="E8F1F5"/>
            <w:tcBorders>
              <w:top w:val="single" w:sz="8" w:color="4E7385"/>
              <w:left w:val="single" w:sz="8" w:color="4E7385"/>
              <w:bottom w:val="single" w:sz="8" w:color="4E7385"/>
              <w:right w:val="single" w:sz="8" w:color="4E7385"/>
            </w:tcBorders>
            <w:tcMar>
              <w:top w:w="60" w:type="dxa"/>
              <w:left w:w="80" w:type="dxa"/>
              <w:bottom w:w="60" w:type="dxa"/>
              <w:right w:w="80" w:type="dxa"/>
            </w:tcMar>
          </w:tcPr>
          <w:p>
            <w:r>
              <w:rPr>
                <w:b/>
                <w:color w:val="224B5E"/>
              </w:rPr>
              <w:t>Freigabewirkung</w:t>
            </w:r>
            <w:r>
              <w:br/>
              <w:t>Mit der Freigabe wird dieses Pflichtenheft zur technischen Grundlage für Implementierung und Abnahme von SASD Mail Workbench 1.0. Änderungen an MUSS-Anforderungen, Sicherheitsgrenzen, Persistenz- oder Protokollverhalten benötigen eine dokumentierte Änderungsentscheidung.</w:t>
            </w:r>
          </w:p>
        </w:tc>
      </w:tr>
    </w:tbl>
    <w:p>
      <w:pPr>
        <w:keepLines/>
      </w:pPr>
    </w:p>
    <w:tbl>
      <w:tblPr>
        <w:tblStyle w:val="TableGrid"/>
        <w:tblW w:type="auto" w:w="0"/>
        <w:jc w:val="center"/>
        <w:tblLook w:firstColumn="1" w:firstRow="1" w:lastColumn="0" w:lastRow="0" w:noHBand="0" w:noVBand="1" w:val="04A0"/>
      </w:tblPr>
      <w:tblGrid>
        <w:gridCol w:w="2507"/>
        <w:gridCol w:w="2507"/>
        <w:gridCol w:w="2507"/>
        <w:gridCol w:w="2507"/>
      </w:tblGrid>
      <w:tr>
        <w:trPr>
          <w:tblHeader w:val="true"/>
          <w:cantSplit/>
        </w:trPr>
        <w:tc>
          <w:tcPr>
            <w:tcW w:type="dxa" w:w="1984"/>
            <w:shd w:fill="244A5A"/>
            <w:vAlign w:val="center"/>
            <w:tcMar>
              <w:top w:w="60" w:type="dxa"/>
              <w:left w:w="80" w:type="dxa"/>
              <w:bottom w:w="60" w:type="dxa"/>
              <w:right w:w="80" w:type="dxa"/>
            </w:tcMar>
          </w:tcPr>
          <w:p>
            <w:pPr>
              <w:jc w:val="center"/>
            </w:pPr>
            <w:r>
              <w:rPr>
                <w:b/>
                <w:color w:val="FFFFFF"/>
                <w:sz w:val="17"/>
              </w:rPr>
              <w:t>Rolle</w:t>
            </w:r>
          </w:p>
        </w:tc>
        <w:tc>
          <w:tcPr>
            <w:tcW w:type="dxa" w:w="2835"/>
            <w:shd w:fill="244A5A"/>
            <w:vAlign w:val="center"/>
            <w:tcMar>
              <w:top w:w="60" w:type="dxa"/>
              <w:left w:w="80" w:type="dxa"/>
              <w:bottom w:w="60" w:type="dxa"/>
              <w:right w:w="80" w:type="dxa"/>
            </w:tcMar>
          </w:tcPr>
          <w:p>
            <w:pPr>
              <w:jc w:val="center"/>
            </w:pPr>
            <w:r>
              <w:rPr>
                <w:b/>
                <w:color w:val="FFFFFF"/>
                <w:sz w:val="17"/>
              </w:rPr>
              <w:t>Name / Organisation</w:t>
            </w:r>
          </w:p>
        </w:tc>
        <w:tc>
          <w:tcPr>
            <w:tcW w:type="dxa" w:w="1701"/>
            <w:shd w:fill="244A5A"/>
            <w:vAlign w:val="center"/>
            <w:tcMar>
              <w:top w:w="60" w:type="dxa"/>
              <w:left w:w="80" w:type="dxa"/>
              <w:bottom w:w="60" w:type="dxa"/>
              <w:right w:w="80" w:type="dxa"/>
            </w:tcMar>
          </w:tcPr>
          <w:p>
            <w:pPr>
              <w:jc w:val="center"/>
            </w:pPr>
            <w:r>
              <w:rPr>
                <w:b/>
                <w:color w:val="FFFFFF"/>
                <w:sz w:val="17"/>
              </w:rPr>
              <w:t>Datum</w:t>
            </w:r>
          </w:p>
        </w:tc>
        <w:tc>
          <w:tcPr>
            <w:tcW w:type="dxa" w:w="2835"/>
            <w:shd w:fill="244A5A"/>
            <w:vAlign w:val="center"/>
            <w:tcMar>
              <w:top w:w="60" w:type="dxa"/>
              <w:left w:w="80" w:type="dxa"/>
              <w:bottom w:w="60" w:type="dxa"/>
              <w:right w:w="80" w:type="dxa"/>
            </w:tcMar>
          </w:tcPr>
          <w:p>
            <w:pPr>
              <w:jc w:val="center"/>
            </w:pPr>
            <w:r>
              <w:rPr>
                <w:b/>
                <w:color w:val="FFFFFF"/>
                <w:sz w:val="17"/>
              </w:rPr>
              <w:t>Freigabe / Bemerkung</w:t>
            </w:r>
          </w:p>
        </w:tc>
      </w:tr>
      <w:tr>
        <w:trPr>
          <w:cantSplit/>
        </w:trPr>
        <w:tc>
          <w:tcPr>
            <w:tcW w:type="dxa" w:w="1984"/>
            <w:vAlign w:val="top"/>
            <w:shd w:fill="F4F7F8"/>
            <w:tcMar>
              <w:top w:w="60" w:type="dxa"/>
              <w:left w:w="80" w:type="dxa"/>
              <w:bottom w:w="60" w:type="dxa"/>
              <w:right w:w="80" w:type="dxa"/>
            </w:tcMar>
          </w:tcPr>
          <w:p>
            <w:pPr>
              <w:spacing w:after="40"/>
            </w:pPr>
            <w:r>
              <w:rPr>
                <w:sz w:val="17"/>
              </w:rPr>
              <w:t>Product Owner</w:t>
            </w:r>
          </w:p>
        </w:tc>
        <w:tc>
          <w:tcPr>
            <w:tcW w:type="dxa" w:w="2835"/>
            <w:vAlign w:val="top"/>
            <w:shd w:fill="F4F7F8"/>
            <w:tcMar>
              <w:top w:w="60" w:type="dxa"/>
              <w:left w:w="80" w:type="dxa"/>
              <w:bottom w:w="60" w:type="dxa"/>
              <w:right w:w="80" w:type="dxa"/>
            </w:tcMar>
          </w:tcPr>
          <w:p>
            <w:pPr>
              <w:spacing w:after="40"/>
            </w:pPr>
            <w:r>
              <w:rPr>
                <w:sz w:val="17"/>
              </w:rPr>
              <w:t>SASD-GmbH</w:t>
            </w:r>
          </w:p>
        </w:tc>
        <w:tc>
          <w:tcPr>
            <w:tcW w:type="dxa" w:w="1701"/>
            <w:vAlign w:val="top"/>
            <w:shd w:fill="F4F7F8"/>
            <w:tcMar>
              <w:top w:w="60" w:type="dxa"/>
              <w:left w:w="80" w:type="dxa"/>
              <w:bottom w:w="60" w:type="dxa"/>
              <w:right w:w="80" w:type="dxa"/>
            </w:tcMar>
          </w:tcPr>
          <w:p>
            <w:pPr>
              <w:spacing w:after="40"/>
            </w:pPr>
            <w:r>
              <w:rPr>
                <w:sz w:val="17"/>
              </w:rPr>
            </w:r>
          </w:p>
        </w:tc>
        <w:tc>
          <w:tcPr>
            <w:tcW w:type="dxa" w:w="2835"/>
            <w:vAlign w:val="top"/>
            <w:shd w:fill="F4F7F8"/>
            <w:tcMar>
              <w:top w:w="60" w:type="dxa"/>
              <w:left w:w="80" w:type="dxa"/>
              <w:bottom w:w="60" w:type="dxa"/>
              <w:right w:w="80" w:type="dxa"/>
            </w:tcMar>
          </w:tcPr>
          <w:p>
            <w:pPr>
              <w:spacing w:after="40"/>
            </w:pPr>
            <w:r>
              <w:rPr>
                <w:sz w:val="17"/>
              </w:rPr>
            </w:r>
          </w:p>
        </w:tc>
      </w:tr>
      <w:tr>
        <w:trPr>
          <w:cantSplit/>
        </w:trPr>
        <w:tc>
          <w:tcPr>
            <w:tcW w:type="dxa" w:w="1984"/>
            <w:vAlign w:val="top"/>
            <w:tcMar>
              <w:top w:w="60" w:type="dxa"/>
              <w:left w:w="80" w:type="dxa"/>
              <w:bottom w:w="60" w:type="dxa"/>
              <w:right w:w="80" w:type="dxa"/>
            </w:tcMar>
          </w:tcPr>
          <w:p>
            <w:pPr>
              <w:spacing w:after="40"/>
            </w:pPr>
            <w:r>
              <w:rPr>
                <w:sz w:val="17"/>
              </w:rPr>
              <w:t>Technische Architektur</w:t>
            </w:r>
          </w:p>
        </w:tc>
        <w:tc>
          <w:tcPr>
            <w:tcW w:type="dxa" w:w="2835"/>
            <w:vAlign w:val="top"/>
            <w:tcMar>
              <w:top w:w="60" w:type="dxa"/>
              <w:left w:w="80" w:type="dxa"/>
              <w:bottom w:w="60" w:type="dxa"/>
              <w:right w:w="80" w:type="dxa"/>
            </w:tcMar>
          </w:tcPr>
          <w:p>
            <w:pPr>
              <w:spacing w:after="40"/>
            </w:pPr>
            <w:r>
              <w:rPr>
                <w:sz w:val="17"/>
              </w:rPr>
            </w:r>
          </w:p>
        </w:tc>
        <w:tc>
          <w:tcPr>
            <w:tcW w:type="dxa" w:w="1701"/>
            <w:vAlign w:val="top"/>
            <w:tcMar>
              <w:top w:w="60" w:type="dxa"/>
              <w:left w:w="80" w:type="dxa"/>
              <w:bottom w:w="60" w:type="dxa"/>
              <w:right w:w="80" w:type="dxa"/>
            </w:tcMar>
          </w:tcPr>
          <w:p>
            <w:pPr>
              <w:spacing w:after="40"/>
            </w:pPr>
            <w:r>
              <w:rPr>
                <w:sz w:val="17"/>
              </w:rPr>
            </w:r>
          </w:p>
        </w:tc>
        <w:tc>
          <w:tcPr>
            <w:tcW w:type="dxa" w:w="2835"/>
            <w:vAlign w:val="top"/>
            <w:tcMar>
              <w:top w:w="60" w:type="dxa"/>
              <w:left w:w="80" w:type="dxa"/>
              <w:bottom w:w="60" w:type="dxa"/>
              <w:right w:w="80" w:type="dxa"/>
            </w:tcMar>
          </w:tcPr>
          <w:p>
            <w:pPr>
              <w:spacing w:after="40"/>
            </w:pPr>
            <w:r>
              <w:rPr>
                <w:sz w:val="17"/>
              </w:rPr>
            </w:r>
          </w:p>
        </w:tc>
      </w:tr>
      <w:tr>
        <w:trPr>
          <w:cantSplit/>
        </w:trPr>
        <w:tc>
          <w:tcPr>
            <w:tcW w:type="dxa" w:w="1984"/>
            <w:vAlign w:val="top"/>
            <w:shd w:fill="F4F7F8"/>
            <w:tcMar>
              <w:top w:w="60" w:type="dxa"/>
              <w:left w:w="80" w:type="dxa"/>
              <w:bottom w:w="60" w:type="dxa"/>
              <w:right w:w="80" w:type="dxa"/>
            </w:tcMar>
          </w:tcPr>
          <w:p>
            <w:pPr>
              <w:spacing w:after="40"/>
            </w:pPr>
            <w:r>
              <w:rPr>
                <w:sz w:val="17"/>
              </w:rPr>
              <w:t>Sicherheitsprüfung</w:t>
            </w:r>
          </w:p>
        </w:tc>
        <w:tc>
          <w:tcPr>
            <w:tcW w:type="dxa" w:w="2835"/>
            <w:vAlign w:val="top"/>
            <w:shd w:fill="F4F7F8"/>
            <w:tcMar>
              <w:top w:w="60" w:type="dxa"/>
              <w:left w:w="80" w:type="dxa"/>
              <w:bottom w:w="60" w:type="dxa"/>
              <w:right w:w="80" w:type="dxa"/>
            </w:tcMar>
          </w:tcPr>
          <w:p>
            <w:pPr>
              <w:spacing w:after="40"/>
            </w:pPr>
            <w:r>
              <w:rPr>
                <w:sz w:val="17"/>
              </w:rPr>
            </w:r>
          </w:p>
        </w:tc>
        <w:tc>
          <w:tcPr>
            <w:tcW w:type="dxa" w:w="1701"/>
            <w:vAlign w:val="top"/>
            <w:shd w:fill="F4F7F8"/>
            <w:tcMar>
              <w:top w:w="60" w:type="dxa"/>
              <w:left w:w="80" w:type="dxa"/>
              <w:bottom w:w="60" w:type="dxa"/>
              <w:right w:w="80" w:type="dxa"/>
            </w:tcMar>
          </w:tcPr>
          <w:p>
            <w:pPr>
              <w:spacing w:after="40"/>
            </w:pPr>
            <w:r>
              <w:rPr>
                <w:sz w:val="17"/>
              </w:rPr>
            </w:r>
          </w:p>
        </w:tc>
        <w:tc>
          <w:tcPr>
            <w:tcW w:type="dxa" w:w="2835"/>
            <w:vAlign w:val="top"/>
            <w:shd w:fill="F4F7F8"/>
            <w:tcMar>
              <w:top w:w="60" w:type="dxa"/>
              <w:left w:w="80" w:type="dxa"/>
              <w:bottom w:w="60" w:type="dxa"/>
              <w:right w:w="80" w:type="dxa"/>
            </w:tcMar>
          </w:tcPr>
          <w:p>
            <w:pPr>
              <w:spacing w:after="40"/>
            </w:pPr>
            <w:r>
              <w:rPr>
                <w:sz w:val="17"/>
              </w:rPr>
            </w:r>
          </w:p>
        </w:tc>
      </w:tr>
      <w:tr>
        <w:trPr>
          <w:cantSplit/>
        </w:trPr>
        <w:tc>
          <w:tcPr>
            <w:tcW w:type="dxa" w:w="1984"/>
            <w:vAlign w:val="top"/>
            <w:tcMar>
              <w:top w:w="60" w:type="dxa"/>
              <w:left w:w="80" w:type="dxa"/>
              <w:bottom w:w="60" w:type="dxa"/>
              <w:right w:w="80" w:type="dxa"/>
            </w:tcMar>
          </w:tcPr>
          <w:p>
            <w:pPr>
              <w:spacing w:after="40"/>
            </w:pPr>
            <w:r>
              <w:rPr>
                <w:sz w:val="17"/>
              </w:rPr>
              <w:t>Test / Qualität</w:t>
            </w:r>
          </w:p>
        </w:tc>
        <w:tc>
          <w:tcPr>
            <w:tcW w:type="dxa" w:w="2835"/>
            <w:vAlign w:val="top"/>
            <w:tcMar>
              <w:top w:w="60" w:type="dxa"/>
              <w:left w:w="80" w:type="dxa"/>
              <w:bottom w:w="60" w:type="dxa"/>
              <w:right w:w="80" w:type="dxa"/>
            </w:tcMar>
          </w:tcPr>
          <w:p>
            <w:pPr>
              <w:spacing w:after="40"/>
            </w:pPr>
            <w:r>
              <w:rPr>
                <w:sz w:val="17"/>
              </w:rPr>
            </w:r>
          </w:p>
        </w:tc>
        <w:tc>
          <w:tcPr>
            <w:tcW w:type="dxa" w:w="1701"/>
            <w:vAlign w:val="top"/>
            <w:tcMar>
              <w:top w:w="60" w:type="dxa"/>
              <w:left w:w="80" w:type="dxa"/>
              <w:bottom w:w="60" w:type="dxa"/>
              <w:right w:w="80" w:type="dxa"/>
            </w:tcMar>
          </w:tcPr>
          <w:p>
            <w:pPr>
              <w:spacing w:after="40"/>
            </w:pPr>
            <w:r>
              <w:rPr>
                <w:sz w:val="17"/>
              </w:rPr>
            </w:r>
          </w:p>
        </w:tc>
        <w:tc>
          <w:tcPr>
            <w:tcW w:type="dxa" w:w="2835"/>
            <w:vAlign w:val="top"/>
            <w:tcMar>
              <w:top w:w="60" w:type="dxa"/>
              <w:left w:w="80" w:type="dxa"/>
              <w:bottom w:w="60" w:type="dxa"/>
              <w:right w:w="80" w:type="dxa"/>
            </w:tcMar>
          </w:tcPr>
          <w:p>
            <w:pPr>
              <w:spacing w:after="40"/>
            </w:pPr>
            <w:r>
              <w:rPr>
                <w:sz w:val="17"/>
              </w:rPr>
            </w:r>
          </w:p>
        </w:tc>
      </w:tr>
      <w:tr>
        <w:trPr>
          <w:cantSplit/>
        </w:trPr>
        <w:tc>
          <w:tcPr>
            <w:tcW w:type="dxa" w:w="1984"/>
            <w:vAlign w:val="top"/>
            <w:shd w:fill="F4F7F8"/>
            <w:tcMar>
              <w:top w:w="60" w:type="dxa"/>
              <w:left w:w="80" w:type="dxa"/>
              <w:bottom w:w="60" w:type="dxa"/>
              <w:right w:w="80" w:type="dxa"/>
            </w:tcMar>
          </w:tcPr>
          <w:p>
            <w:pPr>
              <w:spacing w:after="40"/>
            </w:pPr>
            <w:r>
              <w:rPr>
                <w:sz w:val="17"/>
              </w:rPr>
              <w:t>Dokumentation</w:t>
            </w:r>
          </w:p>
        </w:tc>
        <w:tc>
          <w:tcPr>
            <w:tcW w:type="dxa" w:w="2835"/>
            <w:vAlign w:val="top"/>
            <w:shd w:fill="F4F7F8"/>
            <w:tcMar>
              <w:top w:w="60" w:type="dxa"/>
              <w:left w:w="80" w:type="dxa"/>
              <w:bottom w:w="60" w:type="dxa"/>
              <w:right w:w="80" w:type="dxa"/>
            </w:tcMar>
          </w:tcPr>
          <w:p>
            <w:pPr>
              <w:spacing w:after="40"/>
            </w:pPr>
            <w:r>
              <w:rPr>
                <w:sz w:val="17"/>
              </w:rPr>
            </w:r>
          </w:p>
        </w:tc>
        <w:tc>
          <w:tcPr>
            <w:tcW w:type="dxa" w:w="1701"/>
            <w:vAlign w:val="top"/>
            <w:shd w:fill="F4F7F8"/>
            <w:tcMar>
              <w:top w:w="60" w:type="dxa"/>
              <w:left w:w="80" w:type="dxa"/>
              <w:bottom w:w="60" w:type="dxa"/>
              <w:right w:w="80" w:type="dxa"/>
            </w:tcMar>
          </w:tcPr>
          <w:p>
            <w:pPr>
              <w:spacing w:after="40"/>
            </w:pPr>
            <w:r>
              <w:rPr>
                <w:sz w:val="17"/>
              </w:rPr>
            </w:r>
          </w:p>
        </w:tc>
        <w:tc>
          <w:tcPr>
            <w:tcW w:type="dxa" w:w="2835"/>
            <w:vAlign w:val="top"/>
            <w:shd w:fill="F4F7F8"/>
            <w:tcMar>
              <w:top w:w="60" w:type="dxa"/>
              <w:left w:w="80" w:type="dxa"/>
              <w:bottom w:w="60" w:type="dxa"/>
              <w:right w:w="80" w:type="dxa"/>
            </w:tcMar>
          </w:tcPr>
          <w:p>
            <w:pPr>
              <w:spacing w:after="40"/>
            </w:pPr>
            <w:r>
              <w:rPr>
                <w:sz w:val="17"/>
              </w:rPr>
            </w:r>
          </w:p>
        </w:tc>
      </w:tr>
    </w:tbl>
    <w:p>
      <w:pPr>
        <w:keepLines/>
      </w:pPr>
    </w:p>
    <w:p>
      <w:pPr>
        <w:pStyle w:val="SmallNote"/>
        <w:keepLines/>
      </w:pPr>
      <w:r>
        <w:t>Vollständigkeitsnachweis: 131 funktionale Anforderungen, 20 nichtfunktionale Anforderungen und 17 Abnahmeszenarien wurden aus dem Lastenheft eingelesen und in Kapitel 20 beziehungsweise 23 einzeln behandelt.</w:t>
      </w:r>
    </w:p>
    <w:p>
      <w:r>
        <w:br w:type="page"/>
      </w:r>
    </w:p>
    <w:p>
      <w:pPr>
        <w:pStyle w:val="Heading1"/>
      </w:pPr>
      <w:r>
        <w:t>24. Änderungsblatt Version 1.1 und Stabilisierungsauflagen</w:t>
      </w:r>
    </w:p>
    <w:p>
      <w:r>
        <w:t>Dieses Kapitel präzisiert die technische Reihenfolge nach dem Qualitätsreview. Fachliche Muss-Anforderungen werden nicht reduziert.</w:t>
      </w:r>
    </w:p>
    <w:p>
      <w:pPr>
        <w:pStyle w:val="Heading2"/>
      </w:pPr>
      <w:r>
        <w:t>24.1 Runtime und IDE</w:t>
      </w:r>
    </w:p>
    <w:p>
      <w:pPr>
        <w:pStyle w:val="ListBullet"/>
      </w:pPr>
      <w:r>
        <w:t>0.3.1 und 0.4.0 verwenden .NET 8, C# 12 und Visual Studio 2022.</w:t>
      </w:r>
    </w:p>
    <w:p>
      <w:pPr>
        <w:pStyle w:val="ListBullet"/>
      </w:pPr>
      <w:r>
        <w:t>Migration auf .NET 10 LTS spätestens in 0.5.0.</w:t>
      </w:r>
    </w:p>
    <w:p>
      <w:pPr>
        <w:pStyle w:val="ListBullet"/>
      </w:pPr>
      <w:r>
        <w:t>Bei Erreichen des .NET-8-Supportendes wird die Migration vorgezogen.</w:t>
      </w:r>
    </w:p>
    <w:p>
      <w:pPr>
        <w:pStyle w:val="ListBullet"/>
      </w:pPr>
      <w:r>
        <w:t>Version 1.0 wird nur auf einer unterstützten LTS-Runtime veröffentlicht.</w:t>
      </w:r>
    </w:p>
    <w:p>
      <w:pPr>
        <w:pStyle w:val="ListBullet"/>
      </w:pPr>
      <w:r>
        <w:t>Vor der Migration keine .NET-10-/C#-14-exklusiven Kernfunktionen.</w:t>
      </w:r>
    </w:p>
    <w:p>
      <w:pPr>
        <w:pStyle w:val="Heading2"/>
      </w:pPr>
      <w:r>
        <w:t>24.2 Milestone 0.3.1</w:t>
      </w:r>
    </w:p>
    <w:p>
      <w:pPr>
        <w:pStyle w:val="ListBullet"/>
      </w:pPr>
      <w:r>
        <w:t>SDK-Pinning, zentrale Paketverwaltung und Lockfiles.</w:t>
      </w:r>
    </w:p>
    <w:p>
      <w:pPr>
        <w:pStyle w:val="ListBullet"/>
      </w:pPr>
      <w:r>
        <w:t>NUnit, dotnet test und Visual Studio Test Explorer.</w:t>
      </w:r>
    </w:p>
    <w:p>
      <w:pPr>
        <w:pStyle w:val="ListBullet"/>
      </w:pPr>
      <w:r>
        <w:t>Stream-/Byteverträge und SHA-256 über Originalbytes.</w:t>
      </w:r>
    </w:p>
    <w:p>
      <w:pPr>
        <w:pStyle w:val="ListBullet"/>
      </w:pPr>
      <w:r>
        <w:t>Import-Zustandsmaschine und Startup-Recovery.</w:t>
      </w:r>
    </w:p>
    <w:p>
      <w:pPr>
        <w:pStyle w:val="ListBullet"/>
      </w:pPr>
      <w:r>
        <w:t>Versionierte SQLite-Migrationen und relative Speicherpfade.</w:t>
      </w:r>
    </w:p>
    <w:p>
      <w:pPr>
        <w:pStyle w:val="ListBullet"/>
      </w:pPr>
      <w:r>
        <w:t>Stabile Processor-/Analyzer-IDs und Ergebnisversionen.</w:t>
      </w:r>
    </w:p>
    <w:p>
      <w:pPr>
        <w:pStyle w:val="ListBullet"/>
      </w:pPr>
      <w:r>
        <w:t>Getrennte Abrufzeitstempel und eigener Cancelled-Status.</w:t>
      </w:r>
    </w:p>
    <w:p>
      <w:pPr>
        <w:pStyle w:val="Heading2"/>
      </w:pPr>
      <w:r>
        <w:t>24.3 Zusätzliche technische Verpflichtungen</w:t>
      </w:r>
    </w:p>
    <w:tbl>
      <w:tblPr>
        <w:tblStyle w:val="TableGrid"/>
        <w:tblW w:type="auto" w:w="0"/>
        <w:tblLook w:firstColumn="1" w:firstRow="1" w:lastColumn="0" w:lastRow="0" w:noHBand="0" w:noVBand="1" w:val="04A0"/>
      </w:tblPr>
      <w:tblGrid>
        <w:gridCol w:w="3343"/>
        <w:gridCol w:w="3343"/>
        <w:gridCol w:w="3343"/>
      </w:tblGrid>
      <w:tr>
        <w:trPr>
          <w:tblHeader w:val="true"/>
        </w:trPr>
        <w:tc>
          <w:tcPr>
            <w:tcW w:type="dxa" w:w="3343"/>
            <w:shd w:fill="1F4E78"/>
          </w:tcPr>
          <w:p>
            <w:r>
              <w:rPr>
                <w:b/>
                <w:color w:val="FFFFFF"/>
              </w:rPr>
              <w:t>ID</w:t>
            </w:r>
          </w:p>
        </w:tc>
        <w:tc>
          <w:tcPr>
            <w:tcW w:type="dxa" w:w="3343"/>
            <w:shd w:fill="1F4E78"/>
          </w:tcPr>
          <w:p>
            <w:r>
              <w:rPr>
                <w:b/>
                <w:color w:val="FFFFFF"/>
              </w:rPr>
              <w:t>Verpflichtung</w:t>
            </w:r>
          </w:p>
        </w:tc>
        <w:tc>
          <w:tcPr>
            <w:tcW w:type="dxa" w:w="3343"/>
            <w:shd w:fill="1F4E78"/>
          </w:tcPr>
          <w:p>
            <w:r>
              <w:rPr>
                <w:b/>
                <w:color w:val="FFFFFF"/>
              </w:rPr>
              <w:t>Prüfnachweis</w:t>
            </w:r>
          </w:p>
        </w:tc>
      </w:tr>
      <w:tr>
        <w:tc>
          <w:tcPr>
            <w:tcW w:type="dxa" w:w="3343"/>
          </w:tcPr>
          <w:p>
            <w:r>
              <w:t>PH-STB-001</w:t>
            </w:r>
          </w:p>
        </w:tc>
        <w:tc>
          <w:tcPr>
            <w:tcW w:type="dxa" w:w="3343"/>
          </w:tcPr>
          <w:p>
            <w:r>
              <w:t>Rohmails bytegenau speichern.</w:t>
            </w:r>
          </w:p>
        </w:tc>
        <w:tc>
          <w:tcPr>
            <w:tcW w:type="dxa" w:w="3343"/>
          </w:tcPr>
          <w:p>
            <w:r>
              <w:t>Binär-, Encoding- und Zeilenendentests.</w:t>
            </w:r>
          </w:p>
        </w:tc>
      </w:tr>
      <w:tr>
        <w:tc>
          <w:tcPr>
            <w:tcW w:type="dxa" w:w="3343"/>
          </w:tcPr>
          <w:p>
            <w:r>
              <w:t>PH-STB-002</w:t>
            </w:r>
          </w:p>
        </w:tc>
        <w:tc>
          <w:tcPr>
            <w:tcW w:type="dxa" w:w="3343"/>
          </w:tcPr>
          <w:p>
            <w:r>
              <w:t>Hash und Länge streambasiert ermitteln.</w:t>
            </w:r>
          </w:p>
        </w:tc>
        <w:tc>
          <w:tcPr>
            <w:tcW w:type="dxa" w:w="3343"/>
          </w:tcPr>
          <w:p>
            <w:r>
              <w:t>Streaming- und Cancellationtests.</w:t>
            </w:r>
          </w:p>
        </w:tc>
      </w:tr>
      <w:tr>
        <w:tc>
          <w:tcPr>
            <w:tcW w:type="dxa" w:w="3343"/>
          </w:tcPr>
          <w:p>
            <w:r>
              <w:t>PH-STB-003</w:t>
            </w:r>
          </w:p>
        </w:tc>
        <w:tc>
          <w:tcPr>
            <w:tcW w:type="dxa" w:w="3343"/>
          </w:tcPr>
          <w:p>
            <w:r>
              <w:t>Get all nach Konto, Hash und Länge deduplizieren.</w:t>
            </w:r>
          </w:p>
        </w:tc>
        <w:tc>
          <w:tcPr>
            <w:tcW w:type="dxa" w:w="3343"/>
          </w:tcPr>
          <w:p>
            <w:r>
              <w:t>Wiederholter Get-all-Lauf.</w:t>
            </w:r>
          </w:p>
        </w:tc>
      </w:tr>
      <w:tr>
        <w:tc>
          <w:tcPr>
            <w:tcW w:type="dxa" w:w="3343"/>
          </w:tcPr>
          <w:p>
            <w:r>
              <w:t>PH-STB-004</w:t>
            </w:r>
          </w:p>
        </w:tc>
        <w:tc>
          <w:tcPr>
            <w:tcW w:type="dxa" w:w="3343"/>
          </w:tcPr>
          <w:p>
            <w:r>
              <w:t>Unvollständige Verarbeitung zustandsabhängig fortsetzen.</w:t>
            </w:r>
          </w:p>
        </w:tc>
        <w:tc>
          <w:tcPr>
            <w:tcW w:type="dxa" w:w="3343"/>
          </w:tcPr>
          <w:p>
            <w:r>
              <w:t>Retrytests.</w:t>
            </w:r>
          </w:p>
        </w:tc>
      </w:tr>
      <w:tr>
        <w:tc>
          <w:tcPr>
            <w:tcW w:type="dxa" w:w="3343"/>
          </w:tcPr>
          <w:p>
            <w:r>
              <w:t>PH-STB-005</w:t>
            </w:r>
          </w:p>
        </w:tc>
        <w:tc>
          <w:tcPr>
            <w:tcW w:type="dxa" w:w="3343"/>
          </w:tcPr>
          <w:p>
            <w:r>
              <w:t>Datei und SQLite über Staging und Recovery koordinieren.</w:t>
            </w:r>
          </w:p>
        </w:tc>
        <w:tc>
          <w:tcPr>
            <w:tcW w:type="dxa" w:w="3343"/>
          </w:tcPr>
          <w:p>
            <w:r>
              <w:t>Failure-Injection.</w:t>
            </w:r>
          </w:p>
        </w:tc>
      </w:tr>
      <w:tr>
        <w:tc>
          <w:tcPr>
            <w:tcW w:type="dxa" w:w="3343"/>
          </w:tcPr>
          <w:p>
            <w:r>
              <w:t>PH-STB-006</w:t>
            </w:r>
          </w:p>
        </w:tc>
        <w:tc>
          <w:tcPr>
            <w:tcW w:type="dxa" w:w="3343"/>
          </w:tcPr>
          <w:p>
            <w:r>
              <w:t>SQLite über versionierte Migrationen ändern.</w:t>
            </w:r>
          </w:p>
        </w:tc>
        <w:tc>
          <w:tcPr>
            <w:tcW w:type="dxa" w:w="3343"/>
          </w:tcPr>
          <w:p>
            <w:r>
              <w:t>Migrationstests.</w:t>
            </w:r>
          </w:p>
        </w:tc>
      </w:tr>
      <w:tr>
        <w:tc>
          <w:tcPr>
            <w:tcW w:type="dxa" w:w="3343"/>
          </w:tcPr>
          <w:p>
            <w:r>
              <w:t>PH-STB-007</w:t>
            </w:r>
          </w:p>
        </w:tc>
        <w:tc>
          <w:tcPr>
            <w:tcW w:type="dxa" w:w="3343"/>
          </w:tcPr>
          <w:p>
            <w:r>
              <w:t>Tests über dotnet test und Test Explorer ausführen.</w:t>
            </w:r>
          </w:p>
        </w:tc>
        <w:tc>
          <w:tcPr>
            <w:tcW w:type="dxa" w:w="3343"/>
          </w:tcPr>
          <w:p>
            <w:r>
              <w:t>Clean-Machine-TRX.</w:t>
            </w:r>
          </w:p>
        </w:tc>
      </w:tr>
      <w:tr>
        <w:tc>
          <w:tcPr>
            <w:tcW w:type="dxa" w:w="3343"/>
          </w:tcPr>
          <w:p>
            <w:r>
              <w:t>PH-STB-008</w:t>
            </w:r>
          </w:p>
        </w:tc>
        <w:tc>
          <w:tcPr>
            <w:tcW w:type="dxa" w:w="3343"/>
          </w:tcPr>
          <w:p>
            <w:r>
              <w:t>Restore durch SDK-Pinning und Lockfiles reproduzieren.</w:t>
            </w:r>
          </w:p>
        </w:tc>
        <w:tc>
          <w:tcPr>
            <w:tcW w:type="dxa" w:w="3343"/>
          </w:tcPr>
          <w:p>
            <w:r>
              <w:t>Locked Restore.</w:t>
            </w:r>
          </w:p>
        </w:tc>
      </w:tr>
      <w:tr>
        <w:tc>
          <w:tcPr>
            <w:tcW w:type="dxa" w:w="3343"/>
          </w:tcPr>
          <w:p>
            <w:r>
              <w:t>PH-STB-009</w:t>
            </w:r>
          </w:p>
        </w:tc>
        <w:tc>
          <w:tcPr>
            <w:tcW w:type="dxa" w:w="3343"/>
          </w:tcPr>
          <w:p>
            <w:r>
              <w:t>Stabile Processing-IDs und Versionen speichern.</w:t>
            </w:r>
          </w:p>
        </w:tc>
        <w:tc>
          <w:tcPr>
            <w:tcW w:type="dxa" w:w="3343"/>
          </w:tcPr>
          <w:p>
            <w:r>
              <w:t>Persistenz-/Reprocessingtest.</w:t>
            </w:r>
          </w:p>
        </w:tc>
      </w:tr>
      <w:tr>
        <w:tc>
          <w:tcPr>
            <w:tcW w:type="dxa" w:w="3343"/>
          </w:tcPr>
          <w:p>
            <w:r>
              <w:t>PH-STB-010</w:t>
            </w:r>
          </w:p>
        </w:tc>
        <w:tc>
          <w:tcPr>
            <w:tcW w:type="dxa" w:w="3343"/>
          </w:tcPr>
          <w:p>
            <w:r>
              <w:t>Cancellation als eigenen Status behandeln.</w:t>
            </w:r>
          </w:p>
        </w:tc>
        <w:tc>
          <w:tcPr>
            <w:tcW w:type="dxa" w:w="3343"/>
          </w:tcPr>
          <w:p>
            <w:r>
              <w:t>Abbruchtests.</w:t>
            </w:r>
          </w:p>
        </w:tc>
      </w:tr>
    </w:tbl>
    <w:p>
      <w:pPr>
        <w:pStyle w:val="Heading2"/>
      </w:pPr>
      <w:r>
        <w:t>24.4 Berichtigung</w:t>
      </w:r>
    </w:p>
    <w:p>
      <w:r>
        <w:t>Die Anforderungszahlen sind korrekt: 131 funktionale, 20 nichtfunktionale Anforderungen und 17 Abnahmeszenarien. Die frühere gegenteilige Aussage war ein Prüfungsfehler.</w:t>
      </w:r>
    </w:p>
    <w:p>
      <w:pPr>
        <w:pStyle w:val="Heading2"/>
      </w:pPr>
      <w:r>
        <w:t>24.5 Freigabe-Gates</w:t>
      </w:r>
    </w:p>
    <w:p>
      <w:pPr>
        <w:pStyle w:val="ListBullet"/>
      </w:pPr>
      <w:r>
        <w:t>0.4.0 beginnt erst nach erfolgreichem Clean-Machine-Restore, Build und Test von 0.3.1.</w:t>
      </w:r>
    </w:p>
    <w:p>
      <w:pPr>
        <w:pStyle w:val="ListBullet"/>
      </w:pPr>
      <w:r>
        <w:t>Kritische Datenintegritätsbefunde werden nicht stillschweigend verschoben.</w:t>
      </w:r>
    </w:p>
    <w:p>
      <w:pPr>
        <w:pStyle w:val="ListBullet"/>
      </w:pPr>
      <w:r>
        <w:t>Die Runtime-Migration erfolgt vor dem Produktrelease und spätestens bei Erreichen des .NET-8-Supportendes.</w:t>
      </w:r>
    </w:p>
    <w:p>
      <w:pPr>
        <w:pStyle w:val="ListBullet"/>
      </w:pPr>
      <w:r>
        <w:t>Version 1.0 wird nicht auf einer nicht unterstützten Runtime freigegeben.</w:t>
      </w:r>
    </w:p>
    <w:sectPr>
      <w:headerReference w:type="default" r:id="rId9"/>
      <w:footerReference w:type="default" r:id="rId10"/>
      <w:pgSz w:w="12240" w:h="15840"/>
      <w:pgMar w:top="1077" w:right="1020"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Dokumentversion 1.1  |  Zielrelease 1.0.0  |  Stand 12. Juli 2026</w:t>
      <w:br/>
    </w:r>
    <w:r>
      <w:rPr>
        <w:sz w:val="18"/>
      </w:rPr>
      <w:t xml:space="preserve">Seite </w:t>
      <w:fldChar w:fldCharType="begin"/>
      <w:instrText xml:space="preserve"> PAGE </w:instrText>
      <w:fldChar w:fldCharType="end"/>
    </w:r>
    <w:r>
      <w:rPr>
        <w:sz w:val="18"/>
      </w:rPr>
      <w:t xml:space="preserve"> von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Bdr>
        <w:bottom w:val="single" w:sz="6" w:space="1" w:color="B7C9D1"/>
      </w:pBdr>
    </w:pPr>
    <w:r>
      <w:t>SASD-GmbH  |  SASD Mail Workbench  |  Pflichtenheft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244A5A"/>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8697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4E7385"/>
      <w:sz w:val="23"/>
    </w:rPr>
  </w:style>
  <w:style w:type="paragraph" w:styleId="Heading4">
    <w:name w:val="heading 4"/>
    <w:basedOn w:val="Normal"/>
    <w:next w:val="Normal"/>
    <w:link w:val="Heading4Char"/>
    <w:uiPriority w:val="9"/>
    <w:semiHidden/>
    <w:unhideWhenUsed/>
    <w:qFormat/>
    <w:rsid w:val="00FC693F"/>
    <w:pPr>
      <w:keepNext/>
      <w:keepLines/>
      <w:spacing w:before="120" w:after="100"/>
      <w:outlineLvl w:val="3"/>
    </w:pPr>
    <w:rPr>
      <w:rFonts w:asciiTheme="majorHAnsi" w:eastAsiaTheme="majorEastAsia" w:hAnsiTheme="majorHAnsi" w:cstheme="majorBidi" w:ascii="Aptos Display" w:hAnsi="Aptos Display"/>
      <w:b/>
      <w:bCs/>
      <w:i/>
      <w:iCs/>
      <w:color w:val="6A7E8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44A5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Display" w:hAnsi="Aptos Display"/>
      <w:b/>
      <w:i/>
      <w:iCs/>
      <w:color w:val="4E738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5F6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Title">
    <w:name w:val="Requirement Title"/>
    <w:pPr>
      <w:spacing w:before="160" w:after="60"/>
    </w:pPr>
    <w:rPr>
      <w:rFonts w:ascii="Aptos" w:hAnsi="Aptos"/>
      <w:b/>
      <w:color w:val="224B5E"/>
      <w:sz w:val="18"/>
    </w:rPr>
  </w:style>
  <w:style w:type="paragraph" w:customStyle="1" w:styleId="RequirementLabel">
    <w:name w:val="Requirement Label"/>
    <w:rPr>
      <w:rFonts w:ascii="Aptos" w:hAnsi="Aptos"/>
      <w:sz w:val="18"/>
    </w:rPr>
  </w:style>
  <w:style w:type="paragraph" w:customStyle="1" w:styleId="SmallNote">
    <w:name w:val="Small Note"/>
    <w:rPr>
      <w:rFonts w:ascii="Aptos" w:hAnsi="Aptos"/>
      <w:i/>
      <w:color w:val="556973"/>
      <w:sz w:val="17"/>
    </w:rPr>
  </w:style>
  <w:style w:type="paragraph" w:customStyle="1" w:styleId="CodeInline">
    <w:name w:val="Code Inline"/>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SASD Mail Workbench - Pflichtenheft Version 1.1</dc:title>
  <dc:subject>Technische Realisierung des Lastenhefts Version 1.0</dc:subject>
  <dc:creator/>
  <cp:keywords>SASD Mail Workbench, Pflichtenheft, POP3, SMTP, IMAP, WinForms, SQLite, MailKit, Scientific, Warnsystem</cp:keywords>
  <dc:description>Konsolidierter technischer Entwurf, erstellt aus dem freigegebenen Lastenheft.</dc:description>
  <cp:lastModifiedBy/>
  <cp:revision>1</cp:revision>
  <dcterms:created xsi:type="dcterms:W3CDTF">2013-12-23T23:15:00Z</dcterms:created>
  <dcterms:modified xsi:type="dcterms:W3CDTF">2013-12-23T23:15:00Z</dcterms:modified>
  <cp:category/>
</cp:coreProperties>
</file>