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SASD Mail Workbench</w:t>
      </w:r>
    </w:p>
    <w:p>
      <w:pPr>
        <w:jc w:val="center"/>
      </w:pPr>
      <w:r>
        <w:rPr>
          <w:b/>
          <w:color w:val="1F4E78"/>
          <w:sz w:val="32"/>
        </w:rPr>
        <w:t>Qualitätsreview, Runtime-Entscheidung und Stabilisierungsplan</w:t>
      </w:r>
    </w:p>
    <w:p>
      <w:pPr>
        <w:jc w:val="center"/>
      </w:pPr>
      <w:r>
        <w:t>Dokumentversion 1.0 | 12. Juli 2026</w:t>
      </w:r>
    </w:p>
    <w:p>
      <w:pPr>
        <w:pStyle w:val="Heading1"/>
      </w:pPr>
      <w:r>
        <w:t>1. Entscheidung</w:t>
      </w:r>
    </w:p>
    <w:p>
      <w:r>
        <w:t>Wir beginnen mit .NET 8 und Visual Studio 2022, aber nicht bis zu einem beliebig späten V1-Abschluss. Die Pflichtmigration auf .NET 10 LTS erfolgt spätestens in 0.5.0 beziehungsweise vor Supportende oder Produktrelease.</w:t>
      </w:r>
    </w:p>
    <w:p>
      <w:pPr>
        <w:pStyle w:val="Heading1"/>
      </w:pPr>
      <w:r>
        <w:t>2. Berichtigung</w:t>
      </w:r>
    </w:p>
    <w:p>
      <w:r>
        <w:t>Der erneute Abgleich bestätigt 131 funktionale, 20 nichtfunktionale Anforderungen und 17 Abnahmeszenarien mit 168 eindeutigen IDs.</w:t>
      </w:r>
    </w:p>
    <w:p>
      <w:pPr>
        <w:pStyle w:val="Heading1"/>
      </w:pPr>
      <w:r>
        <w:t>3. Milestone 0.3.1</w:t>
      </w:r>
    </w:p>
    <w:p>
      <w:pPr>
        <w:pStyle w:val="ListBullet"/>
      </w:pPr>
      <w:r>
        <w:t>SDK-Pinning, zentrale Paketversionen und Lockfiles</w:t>
      </w:r>
    </w:p>
    <w:p>
      <w:pPr>
        <w:pStyle w:val="ListBullet"/>
      </w:pPr>
      <w:r>
        <w:t>NUnit, dotnet test und Test Explorer</w:t>
      </w:r>
    </w:p>
    <w:p>
      <w:pPr>
        <w:pStyle w:val="ListBullet"/>
      </w:pPr>
      <w:r>
        <w:t>Originalbyte-/Streammodell</w:t>
      </w:r>
    </w:p>
    <w:p>
      <w:pPr>
        <w:pStyle w:val="ListBullet"/>
      </w:pPr>
      <w:r>
        <w:t>Import-Zustandsmaschine und Recovery</w:t>
      </w:r>
    </w:p>
    <w:p>
      <w:pPr>
        <w:pStyle w:val="ListBullet"/>
      </w:pPr>
      <w:r>
        <w:t>SQLite-Migrationen und relative Pfade</w:t>
      </w:r>
    </w:p>
    <w:p>
      <w:pPr>
        <w:pStyle w:val="ListBullet"/>
      </w:pPr>
      <w:r>
        <w:t>stabile Processing-IDs</w:t>
      </w:r>
    </w:p>
    <w:p>
      <w:pPr>
        <w:pStyle w:val="ListBullet"/>
      </w:pPr>
      <w:r>
        <w:t>Clean-Machine-Build und Handbuchaktualisierung</w:t>
      </w:r>
    </w:p>
    <w:p>
      <w:pPr>
        <w:pStyle w:val="Heading1"/>
      </w:pPr>
      <w:r>
        <w:t>4. Befundregister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8"/>
          </w:tcPr>
          <w:p>
            <w:r>
              <w:rPr>
                <w:b/>
                <w:color w:val="FFFFFF"/>
              </w:rPr>
              <w:t>ID</w:t>
            </w:r>
          </w:p>
        </w:tc>
        <w:tc>
          <w:tcPr>
            <w:tcW w:type="dxa" w:w="2045"/>
            <w:shd w:fill="1F4E78"/>
          </w:tcPr>
          <w:p>
            <w:r>
              <w:rPr>
                <w:b/>
                <w:color w:val="FFFFFF"/>
              </w:rPr>
              <w:t>Priorität</w:t>
            </w:r>
          </w:p>
        </w:tc>
        <w:tc>
          <w:tcPr>
            <w:tcW w:type="dxa" w:w="2045"/>
            <w:shd w:fill="1F4E78"/>
          </w:tcPr>
          <w:p>
            <w:r>
              <w:rPr>
                <w:b/>
                <w:color w:val="FFFFFF"/>
              </w:rPr>
              <w:t>Befund</w:t>
            </w:r>
          </w:p>
        </w:tc>
        <w:tc>
          <w:tcPr>
            <w:tcW w:type="dxa" w:w="2045"/>
            <w:shd w:fill="1F4E78"/>
          </w:tcPr>
          <w:p>
            <w:r>
              <w:rPr>
                <w:b/>
                <w:color w:val="FFFFFF"/>
              </w:rPr>
              <w:t>Maßnahme</w:t>
            </w:r>
          </w:p>
        </w:tc>
        <w:tc>
          <w:tcPr>
            <w:tcW w:type="dxa" w:w="2045"/>
            <w:shd w:fill="1F4E78"/>
          </w:tcPr>
          <w:p>
            <w:r>
              <w:rPr>
                <w:b/>
                <w:color w:val="FFFFFF"/>
              </w:rPr>
              <w:t>Ziel</w:t>
            </w:r>
          </w:p>
        </w:tc>
      </w:tr>
      <w:tr>
        <w:tc>
          <w:tcPr>
            <w:tcW w:type="dxa" w:w="2045"/>
          </w:tcPr>
          <w:p>
            <w:r>
              <w:t>QR-001</w:t>
            </w:r>
          </w:p>
        </w:tc>
        <w:tc>
          <w:tcPr>
            <w:tcW w:type="dxa" w:w="2045"/>
          </w:tcPr>
          <w:p>
            <w:r>
              <w:t>kritisch</w:t>
            </w:r>
          </w:p>
        </w:tc>
        <w:tc>
          <w:tcPr>
            <w:tcW w:type="dxa" w:w="2045"/>
          </w:tcPr>
          <w:p>
            <w:r>
              <w:t>Runtime-/IDE-Widerspruch</w:t>
            </w:r>
          </w:p>
        </w:tc>
        <w:tc>
          <w:tcPr>
            <w:tcW w:type="dxa" w:w="2045"/>
          </w:tcPr>
          <w:p>
            <w:r>
              <w:t>Gestufte Strategie</w:t>
            </w:r>
          </w:p>
        </w:tc>
        <w:tc>
          <w:tcPr>
            <w:tcW w:type="dxa" w:w="2045"/>
          </w:tcPr>
          <w:p>
            <w:r>
              <w:t>0.3.1/0.5.0</w:t>
            </w:r>
          </w:p>
        </w:tc>
      </w:tr>
      <w:tr>
        <w:tc>
          <w:tcPr>
            <w:tcW w:type="dxa" w:w="2045"/>
          </w:tcPr>
          <w:p>
            <w:r>
              <w:t>QR-002</w:t>
            </w:r>
          </w:p>
        </w:tc>
        <w:tc>
          <w:tcPr>
            <w:tcW w:type="dxa" w:w="2045"/>
          </w:tcPr>
          <w:p>
            <w:r>
              <w:t>kritisch</w:t>
            </w:r>
          </w:p>
        </w:tc>
        <w:tc>
          <w:tcPr>
            <w:tcW w:type="dxa" w:w="2045"/>
          </w:tcPr>
          <w:p>
            <w:r>
              <w:t>Fingerprint noch keine Get-all-Entscheidung</w:t>
            </w:r>
          </w:p>
        </w:tc>
        <w:tc>
          <w:tcPr>
            <w:tcW w:type="dxa" w:w="2045"/>
          </w:tcPr>
          <w:p>
            <w:r>
              <w:t>Deduplizierungsindex</w:t>
            </w:r>
          </w:p>
        </w:tc>
        <w:tc>
          <w:tcPr>
            <w:tcW w:type="dxa" w:w="2045"/>
          </w:tcPr>
          <w:p>
            <w:r>
              <w:t>0.4.0</w:t>
            </w:r>
          </w:p>
        </w:tc>
      </w:tr>
      <w:tr>
        <w:tc>
          <w:tcPr>
            <w:tcW w:type="dxa" w:w="2045"/>
          </w:tcPr>
          <w:p>
            <w:r>
              <w:t>QR-003</w:t>
            </w:r>
          </w:p>
        </w:tc>
        <w:tc>
          <w:tcPr>
            <w:tcW w:type="dxa" w:w="2045"/>
          </w:tcPr>
          <w:p>
            <w:r>
              <w:t>kritisch</w:t>
            </w:r>
          </w:p>
        </w:tc>
        <w:tc>
          <w:tcPr>
            <w:tcW w:type="dxa" w:w="2045"/>
          </w:tcPr>
          <w:p>
            <w:r>
              <w:t>Hash nicht über Originalbytes</w:t>
            </w:r>
          </w:p>
        </w:tc>
        <w:tc>
          <w:tcPr>
            <w:tcW w:type="dxa" w:w="2045"/>
          </w:tcPr>
          <w:p>
            <w:r>
              <w:t>Streamverträge</w:t>
            </w:r>
          </w:p>
        </w:tc>
        <w:tc>
          <w:tcPr>
            <w:tcW w:type="dxa" w:w="2045"/>
          </w:tcPr>
          <w:p>
            <w:r>
              <w:t>0.3.1</w:t>
            </w:r>
          </w:p>
        </w:tc>
      </w:tr>
      <w:tr>
        <w:tc>
          <w:tcPr>
            <w:tcW w:type="dxa" w:w="2045"/>
          </w:tcPr>
          <w:p>
            <w:r>
              <w:t>QR-004</w:t>
            </w:r>
          </w:p>
        </w:tc>
        <w:tc>
          <w:tcPr>
            <w:tcW w:type="dxa" w:w="2045"/>
          </w:tcPr>
          <w:p>
            <w:r>
              <w:t>kritisch</w:t>
            </w:r>
          </w:p>
        </w:tc>
        <w:tc>
          <w:tcPr>
            <w:tcW w:type="dxa" w:w="2045"/>
          </w:tcPr>
          <w:p>
            <w:r>
              <w:t>Fehlerhafte Verarbeitung kann übersprungen werden</w:t>
            </w:r>
          </w:p>
        </w:tc>
        <w:tc>
          <w:tcPr>
            <w:tcW w:type="dxa" w:w="2045"/>
          </w:tcPr>
          <w:p>
            <w:r>
              <w:t>Zustandsabhängiger Retry</w:t>
            </w:r>
          </w:p>
        </w:tc>
        <w:tc>
          <w:tcPr>
            <w:tcW w:type="dxa" w:w="2045"/>
          </w:tcPr>
          <w:p>
            <w:r>
              <w:t>0.3.1/0.4.0</w:t>
            </w:r>
          </w:p>
        </w:tc>
      </w:tr>
      <w:tr>
        <w:tc>
          <w:tcPr>
            <w:tcW w:type="dxa" w:w="2045"/>
          </w:tcPr>
          <w:p>
            <w:r>
              <w:t>QR-005</w:t>
            </w:r>
          </w:p>
        </w:tc>
        <w:tc>
          <w:tcPr>
            <w:tcW w:type="dxa" w:w="2045"/>
          </w:tcPr>
          <w:p>
            <w:r>
              <w:t>kritisch</w:t>
            </w:r>
          </w:p>
        </w:tc>
        <w:tc>
          <w:tcPr>
            <w:tcW w:type="dxa" w:w="2045"/>
          </w:tcPr>
          <w:p>
            <w:r>
              <w:t>Datei/SQLite nicht absturzsicher</w:t>
            </w:r>
          </w:p>
        </w:tc>
        <w:tc>
          <w:tcPr>
            <w:tcW w:type="dxa" w:w="2045"/>
          </w:tcPr>
          <w:p>
            <w:r>
              <w:t>Staging und Recovery</w:t>
            </w:r>
          </w:p>
        </w:tc>
        <w:tc>
          <w:tcPr>
            <w:tcW w:type="dxa" w:w="2045"/>
          </w:tcPr>
          <w:p>
            <w:r>
              <w:t>0.3.1/0.4.0</w:t>
            </w:r>
          </w:p>
        </w:tc>
      </w:tr>
      <w:tr>
        <w:tc>
          <w:tcPr>
            <w:tcW w:type="dxa" w:w="2045"/>
          </w:tcPr>
          <w:p>
            <w:r>
              <w:t>QR-006</w:t>
            </w:r>
          </w:p>
        </w:tc>
        <w:tc>
          <w:tcPr>
            <w:tcW w:type="dxa" w:w="2045"/>
          </w:tcPr>
          <w:p>
            <w:r>
              <w:t>hoch</w:t>
            </w:r>
          </w:p>
        </w:tc>
        <w:tc>
          <w:tcPr>
            <w:tcW w:type="dxa" w:w="2045"/>
          </w:tcPr>
          <w:p>
            <w:r>
              <w:t>Erfolgszeitstempel trotz Teilfehlern</w:t>
            </w:r>
          </w:p>
        </w:tc>
        <w:tc>
          <w:tcPr>
            <w:tcW w:type="dxa" w:w="2045"/>
          </w:tcPr>
          <w:p>
            <w:r>
              <w:t>getrennte Fetch-Zeitstempel</w:t>
            </w:r>
          </w:p>
        </w:tc>
        <w:tc>
          <w:tcPr>
            <w:tcW w:type="dxa" w:w="2045"/>
          </w:tcPr>
          <w:p>
            <w:r>
              <w:t>0.3.1</w:t>
            </w:r>
          </w:p>
        </w:tc>
      </w:tr>
      <w:tr>
        <w:tc>
          <w:tcPr>
            <w:tcW w:type="dxa" w:w="2045"/>
          </w:tcPr>
          <w:p>
            <w:r>
              <w:t>QR-007</w:t>
            </w:r>
          </w:p>
        </w:tc>
        <w:tc>
          <w:tcPr>
            <w:tcW w:type="dxa" w:w="2045"/>
          </w:tcPr>
          <w:p>
            <w:r>
              <w:t>hoch</w:t>
            </w:r>
          </w:p>
        </w:tc>
        <w:tc>
          <w:tcPr>
            <w:tcW w:type="dxa" w:w="2045"/>
          </w:tcPr>
          <w:p>
            <w:r>
              <w:t>Cancellation als Fehler möglich</w:t>
            </w:r>
          </w:p>
        </w:tc>
        <w:tc>
          <w:tcPr>
            <w:tcW w:type="dxa" w:w="2045"/>
          </w:tcPr>
          <w:p>
            <w:r>
              <w:t>Cancelled-Status</w:t>
            </w:r>
          </w:p>
        </w:tc>
        <w:tc>
          <w:tcPr>
            <w:tcW w:type="dxa" w:w="2045"/>
          </w:tcPr>
          <w:p>
            <w:r>
              <w:t>0.3.1</w:t>
            </w:r>
          </w:p>
        </w:tc>
      </w:tr>
      <w:tr>
        <w:tc>
          <w:tcPr>
            <w:tcW w:type="dxa" w:w="2045"/>
          </w:tcPr>
          <w:p>
            <w:r>
              <w:t>QR-008</w:t>
            </w:r>
          </w:p>
        </w:tc>
        <w:tc>
          <w:tcPr>
            <w:tcW w:type="dxa" w:w="2045"/>
          </w:tcPr>
          <w:p>
            <w:r>
              <w:t>hoch</w:t>
            </w:r>
          </w:p>
        </w:tc>
        <w:tc>
          <w:tcPr>
            <w:tcW w:type="dxa" w:w="2045"/>
          </w:tcPr>
          <w:p>
            <w:r>
              <w:t>Kein Migrationssystem</w:t>
            </w:r>
          </w:p>
        </w:tc>
        <w:tc>
          <w:tcPr>
            <w:tcW w:type="dxa" w:w="2045"/>
          </w:tcPr>
          <w:p>
            <w:r>
              <w:t>Versionierte Migrationen</w:t>
            </w:r>
          </w:p>
        </w:tc>
        <w:tc>
          <w:tcPr>
            <w:tcW w:type="dxa" w:w="2045"/>
          </w:tcPr>
          <w:p>
            <w:r>
              <w:t>0.3.1</w:t>
            </w:r>
          </w:p>
        </w:tc>
      </w:tr>
      <w:tr>
        <w:tc>
          <w:tcPr>
            <w:tcW w:type="dxa" w:w="2045"/>
          </w:tcPr>
          <w:p>
            <w:r>
              <w:t>QR-009</w:t>
            </w:r>
          </w:p>
        </w:tc>
        <w:tc>
          <w:tcPr>
            <w:tcW w:type="dxa" w:w="2045"/>
          </w:tcPr>
          <w:p>
            <w:r>
              <w:t>hoch</w:t>
            </w:r>
          </w:p>
        </w:tc>
        <w:tc>
          <w:tcPr>
            <w:tcW w:type="dxa" w:w="2045"/>
          </w:tcPr>
          <w:p>
            <w:r>
              <w:t>Absolute Rohmailpfade</w:t>
            </w:r>
          </w:p>
        </w:tc>
        <w:tc>
          <w:tcPr>
            <w:tcW w:type="dxa" w:w="2045"/>
          </w:tcPr>
          <w:p>
            <w:r>
              <w:t>relative Pfade</w:t>
            </w:r>
          </w:p>
        </w:tc>
        <w:tc>
          <w:tcPr>
            <w:tcW w:type="dxa" w:w="2045"/>
          </w:tcPr>
          <w:p>
            <w:r>
              <w:t>0.3.1</w:t>
            </w:r>
          </w:p>
        </w:tc>
      </w:tr>
      <w:tr>
        <w:tc>
          <w:tcPr>
            <w:tcW w:type="dxa" w:w="2045"/>
          </w:tcPr>
          <w:p>
            <w:r>
              <w:t>QR-010</w:t>
            </w:r>
          </w:p>
        </w:tc>
        <w:tc>
          <w:tcPr>
            <w:tcW w:type="dxa" w:w="2045"/>
          </w:tcPr>
          <w:p>
            <w:r>
              <w:t>hoch</w:t>
            </w:r>
          </w:p>
        </w:tc>
        <w:tc>
          <w:tcPr>
            <w:tcW w:type="dxa" w:w="2045"/>
          </w:tcPr>
          <w:p>
            <w:r>
              <w:t>Klassenname als Processor-ID</w:t>
            </w:r>
          </w:p>
        </w:tc>
        <w:tc>
          <w:tcPr>
            <w:tcW w:type="dxa" w:w="2045"/>
          </w:tcPr>
          <w:p>
            <w:r>
              <w:t>stabile IDs/Versionen</w:t>
            </w:r>
          </w:p>
        </w:tc>
        <w:tc>
          <w:tcPr>
            <w:tcW w:type="dxa" w:w="2045"/>
          </w:tcPr>
          <w:p>
            <w:r>
              <w:t>0.3.1/0.4.0</w:t>
            </w:r>
          </w:p>
        </w:tc>
      </w:tr>
      <w:tr>
        <w:tc>
          <w:tcPr>
            <w:tcW w:type="dxa" w:w="2045"/>
          </w:tcPr>
          <w:p>
            <w:r>
              <w:t>QR-011</w:t>
            </w:r>
          </w:p>
        </w:tc>
        <w:tc>
          <w:tcPr>
            <w:tcW w:type="dxa" w:w="2045"/>
          </w:tcPr>
          <w:p>
            <w:r>
              <w:t>mittel</w:t>
            </w:r>
          </w:p>
        </w:tc>
        <w:tc>
          <w:tcPr>
            <w:tcW w:type="dxa" w:w="2045"/>
          </w:tcPr>
          <w:p>
            <w:r>
              <w:t>Comparer nach JSON-Laden</w:t>
            </w:r>
          </w:p>
        </w:tc>
        <w:tc>
          <w:tcPr>
            <w:tcW w:type="dxa" w:w="2045"/>
          </w:tcPr>
          <w:p>
            <w:r>
              <w:t>Comparer rekonstruieren</w:t>
            </w:r>
          </w:p>
        </w:tc>
        <w:tc>
          <w:tcPr>
            <w:tcW w:type="dxa" w:w="2045"/>
          </w:tcPr>
          <w:p>
            <w:r>
              <w:t>0.3.1</w:t>
            </w:r>
          </w:p>
        </w:tc>
      </w:tr>
      <w:tr>
        <w:tc>
          <w:tcPr>
            <w:tcW w:type="dxa" w:w="2045"/>
          </w:tcPr>
          <w:p>
            <w:r>
              <w:t>QR-012</w:t>
            </w:r>
          </w:p>
        </w:tc>
        <w:tc>
          <w:tcPr>
            <w:tcW w:type="dxa" w:w="2045"/>
          </w:tcPr>
          <w:p>
            <w:r>
              <w:t>hoch</w:t>
            </w:r>
          </w:p>
        </w:tc>
        <w:tc>
          <w:tcPr>
            <w:tcW w:type="dxa" w:w="2045"/>
          </w:tcPr>
          <w:p>
            <w:r>
              <w:t>Eigener Test-Runner</w:t>
            </w:r>
          </w:p>
        </w:tc>
        <w:tc>
          <w:tcPr>
            <w:tcW w:type="dxa" w:w="2045"/>
          </w:tcPr>
          <w:p>
            <w:r>
              <w:t>NUnit/dotnet test</w:t>
            </w:r>
          </w:p>
        </w:tc>
        <w:tc>
          <w:tcPr>
            <w:tcW w:type="dxa" w:w="2045"/>
          </w:tcPr>
          <w:p>
            <w:r>
              <w:t>0.3.1</w:t>
            </w:r>
          </w:p>
        </w:tc>
      </w:tr>
      <w:tr>
        <w:tc>
          <w:tcPr>
            <w:tcW w:type="dxa" w:w="2045"/>
          </w:tcPr>
          <w:p>
            <w:r>
              <w:t>QR-013</w:t>
            </w:r>
          </w:p>
        </w:tc>
        <w:tc>
          <w:tcPr>
            <w:tcW w:type="dxa" w:w="2045"/>
          </w:tcPr>
          <w:p>
            <w:r>
              <w:t>hoch</w:t>
            </w:r>
          </w:p>
        </w:tc>
        <w:tc>
          <w:tcPr>
            <w:tcW w:type="dxa" w:w="2045"/>
          </w:tcPr>
          <w:p>
            <w:r>
              <w:t>Fehlende Recovery-/Streamingtests</w:t>
            </w:r>
          </w:p>
        </w:tc>
        <w:tc>
          <w:tcPr>
            <w:tcW w:type="dxa" w:w="2045"/>
          </w:tcPr>
          <w:p>
            <w:r>
              <w:t>Testkatalog</w:t>
            </w:r>
          </w:p>
        </w:tc>
        <w:tc>
          <w:tcPr>
            <w:tcW w:type="dxa" w:w="2045"/>
          </w:tcPr>
          <w:p>
            <w:r>
              <w:t>0.3.1/0.4.0</w:t>
            </w:r>
          </w:p>
        </w:tc>
      </w:tr>
      <w:tr>
        <w:tc>
          <w:tcPr>
            <w:tcW w:type="dxa" w:w="2045"/>
          </w:tcPr>
          <w:p>
            <w:r>
              <w:t>QR-014</w:t>
            </w:r>
          </w:p>
        </w:tc>
        <w:tc>
          <w:tcPr>
            <w:tcW w:type="dxa" w:w="2045"/>
          </w:tcPr>
          <w:p>
            <w:r>
              <w:t>hoch</w:t>
            </w:r>
          </w:p>
        </w:tc>
        <w:tc>
          <w:tcPr>
            <w:tcW w:type="dxa" w:w="2045"/>
          </w:tcPr>
          <w:p>
            <w:r>
              <w:t>Build nicht reproduzierbar</w:t>
            </w:r>
          </w:p>
        </w:tc>
        <w:tc>
          <w:tcPr>
            <w:tcW w:type="dxa" w:w="2045"/>
          </w:tcPr>
          <w:p>
            <w:r>
              <w:t>SDK/Pakete/Lockfiles</w:t>
            </w:r>
          </w:p>
        </w:tc>
        <w:tc>
          <w:tcPr>
            <w:tcW w:type="dxa" w:w="2045"/>
          </w:tcPr>
          <w:p>
            <w:r>
              <w:t>0.3.1</w:t>
            </w:r>
          </w:p>
        </w:tc>
      </w:tr>
      <w:tr>
        <w:tc>
          <w:tcPr>
            <w:tcW w:type="dxa" w:w="2045"/>
          </w:tcPr>
          <w:p>
            <w:r>
              <w:t>QR-015</w:t>
            </w:r>
          </w:p>
        </w:tc>
        <w:tc>
          <w:tcPr>
            <w:tcW w:type="dxa" w:w="2045"/>
          </w:tcPr>
          <w:p>
            <w:r>
              <w:t>mittel</w:t>
            </w:r>
          </w:p>
        </w:tc>
        <w:tc>
          <w:tcPr>
            <w:tcW w:type="dxa" w:w="2045"/>
          </w:tcPr>
          <w:p>
            <w:r>
              <w:t>Produktname/Metadaten uneinheitlich</w:t>
            </w:r>
          </w:p>
        </w:tc>
        <w:tc>
          <w:tcPr>
            <w:tcW w:type="dxa" w:w="2045"/>
          </w:tcPr>
          <w:p>
            <w:r>
              <w:t>Vereinheitlichung</w:t>
            </w:r>
          </w:p>
        </w:tc>
        <w:tc>
          <w:tcPr>
            <w:tcW w:type="dxa" w:w="2045"/>
          </w:tcPr>
          <w:p>
            <w:r>
              <w:t>0.3.1</w:t>
            </w:r>
          </w:p>
        </w:tc>
      </w:tr>
      <w:tr>
        <w:tc>
          <w:tcPr>
            <w:tcW w:type="dxa" w:w="2045"/>
          </w:tcPr>
          <w:p>
            <w:r>
              <w:t>QR-016</w:t>
            </w:r>
          </w:p>
        </w:tc>
        <w:tc>
          <w:tcPr>
            <w:tcW w:type="dxa" w:w="2045"/>
          </w:tcPr>
          <w:p>
            <w:r>
              <w:t>mittel</w:t>
            </w:r>
          </w:p>
        </w:tc>
        <w:tc>
          <w:tcPr>
            <w:tcW w:type="dxa" w:w="2045"/>
          </w:tcPr>
          <w:p>
            <w:r>
              <w:t>XML-Kommentare nicht buildgesichert</w:t>
            </w:r>
          </w:p>
        </w:tc>
        <w:tc>
          <w:tcPr>
            <w:tcW w:type="dxa" w:w="2045"/>
          </w:tcPr>
          <w:p>
            <w:r>
              <w:t>CS1591 schrittweise</w:t>
            </w:r>
          </w:p>
        </w:tc>
        <w:tc>
          <w:tcPr>
            <w:tcW w:type="dxa" w:w="2045"/>
          </w:tcPr>
          <w:p>
            <w:r>
              <w:t>0.3.1/0.4.0</w:t>
            </w:r>
          </w:p>
        </w:tc>
      </w:tr>
      <w:tr>
        <w:tc>
          <w:tcPr>
            <w:tcW w:type="dxa" w:w="2045"/>
          </w:tcPr>
          <w:p>
            <w:r>
              <w:t>QR-017</w:t>
            </w:r>
          </w:p>
        </w:tc>
        <w:tc>
          <w:tcPr>
            <w:tcW w:type="dxa" w:w="2045"/>
          </w:tcPr>
          <w:p>
            <w:r>
              <w:t>mittel</w:t>
            </w:r>
          </w:p>
        </w:tc>
        <w:tc>
          <w:tcPr>
            <w:tcW w:type="dxa" w:w="2045"/>
          </w:tcPr>
          <w:p>
            <w:r>
              <w:t>Entscheidungen brauchen Spikes</w:t>
            </w:r>
          </w:p>
        </w:tc>
        <w:tc>
          <w:tcPr>
            <w:tcW w:type="dxa" w:w="2045"/>
          </w:tcPr>
          <w:p>
            <w:r>
              <w:t>Spike-Plan</w:t>
            </w:r>
          </w:p>
        </w:tc>
        <w:tc>
          <w:tcPr>
            <w:tcW w:type="dxa" w:w="2045"/>
          </w:tcPr>
          <w:p>
            <w:r>
              <w:t>fortlaufend</w:t>
            </w:r>
          </w:p>
        </w:tc>
      </w:tr>
      <w:tr>
        <w:tc>
          <w:tcPr>
            <w:tcW w:type="dxa" w:w="2045"/>
          </w:tcPr>
          <w:p>
            <w:r>
              <w:t>QR-018</w:t>
            </w:r>
          </w:p>
        </w:tc>
        <w:tc>
          <w:tcPr>
            <w:tcW w:type="dxa" w:w="2045"/>
          </w:tcPr>
          <w:p>
            <w:r>
              <w:t>hoch</w:t>
            </w:r>
          </w:p>
        </w:tc>
        <w:tc>
          <w:tcPr>
            <w:tcW w:type="dxa" w:w="2045"/>
          </w:tcPr>
          <w:p>
            <w:r>
              <w:t>V1-Umfang groß</w:t>
            </w:r>
          </w:p>
        </w:tc>
        <w:tc>
          <w:tcPr>
            <w:tcW w:type="dxa" w:w="2045"/>
          </w:tcPr>
          <w:p>
            <w:r>
              <w:t>MVP/Vollrelease trennen</w:t>
            </w:r>
          </w:p>
        </w:tc>
        <w:tc>
          <w:tcPr>
            <w:tcW w:type="dxa" w:w="2045"/>
          </w:tcPr>
          <w:p>
            <w:r>
              <w:t>Roadmap</w:t>
            </w:r>
          </w:p>
        </w:tc>
      </w:tr>
      <w:tr>
        <w:tc>
          <w:tcPr>
            <w:tcW w:type="dxa" w:w="2045"/>
          </w:tcPr>
          <w:p>
            <w:r>
              <w:t>QR-019</w:t>
            </w:r>
          </w:p>
        </w:tc>
        <w:tc>
          <w:tcPr>
            <w:tcW w:type="dxa" w:w="2045"/>
          </w:tcPr>
          <w:p>
            <w:r>
              <w:t>mittel</w:t>
            </w:r>
          </w:p>
        </w:tc>
        <w:tc>
          <w:tcPr>
            <w:tcW w:type="dxa" w:w="2045"/>
          </w:tcPr>
          <w:p>
            <w:r>
              <w:t>Pluginvorbereitung konzeptionell</w:t>
            </w:r>
          </w:p>
        </w:tc>
        <w:tc>
          <w:tcPr>
            <w:tcW w:type="dxa" w:w="2045"/>
          </w:tcPr>
          <w:p>
            <w:r>
              <w:t>ExtensionModel</w:t>
            </w:r>
          </w:p>
        </w:tc>
        <w:tc>
          <w:tcPr>
            <w:tcW w:type="dxa" w:w="2045"/>
          </w:tcPr>
          <w:p>
            <w:r>
              <w:t>0.4.0/0.8.0</w:t>
            </w:r>
          </w:p>
        </w:tc>
      </w:tr>
      <w:tr>
        <w:tc>
          <w:tcPr>
            <w:tcW w:type="dxa" w:w="2045"/>
          </w:tcPr>
          <w:p>
            <w:r>
              <w:t>QR-020</w:t>
            </w:r>
          </w:p>
        </w:tc>
        <w:tc>
          <w:tcPr>
            <w:tcW w:type="dxa" w:w="2045"/>
          </w:tcPr>
          <w:p>
            <w:r>
              <w:t>organisatorisch</w:t>
            </w:r>
          </w:p>
        </w:tc>
        <w:tc>
          <w:tcPr>
            <w:tcW w:type="dxa" w:w="2045"/>
          </w:tcPr>
          <w:p>
            <w:r>
              <w:t>Kein realer Build in Prüfungsumgebung</w:t>
            </w:r>
          </w:p>
        </w:tc>
        <w:tc>
          <w:tcPr>
            <w:tcW w:type="dxa" w:w="2045"/>
          </w:tcPr>
          <w:p>
            <w:r>
              <w:t>Clean-Machine-Build</w:t>
            </w:r>
          </w:p>
        </w:tc>
        <w:tc>
          <w:tcPr>
            <w:tcW w:type="dxa" w:w="2045"/>
          </w:tcPr>
          <w:p>
            <w:r>
              <w:t>0.3.1</w:t>
            </w:r>
          </w:p>
        </w:tc>
      </w:tr>
    </w:tbl>
    <w:p>
      <w:pPr>
        <w:pStyle w:val="Heading1"/>
      </w:pPr>
      <w:r>
        <w:t>5. Freigabeempfehlung</w:t>
      </w:r>
    </w:p>
    <w:p>
      <w:r>
        <w:t>Mit dem Codieren beginnen, aber zunächst ausschließlich mit 0.3.1. POP3 und Get all starten erst nach dessen Abnahme. Dokumentation macht die Befunde verbindlich, erklärt sie aber nicht vorzeitig als technisch behoben.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