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widowControl w:val="1"/>
      </w:pPr>
      <w:r>
        <w:rPr>
          <w:rFonts w:ascii="Aptos Display" w:hAnsi="Aptos Display"/>
          <w:b/>
          <w:color w:val="1B7F86"/>
          <w:sz w:val="44"/>
        </w:rPr>
        <w:t>SASD</w:t>
      </w:r>
    </w:p>
    <w:p>
      <w:pPr>
        <w:pStyle w:val="Title"/>
        <w:jc w:val="center"/>
        <w:widowControl w:val="1"/>
      </w:pPr>
      <w:r>
        <w:t>Mail Workbench</w:t>
      </w:r>
    </w:p>
    <w:p>
      <w:pPr>
        <w:pStyle w:val="Title"/>
        <w:jc w:val="center"/>
        <w:widowControl w:val="1"/>
      </w:pPr>
      <w:r>
        <w:t>Lastenheft Version 1.0</w:t>
      </w:r>
    </w:p>
    <w:p>
      <w:pPr>
        <w:pStyle w:val="SubtitleSASD"/>
        <w:jc w:val="center"/>
        <w:widowControl w:val="1"/>
      </w:pPr>
      <w:r>
        <w:t>POP3-zentrierter Desktop-Mailclient mit lokaler Analyse, Warnsystem und Scientific Foundation</w:t>
      </w:r>
    </w:p>
    <w:p>
      <w:pPr>
        <w:widowControl w:val="1"/>
      </w:pPr>
    </w:p>
    <w:tbl>
      <w:tblPr>
        <w:tblW w:type="auto" w:w="0"/>
        <w:jc w:val="center"/>
        <w:tblLayout w:type="fixed"/>
        <w:tblLook w:firstColumn="1" w:firstRow="1" w:lastColumn="0" w:lastRow="0" w:noHBand="0" w:noVBand="1" w:val="04A0"/>
      </w:tblPr>
      <w:tblGrid>
        <w:gridCol w:w="9354"/>
      </w:tblGrid>
      <w:tr>
        <w:tc>
          <w:tcPr>
            <w:tcW w:type="dxa" w:w="9858"/>
            <w:shd w:fill="EAF1F6"/>
            <w:tcBorders>
              <w:top w:sz="2" w:val="single" w:color="EAF1F6"/>
              <w:left w:sz="18" w:val="single" w:color="12324A"/>
              <w:bottom w:sz="2" w:val="single" w:color="EAF1F6"/>
              <w:right w:sz="2" w:val="single" w:color="EAF1F6"/>
            </w:tcBorders>
          </w:tcPr>
          <w:p>
            <w:r>
              <w:rPr>
                <w:b/>
                <w:color w:val="12324A"/>
              </w:rPr>
              <w:t>Leitgedanke</w:t>
            </w:r>
          </w:p>
          <w:p>
            <w:pPr>
              <w:pStyle w:val="BodyText"/>
            </w:pPr>
            <w:r>
              <w:t>Der SASD Mail Workbench bewahrt E-Mails als unveränderte Quelldaten, verarbeitet sie nachvollziehbar und warnt lokal sowie erklärbar vor technischen Auffälligkeiten - ohne eine nicht belegbare Sicherheitsgarantie zu geben.</w:t>
            </w:r>
          </w:p>
        </w:tc>
      </w:tr>
    </w:tbl>
    <w:p>
      <w:pPr>
        <w:spacing w:after="0"/>
        <w:widowControl w:val="1"/>
      </w:pPr>
    </w:p>
    <w:p>
      <w:pPr>
        <w:spacing w:before="1200"/>
        <w:jc w:val="center"/>
        <w:widowControl w:val="1"/>
      </w:pPr>
    </w:p>
    <w:p>
      <w:pPr>
        <w:jc w:val="center"/>
        <w:widowControl w:val="1"/>
      </w:pPr>
      <w:r>
        <w:rPr>
          <w:b/>
          <w:color w:val="12324A"/>
        </w:rPr>
        <w:t xml:space="preserve">Auftraggeber / Product Owner: </w:t>
      </w:r>
      <w:r>
        <w:t>SASD-GmbH</w:t>
      </w:r>
    </w:p>
    <w:p>
      <w:pPr>
        <w:jc w:val="center"/>
        <w:widowControl w:val="1"/>
      </w:pPr>
      <w:r>
        <w:rPr>
          <w:b/>
          <w:color w:val="12324A"/>
        </w:rPr>
        <w:t xml:space="preserve">Dokumentversion: </w:t>
      </w:r>
      <w:r>
        <w:t>1.0 - konsolidierter Entwurf</w:t>
      </w:r>
    </w:p>
    <w:p>
      <w:pPr>
        <w:jc w:val="center"/>
        <w:widowControl w:val="1"/>
      </w:pPr>
      <w:r>
        <w:rPr>
          <w:b/>
          <w:color w:val="12324A"/>
        </w:rPr>
        <w:t xml:space="preserve">Zielsoftware: </w:t>
      </w:r>
      <w:r>
        <w:t>SASD Mail Workbench 1.0.0</w:t>
      </w:r>
    </w:p>
    <w:p>
      <w:pPr>
        <w:jc w:val="center"/>
        <w:widowControl w:val="1"/>
      </w:pPr>
      <w:r>
        <w:rPr>
          <w:b/>
          <w:color w:val="12324A"/>
        </w:rPr>
        <w:t xml:space="preserve">Stand: </w:t>
      </w:r>
      <w:r>
        <w:t>12. Juli 2026</w:t>
      </w:r>
    </w:p>
    <w:p>
      <w:pPr>
        <w:jc w:val="center"/>
        <w:widowControl w:val="1"/>
      </w:pPr>
      <w:r>
        <w:rPr>
          <w:b/>
          <w:color w:val="12324A"/>
        </w:rPr>
        <w:t xml:space="preserve">Status: </w:t>
      </w:r>
      <w:r>
        <w:t>Zur fachlichen Prüfung und anschließenden Überführung in das Pflichtenheft</w:t>
      </w:r>
    </w:p>
    <w:p>
      <w:pPr>
        <w:widowControl w:val="1"/>
      </w:pPr>
      <w:r>
        <w:br w:type="page"/>
      </w:r>
    </w:p>
    <w:p>
      <w:pPr>
        <w:pStyle w:val="Heading1"/>
        <w:widowControl w:val="1"/>
      </w:pPr>
      <w:r>
        <w:t>Dokumentenlenkung</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2551"/>
            <w:shd w:fill="12324A"/>
            <w:tcBorders>
              <w:top w:sz="3" w:val="single" w:color="D9E0E5"/>
              <w:left w:sz="3" w:val="single" w:color="D9E0E5"/>
              <w:bottom w:sz="3" w:val="single" w:color="D9E0E5"/>
              <w:right w:sz="3" w:val="single" w:color="D9E0E5"/>
            </w:tcBorders>
          </w:tcPr>
          <w:p>
            <w:r>
              <w:rPr>
                <w:b/>
                <w:color w:val="FFFFFF"/>
                <w:sz w:val="18"/>
              </w:rPr>
              <w:t>Feld</w:t>
            </w:r>
          </w:p>
        </w:tc>
        <w:tc>
          <w:tcPr>
            <w:tcW w:type="dxa" w:w="6803"/>
            <w:shd w:fill="12324A"/>
            <w:tcBorders>
              <w:top w:sz="3" w:val="single" w:color="D9E0E5"/>
              <w:left w:sz="3" w:val="single" w:color="D9E0E5"/>
              <w:bottom w:sz="3" w:val="single" w:color="D9E0E5"/>
              <w:right w:sz="3" w:val="single" w:color="D9E0E5"/>
            </w:tcBorders>
          </w:tcPr>
          <w:p>
            <w:r>
              <w:rPr>
                <w:b/>
                <w:color w:val="FFFFFF"/>
                <w:sz w:val="18"/>
              </w:rPr>
              <w:t>Inhalt</w:t>
            </w:r>
          </w:p>
        </w:tc>
      </w:tr>
      <w:tr>
        <w:tc>
          <w:tcPr>
            <w:tcW w:type="dxa" w:w="2551"/>
            <w:vAlign w:val="top"/>
            <w:tcBorders>
              <w:top w:sz="3" w:val="single" w:color="D9E0E5"/>
              <w:left w:sz="3" w:val="single" w:color="D9E0E5"/>
              <w:bottom w:sz="3" w:val="single" w:color="D9E0E5"/>
              <w:right w:sz="3" w:val="single" w:color="D9E0E5"/>
            </w:tcBorders>
          </w:tcPr>
          <w:p>
            <w:pPr>
              <w:spacing w:after="20"/>
            </w:pPr>
            <w:r>
              <w:rPr>
                <w:sz w:val="17"/>
              </w:rPr>
              <w:t>Dokument</w:t>
            </w:r>
          </w:p>
        </w:tc>
        <w:tc>
          <w:tcPr>
            <w:tcW w:type="dxa" w:w="6803"/>
            <w:vAlign w:val="top"/>
            <w:tcBorders>
              <w:top w:sz="3" w:val="single" w:color="D9E0E5"/>
              <w:left w:sz="3" w:val="single" w:color="D9E0E5"/>
              <w:bottom w:sz="3" w:val="single" w:color="D9E0E5"/>
              <w:right w:sz="3" w:val="single" w:color="D9E0E5"/>
            </w:tcBorders>
          </w:tcPr>
          <w:p>
            <w:pPr>
              <w:spacing w:after="20"/>
            </w:pPr>
            <w:r>
              <w:rPr>
                <w:sz w:val="17"/>
              </w:rPr>
              <w:t>SASD Mail Workbench - Lastenheft Version 1.0</w:t>
            </w:r>
          </w:p>
        </w:tc>
      </w:tr>
      <w:tr>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Dokumentversion</w:t>
            </w:r>
          </w:p>
        </w:tc>
        <w:tc>
          <w:tcPr>
            <w:tcW w:type="dxa" w:w="6803"/>
            <w:vAlign w:val="top"/>
            <w:shd w:fill="F5F7F8"/>
            <w:tcBorders>
              <w:top w:sz="3" w:val="single" w:color="D9E0E5"/>
              <w:left w:sz="3" w:val="single" w:color="D9E0E5"/>
              <w:bottom w:sz="3" w:val="single" w:color="D9E0E5"/>
              <w:right w:sz="3" w:val="single" w:color="D9E0E5"/>
            </w:tcBorders>
          </w:tcPr>
          <w:p>
            <w:pPr>
              <w:spacing w:after="20"/>
            </w:pPr>
            <w:r>
              <w:rPr>
                <w:sz w:val="17"/>
              </w:rPr>
              <w:t>1.0</w:t>
            </w:r>
          </w:p>
        </w:tc>
      </w:tr>
      <w:tr>
        <w:tc>
          <w:tcPr>
            <w:tcW w:type="dxa" w:w="2551"/>
            <w:vAlign w:val="top"/>
            <w:tcBorders>
              <w:top w:sz="3" w:val="single" w:color="D9E0E5"/>
              <w:left w:sz="3" w:val="single" w:color="D9E0E5"/>
              <w:bottom w:sz="3" w:val="single" w:color="D9E0E5"/>
              <w:right w:sz="3" w:val="single" w:color="D9E0E5"/>
            </w:tcBorders>
          </w:tcPr>
          <w:p>
            <w:pPr>
              <w:spacing w:after="20"/>
            </w:pPr>
            <w:r>
              <w:rPr>
                <w:sz w:val="17"/>
              </w:rPr>
              <w:t>Zielrelease</w:t>
            </w:r>
          </w:p>
        </w:tc>
        <w:tc>
          <w:tcPr>
            <w:tcW w:type="dxa" w:w="6803"/>
            <w:vAlign w:val="top"/>
            <w:tcBorders>
              <w:top w:sz="3" w:val="single" w:color="D9E0E5"/>
              <w:left w:sz="3" w:val="single" w:color="D9E0E5"/>
              <w:bottom w:sz="3" w:val="single" w:color="D9E0E5"/>
              <w:right w:sz="3" w:val="single" w:color="D9E0E5"/>
            </w:tcBorders>
          </w:tcPr>
          <w:p>
            <w:pPr>
              <w:spacing w:after="20"/>
            </w:pPr>
            <w:r>
              <w:rPr>
                <w:sz w:val="17"/>
              </w:rPr>
              <w:t>1.0.0</w:t>
            </w:r>
          </w:p>
        </w:tc>
      </w:tr>
      <w:tr>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Status</w:t>
            </w:r>
          </w:p>
        </w:tc>
        <w:tc>
          <w:tcPr>
            <w:tcW w:type="dxa" w:w="6803"/>
            <w:vAlign w:val="top"/>
            <w:shd w:fill="F5F7F8"/>
            <w:tcBorders>
              <w:top w:sz="3" w:val="single" w:color="D9E0E5"/>
              <w:left w:sz="3" w:val="single" w:color="D9E0E5"/>
              <w:bottom w:sz="3" w:val="single" w:color="D9E0E5"/>
              <w:right w:sz="3" w:val="single" w:color="D9E0E5"/>
            </w:tcBorders>
          </w:tcPr>
          <w:p>
            <w:pPr>
              <w:spacing w:after="20"/>
            </w:pPr>
            <w:r>
              <w:rPr>
                <w:sz w:val="17"/>
              </w:rPr>
              <w:t>Konsolidierter Entwurf</w:t>
            </w:r>
          </w:p>
        </w:tc>
      </w:tr>
      <w:tr>
        <w:tc>
          <w:tcPr>
            <w:tcW w:type="dxa" w:w="2551"/>
            <w:vAlign w:val="top"/>
            <w:tcBorders>
              <w:top w:sz="3" w:val="single" w:color="D9E0E5"/>
              <w:left w:sz="3" w:val="single" w:color="D9E0E5"/>
              <w:bottom w:sz="3" w:val="single" w:color="D9E0E5"/>
              <w:right w:sz="3" w:val="single" w:color="D9E0E5"/>
            </w:tcBorders>
          </w:tcPr>
          <w:p>
            <w:pPr>
              <w:spacing w:after="20"/>
            </w:pPr>
            <w:r>
              <w:rPr>
                <w:sz w:val="17"/>
              </w:rPr>
              <w:t>Primäre Quelle</w:t>
            </w:r>
          </w:p>
        </w:tc>
        <w:tc>
          <w:tcPr>
            <w:tcW w:type="dxa" w:w="6803"/>
            <w:vAlign w:val="top"/>
            <w:tcBorders>
              <w:top w:sz="3" w:val="single" w:color="D9E0E5"/>
              <w:left w:sz="3" w:val="single" w:color="D9E0E5"/>
              <w:bottom w:sz="3" w:val="single" w:color="D9E0E5"/>
              <w:right w:sz="3" w:val="single" w:color="D9E0E5"/>
            </w:tcBorders>
          </w:tcPr>
          <w:p>
            <w:pPr>
              <w:spacing w:after="20"/>
            </w:pPr>
            <w:r>
              <w:rPr>
                <w:sz w:val="17"/>
              </w:rPr>
              <w:t>Zusammengeführte Projektgespräche, Architektur-Blueprint, v0.3.0-Projektstand und Markt-/Funktionskatalog</w:t>
            </w:r>
          </w:p>
        </w:tc>
      </w:tr>
      <w:tr>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Verbindlichkeit</w:t>
            </w:r>
          </w:p>
        </w:tc>
        <w:tc>
          <w:tcPr>
            <w:tcW w:type="dxa" w:w="6803"/>
            <w:vAlign w:val="top"/>
            <w:shd w:fill="F5F7F8"/>
            <w:tcBorders>
              <w:top w:sz="3" w:val="single" w:color="D9E0E5"/>
              <w:left w:sz="3" w:val="single" w:color="D9E0E5"/>
              <w:bottom w:sz="3" w:val="single" w:color="D9E0E5"/>
              <w:right w:sz="3" w:val="single" w:color="D9E0E5"/>
            </w:tcBorders>
          </w:tcPr>
          <w:p>
            <w:pPr>
              <w:spacing w:after="20"/>
            </w:pPr>
            <w:r>
              <w:rPr>
                <w:sz w:val="17"/>
              </w:rPr>
              <w:t>MUSS-Anforderungen sind für die Abnahme von Version 1.0 verbindlich; SOLL-Anforderungen werden eingeplant, können aber bei dokumentierter Begründung verschoben werden; KANN-Anforderungen sind optional.</w:t>
            </w:r>
          </w:p>
        </w:tc>
      </w:tr>
    </w:tbl>
    <w:p>
      <w:pPr>
        <w:widowControl w:val="1"/>
      </w:pPr>
    </w:p>
    <w:p>
      <w:pPr>
        <w:pStyle w:val="Heading2"/>
        <w:widowControl w:val="1"/>
      </w:pPr>
      <w:r>
        <w:t>Änderungshistorie</w:t>
      </w:r>
    </w:p>
    <w:tbl>
      <w:tblPr>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134"/>
            <w:shd w:fill="12324A"/>
            <w:tcBorders>
              <w:top w:sz="3" w:val="single" w:color="D9E0E5"/>
              <w:left w:sz="3" w:val="single" w:color="D9E0E5"/>
              <w:bottom w:sz="3" w:val="single" w:color="D9E0E5"/>
              <w:right w:sz="3" w:val="single" w:color="D9E0E5"/>
            </w:tcBorders>
          </w:tcPr>
          <w:p>
            <w:r>
              <w:rPr>
                <w:b/>
                <w:color w:val="FFFFFF"/>
                <w:sz w:val="18"/>
              </w:rPr>
              <w:t>Version</w:t>
            </w:r>
          </w:p>
        </w:tc>
        <w:tc>
          <w:tcPr>
            <w:tcW w:type="dxa" w:w="1814"/>
            <w:shd w:fill="12324A"/>
            <w:tcBorders>
              <w:top w:sz="3" w:val="single" w:color="D9E0E5"/>
              <w:left w:sz="3" w:val="single" w:color="D9E0E5"/>
              <w:bottom w:sz="3" w:val="single" w:color="D9E0E5"/>
              <w:right w:sz="3" w:val="single" w:color="D9E0E5"/>
            </w:tcBorders>
          </w:tcPr>
          <w:p>
            <w:r>
              <w:rPr>
                <w:b/>
                <w:color w:val="FFFFFF"/>
                <w:sz w:val="18"/>
              </w:rPr>
              <w:t>Datum</w:t>
            </w:r>
          </w:p>
        </w:tc>
        <w:tc>
          <w:tcPr>
            <w:tcW w:type="dxa" w:w="4819"/>
            <w:shd w:fill="12324A"/>
            <w:tcBorders>
              <w:top w:sz="3" w:val="single" w:color="D9E0E5"/>
              <w:left w:sz="3" w:val="single" w:color="D9E0E5"/>
              <w:bottom w:sz="3" w:val="single" w:color="D9E0E5"/>
              <w:right w:sz="3" w:val="single" w:color="D9E0E5"/>
            </w:tcBorders>
          </w:tcPr>
          <w:p>
            <w:r>
              <w:rPr>
                <w:b/>
                <w:color w:val="FFFFFF"/>
                <w:sz w:val="18"/>
              </w:rPr>
              <w:t>Änderung</w:t>
            </w:r>
          </w:p>
        </w:tc>
        <w:tc>
          <w:tcPr>
            <w:tcW w:type="dxa" w:w="1701"/>
            <w:shd w:fill="12324A"/>
            <w:tcBorders>
              <w:top w:sz="3" w:val="single" w:color="D9E0E5"/>
              <w:left w:sz="3" w:val="single" w:color="D9E0E5"/>
              <w:bottom w:sz="3" w:val="single" w:color="D9E0E5"/>
              <w:right w:sz="3" w:val="single" w:color="D9E0E5"/>
            </w:tcBorders>
          </w:tcPr>
          <w:p>
            <w:r>
              <w:rPr>
                <w:b/>
                <w:color w:val="FFFFFF"/>
                <w:sz w:val="18"/>
              </w:rPr>
              <w:t>Status</w:t>
            </w:r>
          </w:p>
        </w:tc>
      </w:tr>
      <w:tr>
        <w:tc>
          <w:tcPr>
            <w:tcW w:type="dxa" w:w="1134"/>
            <w:vAlign w:val="top"/>
            <w:tcBorders>
              <w:top w:sz="3" w:val="single" w:color="D9E0E5"/>
              <w:left w:sz="3" w:val="single" w:color="D9E0E5"/>
              <w:bottom w:sz="3" w:val="single" w:color="D9E0E5"/>
              <w:right w:sz="3" w:val="single" w:color="D9E0E5"/>
            </w:tcBorders>
          </w:tcPr>
          <w:p>
            <w:pPr>
              <w:spacing w:after="20"/>
            </w:pPr>
            <w:r>
              <w:rPr>
                <w:sz w:val="17"/>
              </w:rPr>
              <w:t>0.1</w:t>
            </w:r>
          </w:p>
        </w:tc>
        <w:tc>
          <w:tcPr>
            <w:tcW w:type="dxa" w:w="1814"/>
            <w:vAlign w:val="top"/>
            <w:tcBorders>
              <w:top w:sz="3" w:val="single" w:color="D9E0E5"/>
              <w:left w:sz="3" w:val="single" w:color="D9E0E5"/>
              <w:bottom w:sz="3" w:val="single" w:color="D9E0E5"/>
              <w:right w:sz="3" w:val="single" w:color="D9E0E5"/>
            </w:tcBorders>
          </w:tcPr>
          <w:p>
            <w:pPr>
              <w:spacing w:after="20"/>
            </w:pPr>
            <w:r>
              <w:rPr>
                <w:sz w:val="17"/>
              </w:rPr>
              <w:t>Frühere Projektphase</w:t>
            </w:r>
          </w:p>
        </w:tc>
        <w:tc>
          <w:tcPr>
            <w:tcW w:type="dxa" w:w="4819"/>
            <w:vAlign w:val="top"/>
            <w:tcBorders>
              <w:top w:sz="3" w:val="single" w:color="D9E0E5"/>
              <w:left w:sz="3" w:val="single" w:color="D9E0E5"/>
              <w:bottom w:sz="3" w:val="single" w:color="D9E0E5"/>
              <w:right w:sz="3" w:val="single" w:color="D9E0E5"/>
            </w:tcBorders>
          </w:tcPr>
          <w:p>
            <w:pPr>
              <w:spacing w:after="20"/>
            </w:pPr>
            <w:r>
              <w:rPr>
                <w:sz w:val="17"/>
              </w:rPr>
              <w:t>Erste Architektur- und Projektstartentwürfe</w:t>
            </w:r>
          </w:p>
        </w:tc>
        <w:tc>
          <w:tcPr>
            <w:tcW w:type="dxa" w:w="1701"/>
            <w:vAlign w:val="top"/>
            <w:tcBorders>
              <w:top w:sz="3" w:val="single" w:color="D9E0E5"/>
              <w:left w:sz="3" w:val="single" w:color="D9E0E5"/>
              <w:bottom w:sz="3" w:val="single" w:color="D9E0E5"/>
              <w:right w:sz="3" w:val="single" w:color="D9E0E5"/>
            </w:tcBorders>
          </w:tcPr>
          <w:p>
            <w:pPr>
              <w:spacing w:after="20"/>
            </w:pPr>
            <w:r>
              <w:rPr>
                <w:sz w:val="17"/>
              </w:rPr>
              <w:t>historisch</w:t>
            </w:r>
          </w:p>
        </w:tc>
      </w:tr>
      <w:tr>
        <w:tc>
          <w:tcPr>
            <w:tcW w:type="dxa" w:w="1134"/>
            <w:vAlign w:val="top"/>
            <w:shd w:fill="F5F7F8"/>
            <w:tcBorders>
              <w:top w:sz="3" w:val="single" w:color="D9E0E5"/>
              <w:left w:sz="3" w:val="single" w:color="D9E0E5"/>
              <w:bottom w:sz="3" w:val="single" w:color="D9E0E5"/>
              <w:right w:sz="3" w:val="single" w:color="D9E0E5"/>
            </w:tcBorders>
          </w:tcPr>
          <w:p>
            <w:pPr>
              <w:spacing w:after="20"/>
            </w:pPr>
            <w:r>
              <w:rPr>
                <w:sz w:val="17"/>
              </w:rPr>
              <w:t>0.3.0</w:t>
            </w:r>
          </w:p>
        </w:tc>
        <w:tc>
          <w:tcPr>
            <w:tcW w:type="dxa" w:w="1814"/>
            <w:vAlign w:val="top"/>
            <w:shd w:fill="F5F7F8"/>
            <w:tcBorders>
              <w:top w:sz="3" w:val="single" w:color="D9E0E5"/>
              <w:left w:sz="3" w:val="single" w:color="D9E0E5"/>
              <w:bottom w:sz="3" w:val="single" w:color="D9E0E5"/>
              <w:right w:sz="3" w:val="single" w:color="D9E0E5"/>
            </w:tcBorders>
          </w:tcPr>
          <w:p>
            <w:pPr>
              <w:spacing w:after="20"/>
            </w:pPr>
            <w:r>
              <w:rPr>
                <w:sz w:val="17"/>
              </w:rPr>
              <w:t>Projektstand vor diesem Lastenheft</w:t>
            </w:r>
          </w:p>
        </w:tc>
        <w:tc>
          <w:tcPr>
            <w:tcW w:type="dxa" w:w="4819"/>
            <w:vAlign w:val="top"/>
            <w:shd w:fill="F5F7F8"/>
            <w:tcBorders>
              <w:top w:sz="3" w:val="single" w:color="D9E0E5"/>
              <w:left w:sz="3" w:val="single" w:color="D9E0E5"/>
              <w:bottom w:sz="3" w:val="single" w:color="D9E0E5"/>
              <w:right w:sz="3" w:val="single" w:color="D9E0E5"/>
            </w:tcBorders>
          </w:tcPr>
          <w:p>
            <w:pPr>
              <w:spacing w:after="20"/>
            </w:pPr>
            <w:r>
              <w:rPr>
                <w:sz w:val="17"/>
              </w:rPr>
              <w:t>SQLite statt JSON, lokaler Verarbeitungskern, Testprojekt</w:t>
            </w:r>
          </w:p>
        </w:tc>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7"/>
              </w:rPr>
              <w:t>implementierter Ausgangsstand</w:t>
            </w:r>
          </w:p>
        </w:tc>
      </w:tr>
      <w:tr>
        <w:tc>
          <w:tcPr>
            <w:tcW w:type="dxa" w:w="1134"/>
            <w:vAlign w:val="top"/>
            <w:tcBorders>
              <w:top w:sz="3" w:val="single" w:color="D9E0E5"/>
              <w:left w:sz="3" w:val="single" w:color="D9E0E5"/>
              <w:bottom w:sz="3" w:val="single" w:color="D9E0E5"/>
              <w:right w:sz="3" w:val="single" w:color="D9E0E5"/>
            </w:tcBorders>
          </w:tcPr>
          <w:p>
            <w:pPr>
              <w:spacing w:after="20"/>
            </w:pPr>
            <w:r>
              <w:rPr>
                <w:sz w:val="17"/>
              </w:rPr>
              <w:t>1.0</w:t>
            </w:r>
          </w:p>
        </w:tc>
        <w:tc>
          <w:tcPr>
            <w:tcW w:type="dxa" w:w="1814"/>
            <w:vAlign w:val="top"/>
            <w:tcBorders>
              <w:top w:sz="3" w:val="single" w:color="D9E0E5"/>
              <w:left w:sz="3" w:val="single" w:color="D9E0E5"/>
              <w:bottom w:sz="3" w:val="single" w:color="D9E0E5"/>
              <w:right w:sz="3" w:val="single" w:color="D9E0E5"/>
            </w:tcBorders>
          </w:tcPr>
          <w:p>
            <w:pPr>
              <w:spacing w:after="20"/>
            </w:pPr>
            <w:r>
              <w:rPr>
                <w:sz w:val="17"/>
              </w:rPr>
              <w:t>12.07.2026</w:t>
            </w:r>
          </w:p>
        </w:tc>
        <w:tc>
          <w:tcPr>
            <w:tcW w:type="dxa" w:w="4819"/>
            <w:vAlign w:val="top"/>
            <w:tcBorders>
              <w:top w:sz="3" w:val="single" w:color="D9E0E5"/>
              <w:left w:sz="3" w:val="single" w:color="D9E0E5"/>
              <w:bottom w:sz="3" w:val="single" w:color="D9E0E5"/>
              <w:right w:sz="3" w:val="single" w:color="D9E0E5"/>
            </w:tcBorders>
          </w:tcPr>
          <w:p>
            <w:pPr>
              <w:spacing w:after="20"/>
            </w:pPr>
            <w:r>
              <w:rPr>
                <w:sz w:val="17"/>
              </w:rPr>
              <w:t>Konsolidiertes Lastenheft mit POP3-Get-all, Hash-Deduplizierung, SMTP/IMAP-Sent-Upload, WinForms, Warnsystem, Scientific Foundation und Erweiterbarkeit</w:t>
            </w:r>
          </w:p>
        </w:tc>
        <w:tc>
          <w:tcPr>
            <w:tcW w:type="dxa" w:w="1701"/>
            <w:vAlign w:val="top"/>
            <w:tcBorders>
              <w:top w:sz="3" w:val="single" w:color="D9E0E5"/>
              <w:left w:sz="3" w:val="single" w:color="D9E0E5"/>
              <w:bottom w:sz="3" w:val="single" w:color="D9E0E5"/>
              <w:right w:sz="3" w:val="single" w:color="D9E0E5"/>
            </w:tcBorders>
          </w:tcPr>
          <w:p>
            <w:pPr>
              <w:spacing w:after="20"/>
            </w:pPr>
            <w:r>
              <w:rPr>
                <w:sz w:val="17"/>
              </w:rPr>
              <w:t>Entwurf</w:t>
            </w:r>
          </w:p>
        </w:tc>
      </w:tr>
    </w:tbl>
    <w:p>
      <w:pPr>
        <w:widowControl w:val="1"/>
      </w:pPr>
    </w:p>
    <w:p>
      <w:pPr>
        <w:pStyle w:val="Heading2"/>
        <w:widowControl w:val="1"/>
      </w:pPr>
      <w:r>
        <w:t>Lesehinweise und Begriffe</w:t>
      </w:r>
    </w:p>
    <w:p>
      <w:pPr>
        <w:pStyle w:val="ListBullet"/>
        <w:widowControl w:val="1"/>
      </w:pPr>
      <w:r>
        <w:t>„Version 1“ bezeichnet in diesem Dokument das Produktrelease 1.0.0, nicht die bereits vorhandenen Dokumente mit „V1“ im Dateinamen.</w:t>
      </w:r>
    </w:p>
    <w:p>
      <w:pPr>
        <w:pStyle w:val="ListBullet"/>
        <w:widowControl w:val="1"/>
      </w:pPr>
      <w:r>
        <w:t>Das Lastenheft beschreibt das fachlich benötigte Ergebnis und die Qualitätsziele. Technische Detailentscheidungen werden anschließend im Pflichtenheft und in ADRs konkretisiert.</w:t>
      </w:r>
    </w:p>
    <w:p>
      <w:pPr>
        <w:pStyle w:val="ListBullet"/>
        <w:widowControl w:val="1"/>
      </w:pPr>
      <w:r>
        <w:t>Die Begriffe POP3, SMTP und IMAP beschreiben unterschiedliche Aufgaben: Abruf, Versand und ergänzendes Hochladen gesendeter Nachrichten.</w:t>
      </w:r>
    </w:p>
    <w:p>
      <w:pPr>
        <w:pStyle w:val="ListBullet"/>
        <w:widowControl w:val="1"/>
      </w:pPr>
      <w:r>
        <w:t>„Lokal“ bedeutet standardmäßig: ohne Übertragung von Mailinhalten oder URLs an externe Analyse- oder Cloud-Dienste.</w:t>
      </w:r>
    </w:p>
    <w:p>
      <w:pPr>
        <w:pStyle w:val="Heading1"/>
        <w:widowControl w:val="1"/>
      </w:pPr>
      <w:r>
        <w:t>Inhaltsverzeichnis</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1701"/>
            <w:shd w:fill="12324A"/>
            <w:tcBorders>
              <w:top w:sz="3" w:val="single" w:color="D9E0E5"/>
              <w:left w:sz="3" w:val="single" w:color="D9E0E5"/>
              <w:bottom w:sz="3" w:val="single" w:color="D9E0E5"/>
              <w:right w:sz="3" w:val="single" w:color="D9E0E5"/>
            </w:tcBorders>
          </w:tcPr>
          <w:p>
            <w:r>
              <w:rPr>
                <w:b/>
                <w:color w:val="FFFFFF"/>
                <w:sz w:val="17"/>
              </w:rPr>
              <w:t>Kapitel</w:t>
            </w:r>
          </w:p>
        </w:tc>
        <w:tc>
          <w:tcPr>
            <w:tcW w:type="dxa" w:w="7654"/>
            <w:shd w:fill="12324A"/>
            <w:tcBorders>
              <w:top w:sz="3" w:val="single" w:color="D9E0E5"/>
              <w:left w:sz="3" w:val="single" w:color="D9E0E5"/>
              <w:bottom w:sz="3" w:val="single" w:color="D9E0E5"/>
              <w:right w:sz="3" w:val="single" w:color="D9E0E5"/>
            </w:tcBorders>
          </w:tcPr>
          <w:p>
            <w:r>
              <w:rPr>
                <w:b/>
                <w:color w:val="FFFFFF"/>
                <w:sz w:val="17"/>
              </w:rPr>
              <w:t>Titel</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6"/>
              </w:rPr>
              <w:t>0</w:t>
            </w:r>
          </w:p>
        </w:tc>
        <w:tc>
          <w:tcPr>
            <w:tcW w:type="dxa" w:w="7654"/>
            <w:vAlign w:val="top"/>
            <w:tcBorders>
              <w:top w:sz="3" w:val="single" w:color="D9E0E5"/>
              <w:left w:sz="3" w:val="single" w:color="D9E0E5"/>
              <w:bottom w:sz="3" w:val="single" w:color="D9E0E5"/>
              <w:right w:sz="3" w:val="single" w:color="D9E0E5"/>
            </w:tcBorders>
          </w:tcPr>
          <w:p>
            <w:pPr>
              <w:spacing w:after="20"/>
            </w:pPr>
            <w:r>
              <w:rPr>
                <w:sz w:val="16"/>
              </w:rPr>
              <w:t>Management Summary</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6"/>
              </w:rPr>
              <w:t>1</w:t>
            </w:r>
          </w:p>
        </w:tc>
        <w:tc>
          <w:tcPr>
            <w:tcW w:type="dxa" w:w="7654"/>
            <w:vAlign w:val="top"/>
            <w:shd w:fill="F5F7F8"/>
            <w:tcBorders>
              <w:top w:sz="3" w:val="single" w:color="D9E0E5"/>
              <w:left w:sz="3" w:val="single" w:color="D9E0E5"/>
              <w:bottom w:sz="3" w:val="single" w:color="D9E0E5"/>
              <w:right w:sz="3" w:val="single" w:color="D9E0E5"/>
            </w:tcBorders>
          </w:tcPr>
          <w:p>
            <w:pPr>
              <w:spacing w:after="20"/>
            </w:pPr>
            <w:r>
              <w:rPr>
                <w:sz w:val="16"/>
              </w:rPr>
              <w:t>Ausgangssituation und Projektkontext</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6"/>
              </w:rPr>
              <w:t>2</w:t>
            </w:r>
          </w:p>
        </w:tc>
        <w:tc>
          <w:tcPr>
            <w:tcW w:type="dxa" w:w="7654"/>
            <w:vAlign w:val="top"/>
            <w:tcBorders>
              <w:top w:sz="3" w:val="single" w:color="D9E0E5"/>
              <w:left w:sz="3" w:val="single" w:color="D9E0E5"/>
              <w:bottom w:sz="3" w:val="single" w:color="D9E0E5"/>
              <w:right w:sz="3" w:val="single" w:color="D9E0E5"/>
            </w:tcBorders>
          </w:tcPr>
          <w:p>
            <w:pPr>
              <w:spacing w:after="20"/>
            </w:pPr>
            <w:r>
              <w:rPr>
                <w:sz w:val="16"/>
              </w:rPr>
              <w:t>Produktvision und Ziele</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6"/>
              </w:rPr>
              <w:t>3</w:t>
            </w:r>
          </w:p>
        </w:tc>
        <w:tc>
          <w:tcPr>
            <w:tcW w:type="dxa" w:w="7654"/>
            <w:vAlign w:val="top"/>
            <w:shd w:fill="F5F7F8"/>
            <w:tcBorders>
              <w:top w:sz="3" w:val="single" w:color="D9E0E5"/>
              <w:left w:sz="3" w:val="single" w:color="D9E0E5"/>
              <w:bottom w:sz="3" w:val="single" w:color="D9E0E5"/>
              <w:right w:sz="3" w:val="single" w:color="D9E0E5"/>
            </w:tcBorders>
          </w:tcPr>
          <w:p>
            <w:pPr>
              <w:spacing w:after="20"/>
            </w:pPr>
            <w:r>
              <w:rPr>
                <w:sz w:val="16"/>
              </w:rPr>
              <w:t>Stakeholder, Nutzergruppen und Nutzungskontext</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6"/>
              </w:rPr>
              <w:t>4</w:t>
            </w:r>
          </w:p>
        </w:tc>
        <w:tc>
          <w:tcPr>
            <w:tcW w:type="dxa" w:w="7654"/>
            <w:vAlign w:val="top"/>
            <w:tcBorders>
              <w:top w:sz="3" w:val="single" w:color="D9E0E5"/>
              <w:left w:sz="3" w:val="single" w:color="D9E0E5"/>
              <w:bottom w:sz="3" w:val="single" w:color="D9E0E5"/>
              <w:right w:sz="3" w:val="single" w:color="D9E0E5"/>
            </w:tcBorders>
          </w:tcPr>
          <w:p>
            <w:pPr>
              <w:spacing w:after="20"/>
            </w:pPr>
            <w:r>
              <w:rPr>
                <w:sz w:val="16"/>
              </w:rPr>
              <w:t>Systemgrenzen und fachlicher Kontext</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6"/>
              </w:rPr>
              <w:t>5</w:t>
            </w:r>
          </w:p>
        </w:tc>
        <w:tc>
          <w:tcPr>
            <w:tcW w:type="dxa" w:w="7654"/>
            <w:vAlign w:val="top"/>
            <w:shd w:fill="F5F7F8"/>
            <w:tcBorders>
              <w:top w:sz="3" w:val="single" w:color="D9E0E5"/>
              <w:left w:sz="3" w:val="single" w:color="D9E0E5"/>
              <w:bottom w:sz="3" w:val="single" w:color="D9E0E5"/>
              <w:right w:sz="3" w:val="single" w:color="D9E0E5"/>
            </w:tcBorders>
          </w:tcPr>
          <w:p>
            <w:pPr>
              <w:spacing w:after="20"/>
            </w:pPr>
            <w:r>
              <w:rPr>
                <w:sz w:val="16"/>
              </w:rPr>
              <w:t>Zentrale Nutzungsszenarien</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6"/>
              </w:rPr>
              <w:t>6</w:t>
            </w:r>
          </w:p>
        </w:tc>
        <w:tc>
          <w:tcPr>
            <w:tcW w:type="dxa" w:w="7654"/>
            <w:vAlign w:val="top"/>
            <w:tcBorders>
              <w:top w:sz="3" w:val="single" w:color="D9E0E5"/>
              <w:left w:sz="3" w:val="single" w:color="D9E0E5"/>
              <w:bottom w:sz="3" w:val="single" w:color="D9E0E5"/>
              <w:right w:sz="3" w:val="single" w:color="D9E0E5"/>
            </w:tcBorders>
          </w:tcPr>
          <w:p>
            <w:pPr>
              <w:spacing w:after="20"/>
            </w:pPr>
            <w:r>
              <w:rPr>
                <w:sz w:val="16"/>
              </w:rPr>
              <w:t>Funktionale Anforderungen</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6"/>
              </w:rPr>
              <w:t>7</w:t>
            </w:r>
          </w:p>
        </w:tc>
        <w:tc>
          <w:tcPr>
            <w:tcW w:type="dxa" w:w="7654"/>
            <w:vAlign w:val="top"/>
            <w:shd w:fill="F5F7F8"/>
            <w:tcBorders>
              <w:top w:sz="3" w:val="single" w:color="D9E0E5"/>
              <w:left w:sz="3" w:val="single" w:color="D9E0E5"/>
              <w:bottom w:sz="3" w:val="single" w:color="D9E0E5"/>
              <w:right w:sz="3" w:val="single" w:color="D9E0E5"/>
            </w:tcBorders>
          </w:tcPr>
          <w:p>
            <w:pPr>
              <w:spacing w:after="20"/>
            </w:pPr>
            <w:r>
              <w:rPr>
                <w:sz w:val="16"/>
              </w:rPr>
              <w:t>Fachkonzept des lokalen Warnsystems</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6"/>
              </w:rPr>
              <w:t>8</w:t>
            </w:r>
          </w:p>
        </w:tc>
        <w:tc>
          <w:tcPr>
            <w:tcW w:type="dxa" w:w="7654"/>
            <w:vAlign w:val="top"/>
            <w:tcBorders>
              <w:top w:sz="3" w:val="single" w:color="D9E0E5"/>
              <w:left w:sz="3" w:val="single" w:color="D9E0E5"/>
              <w:bottom w:sz="3" w:val="single" w:color="D9E0E5"/>
              <w:right w:sz="3" w:val="single" w:color="D9E0E5"/>
            </w:tcBorders>
          </w:tcPr>
          <w:p>
            <w:pPr>
              <w:spacing w:after="20"/>
            </w:pPr>
            <w:r>
              <w:rPr>
                <w:sz w:val="16"/>
              </w:rPr>
              <w:t>Nichtfunktionale Anforderungen</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6"/>
              </w:rPr>
              <w:t>9</w:t>
            </w:r>
          </w:p>
        </w:tc>
        <w:tc>
          <w:tcPr>
            <w:tcW w:type="dxa" w:w="7654"/>
            <w:vAlign w:val="top"/>
            <w:shd w:fill="F5F7F8"/>
            <w:tcBorders>
              <w:top w:sz="3" w:val="single" w:color="D9E0E5"/>
              <w:left w:sz="3" w:val="single" w:color="D9E0E5"/>
              <w:bottom w:sz="3" w:val="single" w:color="D9E0E5"/>
              <w:right w:sz="3" w:val="single" w:color="D9E0E5"/>
            </w:tcBorders>
          </w:tcPr>
          <w:p>
            <w:pPr>
              <w:spacing w:after="20"/>
            </w:pPr>
            <w:r>
              <w:rPr>
                <w:sz w:val="16"/>
              </w:rPr>
              <w:t>Daten- und Informationsanforderungen</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6"/>
              </w:rPr>
              <w:t>10</w:t>
            </w:r>
          </w:p>
        </w:tc>
        <w:tc>
          <w:tcPr>
            <w:tcW w:type="dxa" w:w="7654"/>
            <w:vAlign w:val="top"/>
            <w:tcBorders>
              <w:top w:sz="3" w:val="single" w:color="D9E0E5"/>
              <w:left w:sz="3" w:val="single" w:color="D9E0E5"/>
              <w:bottom w:sz="3" w:val="single" w:color="D9E0E5"/>
              <w:right w:sz="3" w:val="single" w:color="D9E0E5"/>
            </w:tcBorders>
          </w:tcPr>
          <w:p>
            <w:pPr>
              <w:spacing w:after="20"/>
            </w:pPr>
            <w:r>
              <w:rPr>
                <w:sz w:val="16"/>
              </w:rPr>
              <w:t>Oberflächen- und Bedienkonzept</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6"/>
              </w:rPr>
              <w:t>11</w:t>
            </w:r>
          </w:p>
        </w:tc>
        <w:tc>
          <w:tcPr>
            <w:tcW w:type="dxa" w:w="7654"/>
            <w:vAlign w:val="top"/>
            <w:shd w:fill="F5F7F8"/>
            <w:tcBorders>
              <w:top w:sz="3" w:val="single" w:color="D9E0E5"/>
              <w:left w:sz="3" w:val="single" w:color="D9E0E5"/>
              <w:bottom w:sz="3" w:val="single" w:color="D9E0E5"/>
              <w:right w:sz="3" w:val="single" w:color="D9E0E5"/>
            </w:tcBorders>
          </w:tcPr>
          <w:p>
            <w:pPr>
              <w:spacing w:after="20"/>
            </w:pPr>
            <w:r>
              <w:rPr>
                <w:sz w:val="16"/>
              </w:rPr>
              <w:t>Externe Schnittstellen und Protokolle</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6"/>
              </w:rPr>
              <w:t>12</w:t>
            </w:r>
          </w:p>
        </w:tc>
        <w:tc>
          <w:tcPr>
            <w:tcW w:type="dxa" w:w="7654"/>
            <w:vAlign w:val="top"/>
            <w:tcBorders>
              <w:top w:sz="3" w:val="single" w:color="D9E0E5"/>
              <w:left w:sz="3" w:val="single" w:color="D9E0E5"/>
              <w:bottom w:sz="3" w:val="single" w:color="D9E0E5"/>
              <w:right w:sz="3" w:val="single" w:color="D9E0E5"/>
            </w:tcBorders>
          </w:tcPr>
          <w:p>
            <w:pPr>
              <w:spacing w:after="20"/>
            </w:pPr>
            <w:r>
              <w:rPr>
                <w:sz w:val="16"/>
              </w:rPr>
              <w:t>Fehler-, Status- und Wiederanlaufkonzept</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6"/>
              </w:rPr>
              <w:t>13</w:t>
            </w:r>
          </w:p>
        </w:tc>
        <w:tc>
          <w:tcPr>
            <w:tcW w:type="dxa" w:w="7654"/>
            <w:vAlign w:val="top"/>
            <w:shd w:fill="F5F7F8"/>
            <w:tcBorders>
              <w:top w:sz="3" w:val="single" w:color="D9E0E5"/>
              <w:left w:sz="3" w:val="single" w:color="D9E0E5"/>
              <w:bottom w:sz="3" w:val="single" w:color="D9E0E5"/>
              <w:right w:sz="3" w:val="single" w:color="D9E0E5"/>
            </w:tcBorders>
          </w:tcPr>
          <w:p>
            <w:pPr>
              <w:spacing w:after="20"/>
            </w:pPr>
            <w:r>
              <w:rPr>
                <w:sz w:val="16"/>
              </w:rPr>
              <w:t>Abnahmeumfang für Version 1.0</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6"/>
              </w:rPr>
              <w:t>14</w:t>
            </w:r>
          </w:p>
        </w:tc>
        <w:tc>
          <w:tcPr>
            <w:tcW w:type="dxa" w:w="7654"/>
            <w:vAlign w:val="top"/>
            <w:tcBorders>
              <w:top w:sz="3" w:val="single" w:color="D9E0E5"/>
              <w:left w:sz="3" w:val="single" w:color="D9E0E5"/>
              <w:bottom w:sz="3" w:val="single" w:color="D9E0E5"/>
              <w:right w:sz="3" w:val="single" w:color="D9E0E5"/>
            </w:tcBorders>
          </w:tcPr>
          <w:p>
            <w:pPr>
              <w:spacing w:after="20"/>
            </w:pPr>
            <w:r>
              <w:rPr>
                <w:sz w:val="16"/>
              </w:rPr>
              <w:t>Lieferumfang und Projektdokumentation</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6"/>
              </w:rPr>
              <w:t>15</w:t>
            </w:r>
          </w:p>
        </w:tc>
        <w:tc>
          <w:tcPr>
            <w:tcW w:type="dxa" w:w="7654"/>
            <w:vAlign w:val="top"/>
            <w:shd w:fill="F5F7F8"/>
            <w:tcBorders>
              <w:top w:sz="3" w:val="single" w:color="D9E0E5"/>
              <w:left w:sz="3" w:val="single" w:color="D9E0E5"/>
              <w:bottom w:sz="3" w:val="single" w:color="D9E0E5"/>
              <w:right w:sz="3" w:val="single" w:color="D9E0E5"/>
            </w:tcBorders>
          </w:tcPr>
          <w:p>
            <w:pPr>
              <w:spacing w:after="20"/>
            </w:pPr>
            <w:r>
              <w:rPr>
                <w:sz w:val="16"/>
              </w:rPr>
              <w:t>Risiken und Gegenmaßnahmen</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6"/>
              </w:rPr>
              <w:t>16</w:t>
            </w:r>
          </w:p>
        </w:tc>
        <w:tc>
          <w:tcPr>
            <w:tcW w:type="dxa" w:w="7654"/>
            <w:vAlign w:val="top"/>
            <w:tcBorders>
              <w:top w:sz="3" w:val="single" w:color="D9E0E5"/>
              <w:left w:sz="3" w:val="single" w:color="D9E0E5"/>
              <w:bottom w:sz="3" w:val="single" w:color="D9E0E5"/>
              <w:right w:sz="3" w:val="single" w:color="D9E0E5"/>
            </w:tcBorders>
          </w:tcPr>
          <w:p>
            <w:pPr>
              <w:spacing w:after="20"/>
            </w:pPr>
            <w:r>
              <w:rPr>
                <w:sz w:val="16"/>
              </w:rPr>
              <w:t>Offene Entscheidungen für das Pflichtenheft</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6"/>
              </w:rPr>
              <w:t>17</w:t>
            </w:r>
          </w:p>
        </w:tc>
        <w:tc>
          <w:tcPr>
            <w:tcW w:type="dxa" w:w="7654"/>
            <w:vAlign w:val="top"/>
            <w:shd w:fill="F5F7F8"/>
            <w:tcBorders>
              <w:top w:sz="3" w:val="single" w:color="D9E0E5"/>
              <w:left w:sz="3" w:val="single" w:color="D9E0E5"/>
              <w:bottom w:sz="3" w:val="single" w:color="D9E0E5"/>
              <w:right w:sz="3" w:val="single" w:color="D9E0E5"/>
            </w:tcBorders>
          </w:tcPr>
          <w:p>
            <w:pPr>
              <w:spacing w:after="20"/>
            </w:pPr>
            <w:r>
              <w:rPr>
                <w:sz w:val="16"/>
              </w:rPr>
              <w:t>Roadmap nach Version 1.0</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6"/>
              </w:rPr>
              <w:t>18</w:t>
            </w:r>
          </w:p>
        </w:tc>
        <w:tc>
          <w:tcPr>
            <w:tcW w:type="dxa" w:w="7654"/>
            <w:vAlign w:val="top"/>
            <w:tcBorders>
              <w:top w:sz="3" w:val="single" w:color="D9E0E5"/>
              <w:left w:sz="3" w:val="single" w:color="D9E0E5"/>
              <w:bottom w:sz="3" w:val="single" w:color="D9E0E5"/>
              <w:right w:sz="3" w:val="single" w:color="D9E0E5"/>
            </w:tcBorders>
          </w:tcPr>
          <w:p>
            <w:pPr>
              <w:spacing w:after="20"/>
            </w:pPr>
            <w:r>
              <w:rPr>
                <w:sz w:val="16"/>
              </w:rPr>
              <w:t>Glossar</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6"/>
              </w:rPr>
              <w:t>19</w:t>
            </w:r>
          </w:p>
        </w:tc>
        <w:tc>
          <w:tcPr>
            <w:tcW w:type="dxa" w:w="7654"/>
            <w:vAlign w:val="top"/>
            <w:shd w:fill="F5F7F8"/>
            <w:tcBorders>
              <w:top w:sz="3" w:val="single" w:color="D9E0E5"/>
              <w:left w:sz="3" w:val="single" w:color="D9E0E5"/>
              <w:bottom w:sz="3" w:val="single" w:color="D9E0E5"/>
              <w:right w:sz="3" w:val="single" w:color="D9E0E5"/>
            </w:tcBorders>
          </w:tcPr>
          <w:p>
            <w:pPr>
              <w:spacing w:after="20"/>
            </w:pPr>
            <w:r>
              <w:rPr>
                <w:sz w:val="16"/>
              </w:rPr>
              <w:t>Quellen und technische Referenzen</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6"/>
              </w:rPr>
              <w:t>Anhang A</w:t>
            </w:r>
          </w:p>
        </w:tc>
        <w:tc>
          <w:tcPr>
            <w:tcW w:type="dxa" w:w="7654"/>
            <w:vAlign w:val="top"/>
            <w:tcBorders>
              <w:top w:sz="3" w:val="single" w:color="D9E0E5"/>
              <w:left w:sz="3" w:val="single" w:color="D9E0E5"/>
              <w:bottom w:sz="3" w:val="single" w:color="D9E0E5"/>
              <w:right w:sz="3" w:val="single" w:color="D9E0E5"/>
            </w:tcBorders>
          </w:tcPr>
          <w:p>
            <w:pPr>
              <w:spacing w:after="20"/>
            </w:pPr>
            <w:r>
              <w:rPr>
                <w:sz w:val="16"/>
              </w:rPr>
              <w:t>Konsolidierte Prioritätsstatistik</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6"/>
              </w:rPr>
              <w:t>Anhang B</w:t>
            </w:r>
          </w:p>
        </w:tc>
        <w:tc>
          <w:tcPr>
            <w:tcW w:type="dxa" w:w="7654"/>
            <w:vAlign w:val="top"/>
            <w:shd w:fill="F5F7F8"/>
            <w:tcBorders>
              <w:top w:sz="3" w:val="single" w:color="D9E0E5"/>
              <w:left w:sz="3" w:val="single" w:color="D9E0E5"/>
              <w:bottom w:sz="3" w:val="single" w:color="D9E0E5"/>
              <w:right w:sz="3" w:val="single" w:color="D9E0E5"/>
            </w:tcBorders>
          </w:tcPr>
          <w:p>
            <w:pPr>
              <w:spacing w:after="20"/>
            </w:pPr>
            <w:r>
              <w:rPr>
                <w:sz w:val="16"/>
              </w:rPr>
              <w:t>Rückverfolgbarkeit zu Projektzielen</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6"/>
              </w:rPr>
              <w:t>Anhang C</w:t>
            </w:r>
          </w:p>
        </w:tc>
        <w:tc>
          <w:tcPr>
            <w:tcW w:type="dxa" w:w="7654"/>
            <w:vAlign w:val="top"/>
            <w:tcBorders>
              <w:top w:sz="3" w:val="single" w:color="D9E0E5"/>
              <w:left w:sz="3" w:val="single" w:color="D9E0E5"/>
              <w:bottom w:sz="3" w:val="single" w:color="D9E0E5"/>
              <w:right w:sz="3" w:val="single" w:color="D9E0E5"/>
            </w:tcBorders>
          </w:tcPr>
          <w:p>
            <w:pPr>
              <w:spacing w:after="20"/>
            </w:pPr>
            <w:r>
              <w:rPr>
                <w:sz w:val="16"/>
              </w:rPr>
              <w:t>Empfohlene Dokumente nach Freigabe</w:t>
            </w:r>
          </w:p>
        </w:tc>
      </w:tr>
    </w:tbl>
    <w:p>
      <w:pPr>
        <w:widowControl w:val="1"/>
      </w:pPr>
    </w:p>
    <w:p>
      <w:pPr>
        <w:pStyle w:val="SmallNote"/>
        <w:widowControl w:val="1"/>
      </w:pPr>
      <w:r>
        <w:t>Hinweis: In Microsoft Word kann zusätzlich ein dynamisches Inhaltsverzeichnis aus den Überschriften erzeugt werden.</w:t>
      </w:r>
    </w:p>
    <w:p>
      <w:pPr>
        <w:widowControl w:val="1"/>
      </w:pPr>
      <w:r>
        <w:br w:type="page"/>
      </w:r>
    </w:p>
    <w:p>
      <w:pPr>
        <w:pStyle w:val="Heading1"/>
        <w:widowControl w:val="1"/>
      </w:pPr>
      <w:r>
        <w:t>0. Management Summary</w:t>
      </w:r>
    </w:p>
    <w:p>
      <w:pPr>
        <w:pStyle w:val="BodyText"/>
        <w:widowControl w:val="1"/>
      </w:pPr>
      <w:r>
        <w:t>Der SASD Mail Workbench soll als lokaler, transparenter und erweiterbarer Desktop-Mailclient für Windows entstehen. Die Anwendung richtet sich an Anwender, die E-Mails zuverlässig lokal bewahren, parallel mit anderen Clients arbeiten, technische Zusammenhänge nachvollziehen und Nachrichten automatisiert verarbeiten möchten.</w:t>
      </w:r>
    </w:p>
    <w:p>
      <w:pPr>
        <w:pStyle w:val="BodyText"/>
        <w:widowControl w:val="1"/>
      </w:pPr>
      <w:r>
        <w:t>Version 1.0 setzt bewusst auf einen POP3-zentrierten Abruf. Neben dem schnellen Abruf neuer Nachrichten erhält die Anwendung einen Befehl „Alle Mails abrufen“. Dieser lädt alle auf dem Server noch sichtbaren Nachrichten erneut, berechnet über die unveränderten Rohdaten einen SHA-256-Hash und übernimmt nur lokal noch nicht vorhandene Nachrichten. Exakte Duplikate werden automatisch verworfen, ohne vorhandene lokale Originale oder Servermails zu löschen.</w:t>
      </w:r>
    </w:p>
    <w:p>
      <w:pPr>
        <w:pStyle w:val="BodyText"/>
        <w:widowControl w:val="1"/>
      </w:pPr>
      <w:r>
        <w:t>Für ausgehende Nachrichten wird SMTP zum Versand verwendet. Die exakt versendete MIME-Nachricht wird lokal archiviert und ergänzend über IMAP APPEND in den serverseitigen Gesendet-Ordner hochgeladen. Dadurch können parallel betriebene IMAP-Clients die vom SASD Mail Workbench versendeten Nachrichten sehen.</w:t>
      </w:r>
    </w:p>
    <w:p>
      <w:pPr>
        <w:pStyle w:val="BodyText"/>
        <w:widowControl w:val="1"/>
      </w:pPr>
      <w:r>
        <w:t>Ein besonderes Merkmal von Version 1.0 ist das lokale, erklärbare Warnsystem. Es analysiert Header, Absenderidentitäten, Authentication-Results, Linktexte, tatsächliche Linkziele, internationalisierte Domains, Markenprofile, externe Ressourcen und Anhänge. Beispielsweise kann eine als Sparkasse auftretende Nachricht darauf hinweisen, dass ein Button auf eine nicht zum gepflegten Sparkassenprofil passende Domain verweist. Die Bewertung basiert nicht auf einem einzelnen Länder- oder Domainvergleich, sondern auf mehreren nachvollziehbaren Indikatoren. Das System warnt; es behauptet nicht, eine Mail abschließend als sicher oder bösartig beweisen zu können.</w:t>
      </w:r>
    </w:p>
    <w:p>
      <w:pPr>
        <w:pStyle w:val="BodyText"/>
        <w:widowControl w:val="1"/>
      </w:pPr>
      <w:r>
        <w:t>Der wissenschaftliche Charakter der SASD-GmbH wird durch unveränderte Quelldaten, Provenienz, versionierte Analyseläufe, wiederholbare Verarbeitung, technische Rohdatenansichten und exportierbare Untersuchungsberichte sichtbar. Die erste Oberfläche wird mit Windows Forms umgesetzt, während alle fachlichen und technischen Funktionen in separaten Projekten liegen. WPF oder .NET MAUI können später als zusätzliche UI-Adapter ergänzt werden.</w:t>
      </w:r>
    </w:p>
    <w:p>
      <w:pPr>
        <w:pStyle w:val="Heading2"/>
        <w:widowControl w:val="1"/>
      </w:pPr>
      <w:r>
        <w:t>0.1 Zielumfang auf einen Blick</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1871"/>
            <w:shd w:fill="12324A"/>
            <w:tcBorders>
              <w:top w:sz="3" w:val="single" w:color="D9E0E5"/>
              <w:left w:sz="3" w:val="single" w:color="D9E0E5"/>
              <w:bottom w:sz="3" w:val="single" w:color="D9E0E5"/>
              <w:right w:sz="3" w:val="single" w:color="D9E0E5"/>
            </w:tcBorders>
          </w:tcPr>
          <w:p>
            <w:r>
              <w:rPr>
                <w:b/>
                <w:color w:val="FFFFFF"/>
                <w:sz w:val="18"/>
              </w:rPr>
              <w:t>Bereich</w:t>
            </w:r>
          </w:p>
        </w:tc>
        <w:tc>
          <w:tcPr>
            <w:tcW w:type="dxa" w:w="7483"/>
            <w:shd w:fill="12324A"/>
            <w:tcBorders>
              <w:top w:sz="3" w:val="single" w:color="D9E0E5"/>
              <w:left w:sz="3" w:val="single" w:color="D9E0E5"/>
              <w:bottom w:sz="3" w:val="single" w:color="D9E0E5"/>
              <w:right w:sz="3" w:val="single" w:color="D9E0E5"/>
            </w:tcBorders>
          </w:tcPr>
          <w:p>
            <w:r>
              <w:rPr>
                <w:b/>
                <w:color w:val="FFFFFF"/>
                <w:sz w:val="18"/>
              </w:rPr>
              <w:t>Version 1.0 enthält</w:t>
            </w:r>
          </w:p>
        </w:tc>
      </w:tr>
      <w:tr>
        <w:tc>
          <w:tcPr>
            <w:tcW w:type="dxa" w:w="1871"/>
            <w:vAlign w:val="top"/>
            <w:tcBorders>
              <w:top w:sz="3" w:val="single" w:color="D9E0E5"/>
              <w:left w:sz="3" w:val="single" w:color="D9E0E5"/>
              <w:bottom w:sz="3" w:val="single" w:color="D9E0E5"/>
              <w:right w:sz="3" w:val="single" w:color="D9E0E5"/>
            </w:tcBorders>
          </w:tcPr>
          <w:p>
            <w:pPr>
              <w:spacing w:after="20"/>
            </w:pPr>
            <w:r>
              <w:rPr>
                <w:sz w:val="17"/>
              </w:rPr>
              <w:t>Abruf</w:t>
            </w:r>
          </w:p>
        </w:tc>
        <w:tc>
          <w:tcPr>
            <w:tcW w:type="dxa" w:w="7483"/>
            <w:vAlign w:val="top"/>
            <w:tcBorders>
              <w:top w:sz="3" w:val="single" w:color="D9E0E5"/>
              <w:left w:sz="3" w:val="single" w:color="D9E0E5"/>
              <w:bottom w:sz="3" w:val="single" w:color="D9E0E5"/>
              <w:right w:sz="3" w:val="single" w:color="D9E0E5"/>
            </w:tcBorders>
          </w:tcPr>
          <w:p>
            <w:pPr>
              <w:spacing w:after="20"/>
            </w:pPr>
            <w:r>
              <w:rPr>
                <w:sz w:val="17"/>
              </w:rPr>
              <w:t>POP3/TLS, „Neue Mails“, „Get all“, Fortschritt, Wiederaufnahme, Servermails standardmäßig behalten</w:t>
            </w:r>
          </w:p>
        </w:tc>
      </w:tr>
      <w:tr>
        <w:tc>
          <w:tcPr>
            <w:tcW w:type="dxa" w:w="1871"/>
            <w:vAlign w:val="top"/>
            <w:shd w:fill="F5F7F8"/>
            <w:tcBorders>
              <w:top w:sz="3" w:val="single" w:color="D9E0E5"/>
              <w:left w:sz="3" w:val="single" w:color="D9E0E5"/>
              <w:bottom w:sz="3" w:val="single" w:color="D9E0E5"/>
              <w:right w:sz="3" w:val="single" w:color="D9E0E5"/>
            </w:tcBorders>
          </w:tcPr>
          <w:p>
            <w:pPr>
              <w:spacing w:after="20"/>
            </w:pPr>
            <w:r>
              <w:rPr>
                <w:sz w:val="17"/>
              </w:rPr>
              <w:t>Duplikate</w:t>
            </w:r>
          </w:p>
        </w:tc>
        <w:tc>
          <w:tcPr>
            <w:tcW w:type="dxa" w:w="7483"/>
            <w:vAlign w:val="top"/>
            <w:shd w:fill="F5F7F8"/>
            <w:tcBorders>
              <w:top w:sz="3" w:val="single" w:color="D9E0E5"/>
              <w:left w:sz="3" w:val="single" w:color="D9E0E5"/>
              <w:bottom w:sz="3" w:val="single" w:color="D9E0E5"/>
              <w:right w:sz="3" w:val="single" w:color="D9E0E5"/>
            </w:tcBorders>
          </w:tcPr>
          <w:p>
            <w:pPr>
              <w:spacing w:after="20"/>
            </w:pPr>
            <w:r>
              <w:rPr>
                <w:sz w:val="17"/>
              </w:rPr>
              <w:t>SHA-256 über Rohmail, SQLite-Index, automatische Verwerfung temporärer Duplikate, Bestandsprüfung</w:t>
            </w:r>
          </w:p>
        </w:tc>
      </w:tr>
      <w:tr>
        <w:tc>
          <w:tcPr>
            <w:tcW w:type="dxa" w:w="1871"/>
            <w:vAlign w:val="top"/>
            <w:tcBorders>
              <w:top w:sz="3" w:val="single" w:color="D9E0E5"/>
              <w:left w:sz="3" w:val="single" w:color="D9E0E5"/>
              <w:bottom w:sz="3" w:val="single" w:color="D9E0E5"/>
              <w:right w:sz="3" w:val="single" w:color="D9E0E5"/>
            </w:tcBorders>
          </w:tcPr>
          <w:p>
            <w:pPr>
              <w:spacing w:after="20"/>
            </w:pPr>
            <w:r>
              <w:rPr>
                <w:sz w:val="17"/>
              </w:rPr>
              <w:t>Versand</w:t>
            </w:r>
          </w:p>
        </w:tc>
        <w:tc>
          <w:tcPr>
            <w:tcW w:type="dxa" w:w="7483"/>
            <w:vAlign w:val="top"/>
            <w:tcBorders>
              <w:top w:sz="3" w:val="single" w:color="D9E0E5"/>
              <w:left w:sz="3" w:val="single" w:color="D9E0E5"/>
              <w:bottom w:sz="3" w:val="single" w:color="D9E0E5"/>
              <w:right w:sz="3" w:val="single" w:color="D9E0E5"/>
            </w:tcBorders>
          </w:tcPr>
          <w:p>
            <w:pPr>
              <w:spacing w:after="20"/>
            </w:pPr>
            <w:r>
              <w:rPr>
                <w:sz w:val="17"/>
              </w:rPr>
              <w:t>SMTP/TLS, Entwürfe, Outbox, lokales Gesendet, IMAP APPEND in Serverordner „Gesendet“</w:t>
            </w:r>
          </w:p>
        </w:tc>
      </w:tr>
      <w:tr>
        <w:tc>
          <w:tcPr>
            <w:tcW w:type="dxa" w:w="1871"/>
            <w:vAlign w:val="top"/>
            <w:shd w:fill="F5F7F8"/>
            <w:tcBorders>
              <w:top w:sz="3" w:val="single" w:color="D9E0E5"/>
              <w:left w:sz="3" w:val="single" w:color="D9E0E5"/>
              <w:bottom w:sz="3" w:val="single" w:color="D9E0E5"/>
              <w:right w:sz="3" w:val="single" w:color="D9E0E5"/>
            </w:tcBorders>
          </w:tcPr>
          <w:p>
            <w:pPr>
              <w:spacing w:after="20"/>
            </w:pPr>
            <w:r>
              <w:rPr>
                <w:sz w:val="17"/>
              </w:rPr>
              <w:t>Darstellung</w:t>
            </w:r>
          </w:p>
        </w:tc>
        <w:tc>
          <w:tcPr>
            <w:tcW w:type="dxa" w:w="7483"/>
            <w:vAlign w:val="top"/>
            <w:shd w:fill="F5F7F8"/>
            <w:tcBorders>
              <w:top w:sz="3" w:val="single" w:color="D9E0E5"/>
              <w:left w:sz="3" w:val="single" w:color="D9E0E5"/>
              <w:bottom w:sz="3" w:val="single" w:color="D9E0E5"/>
              <w:right w:sz="3" w:val="single" w:color="D9E0E5"/>
            </w:tcBorders>
          </w:tcPr>
          <w:p>
            <w:pPr>
              <w:spacing w:after="20"/>
            </w:pPr>
            <w:r>
              <w:rPr>
                <w:sz w:val="17"/>
              </w:rPr>
              <w:t>Plaintext, sicheres HTML, MIME, Anhänge, Raw- und Headeransicht</w:t>
            </w:r>
          </w:p>
        </w:tc>
      </w:tr>
      <w:tr>
        <w:tc>
          <w:tcPr>
            <w:tcW w:type="dxa" w:w="1871"/>
            <w:vAlign w:val="top"/>
            <w:tcBorders>
              <w:top w:sz="3" w:val="single" w:color="D9E0E5"/>
              <w:left w:sz="3" w:val="single" w:color="D9E0E5"/>
              <w:bottom w:sz="3" w:val="single" w:color="D9E0E5"/>
              <w:right w:sz="3" w:val="single" w:color="D9E0E5"/>
            </w:tcBorders>
          </w:tcPr>
          <w:p>
            <w:pPr>
              <w:spacing w:after="20"/>
            </w:pPr>
            <w:r>
              <w:rPr>
                <w:sz w:val="17"/>
              </w:rPr>
              <w:t>Warnsystem</w:t>
            </w:r>
          </w:p>
        </w:tc>
        <w:tc>
          <w:tcPr>
            <w:tcW w:type="dxa" w:w="7483"/>
            <w:vAlign w:val="top"/>
            <w:tcBorders>
              <w:top w:sz="3" w:val="single" w:color="D9E0E5"/>
              <w:left w:sz="3" w:val="single" w:color="D9E0E5"/>
              <w:bottom w:sz="3" w:val="single" w:color="D9E0E5"/>
              <w:right w:sz="3" w:val="single" w:color="D9E0E5"/>
            </w:tcBorders>
          </w:tcPr>
          <w:p>
            <w:pPr>
              <w:spacing w:after="20"/>
            </w:pPr>
            <w:r>
              <w:rPr>
                <w:sz w:val="17"/>
              </w:rPr>
              <w:t>Absender-/Linkprüfung, Markenprofile, IDN/Punycode, Authentication-Results, Attachment-Hinweise, erklärbare Warnstufen</w:t>
            </w:r>
          </w:p>
        </w:tc>
      </w:tr>
      <w:tr>
        <w:tc>
          <w:tcPr>
            <w:tcW w:type="dxa" w:w="1871"/>
            <w:vAlign w:val="top"/>
            <w:shd w:fill="F5F7F8"/>
            <w:tcBorders>
              <w:top w:sz="3" w:val="single" w:color="D9E0E5"/>
              <w:left w:sz="3" w:val="single" w:color="D9E0E5"/>
              <w:bottom w:sz="3" w:val="single" w:color="D9E0E5"/>
              <w:right w:sz="3" w:val="single" w:color="D9E0E5"/>
            </w:tcBorders>
          </w:tcPr>
          <w:p>
            <w:pPr>
              <w:spacing w:after="20"/>
            </w:pPr>
            <w:r>
              <w:rPr>
                <w:sz w:val="17"/>
              </w:rPr>
              <w:t>Scientific</w:t>
            </w:r>
          </w:p>
        </w:tc>
        <w:tc>
          <w:tcPr>
            <w:tcW w:type="dxa" w:w="7483"/>
            <w:vAlign w:val="top"/>
            <w:shd w:fill="F5F7F8"/>
            <w:tcBorders>
              <w:top w:sz="3" w:val="single" w:color="D9E0E5"/>
              <w:left w:sz="3" w:val="single" w:color="D9E0E5"/>
              <w:bottom w:sz="3" w:val="single" w:color="D9E0E5"/>
              <w:right w:sz="3" w:val="single" w:color="D9E0E5"/>
            </w:tcBorders>
          </w:tcPr>
          <w:p>
            <w:pPr>
              <w:spacing w:after="20"/>
            </w:pPr>
            <w:r>
              <w:rPr>
                <w:sz w:val="17"/>
              </w:rPr>
              <w:t>Provenienz, Message Laboratory, versionierte Analysis Runs, MIME-Baum, Bericht/Export-Grundlage</w:t>
            </w:r>
          </w:p>
        </w:tc>
      </w:tr>
      <w:tr>
        <w:tc>
          <w:tcPr>
            <w:tcW w:type="dxa" w:w="1871"/>
            <w:vAlign w:val="top"/>
            <w:tcBorders>
              <w:top w:sz="3" w:val="single" w:color="D9E0E5"/>
              <w:left w:sz="3" w:val="single" w:color="D9E0E5"/>
              <w:bottom w:sz="3" w:val="single" w:color="D9E0E5"/>
              <w:right w:sz="3" w:val="single" w:color="D9E0E5"/>
            </w:tcBorders>
          </w:tcPr>
          <w:p>
            <w:pPr>
              <w:spacing w:after="20"/>
            </w:pPr>
            <w:r>
              <w:rPr>
                <w:sz w:val="17"/>
              </w:rPr>
              <w:t>Oberfläche</w:t>
            </w:r>
          </w:p>
        </w:tc>
        <w:tc>
          <w:tcPr>
            <w:tcW w:type="dxa" w:w="7483"/>
            <w:vAlign w:val="top"/>
            <w:tcBorders>
              <w:top w:sz="3" w:val="single" w:color="D9E0E5"/>
              <w:left w:sz="3" w:val="single" w:color="D9E0E5"/>
              <w:bottom w:sz="3" w:val="single" w:color="D9E0E5"/>
              <w:right w:sz="3" w:val="single" w:color="D9E0E5"/>
            </w:tcBorders>
          </w:tcPr>
          <w:p>
            <w:pPr>
              <w:spacing w:after="20"/>
            </w:pPr>
            <w:r>
              <w:rPr>
                <w:sz w:val="17"/>
              </w:rPr>
              <w:t>WinForms als austauschbarer UI-Adapter, Presentation Core, Workspace- und Theme-Vorbereitung</w:t>
            </w:r>
          </w:p>
        </w:tc>
      </w:tr>
      <w:tr>
        <w:tc>
          <w:tcPr>
            <w:tcW w:type="dxa" w:w="1871"/>
            <w:vAlign w:val="top"/>
            <w:shd w:fill="F5F7F8"/>
            <w:tcBorders>
              <w:top w:sz="3" w:val="single" w:color="D9E0E5"/>
              <w:left w:sz="3" w:val="single" w:color="D9E0E5"/>
              <w:bottom w:sz="3" w:val="single" w:color="D9E0E5"/>
              <w:right w:sz="3" w:val="single" w:color="D9E0E5"/>
            </w:tcBorders>
          </w:tcPr>
          <w:p>
            <w:pPr>
              <w:spacing w:after="20"/>
            </w:pPr>
            <w:r>
              <w:rPr>
                <w:sz w:val="17"/>
              </w:rPr>
              <w:t>Betrieb</w:t>
            </w:r>
          </w:p>
        </w:tc>
        <w:tc>
          <w:tcPr>
            <w:tcW w:type="dxa" w:w="7483"/>
            <w:vAlign w:val="top"/>
            <w:shd w:fill="F5F7F8"/>
            <w:tcBorders>
              <w:top w:sz="3" w:val="single" w:color="D9E0E5"/>
              <w:left w:sz="3" w:val="single" w:color="D9E0E5"/>
              <w:bottom w:sz="3" w:val="single" w:color="D9E0E5"/>
              <w:right w:sz="3" w:val="single" w:color="D9E0E5"/>
            </w:tcBorders>
          </w:tcPr>
          <w:p>
            <w:pPr>
              <w:spacing w:after="20"/>
            </w:pPr>
            <w:r>
              <w:rPr>
                <w:sz w:val="17"/>
              </w:rPr>
              <w:t>SQLite, Raw-Mail-Dateispeicher, Secret Store, Backup/Restore, EML-Import/-Export, strukturierte Logs</w:t>
            </w:r>
          </w:p>
        </w:tc>
      </w:tr>
    </w:tbl>
    <w:p>
      <w:pPr>
        <w:widowControl w:val="1"/>
      </w:pPr>
    </w:p>
    <w:p>
      <w:pPr>
        <w:jc w:val="center"/>
        <w:widowControl w:val="1"/>
      </w:pPr>
      <w:r>
        <w:drawing>
          <wp:inline xmlns:a="http://schemas.openxmlformats.org/drawingml/2006/main" xmlns:pic="http://schemas.openxmlformats.org/drawingml/2006/picture">
            <wp:extent cx="5940000" cy="3489485"/>
            <wp:docPr id="1" name="Picture 1" descr="Zielarchitektur des SASD Mail Workbench mit austauschbarer WinForms-Oberfläche, Presentation Core, Application, Domain, Mail Engine, Analysis Engine, Persistence, Security, Extension Model und Scientific Foundation." title="Zielarchitektur des SASD Mail Workbench mit austauschbarer WinForms-Oberfläche, Presentation Core, Application, Domain, Mail Engine, Analysis Engine, Persistence, Security, Extension Model und Scientific Foundation."/>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0000" cy="3489485"/>
                    </a:xfrm>
                    <a:prstGeom prst="rect"/>
                  </pic:spPr>
                </pic:pic>
              </a:graphicData>
            </a:graphic>
          </wp:inline>
        </w:drawing>
      </w:r>
    </w:p>
    <w:p>
      <w:pPr>
        <w:pStyle w:val="SmallNote"/>
        <w:jc w:val="center"/>
        <w:widowControl w:val="1"/>
      </w:pPr>
      <w:r>
        <w:t>Abbildung 1: Zielarchitektur und austauschbare Oberflächenschicht.</w:t>
      </w:r>
    </w:p>
    <w:p>
      <w:pPr>
        <w:pStyle w:val="Heading1"/>
        <w:widowControl w:val="1"/>
      </w:pPr>
      <w:r>
        <w:t>1. Ausgangssituation und Projektkontext</w:t>
      </w:r>
    </w:p>
    <w:p>
      <w:pPr>
        <w:pStyle w:val="BodyText"/>
        <w:widowControl w:val="1"/>
      </w:pPr>
      <w:r>
        <w:t>Die SASD-GmbH benötigt einen eigenen Mailclient, der Nachrichten von GMX, IONOS und weiteren standardkonformen Mailhostern sicher verarbeitet. Der bestehende technische Projektstand 0.3.0 besitzt bereits einen in Domain, Application und Infrastructure getrennten Kern, einen Dateispeicher für Rohmails, SQLite-Metadaten, einen einfachen Parser, erste Prozessoren sowie ein separates Testprojekt. Ein produktiver Mailzugriff und eine grafische Oberfläche sind noch nicht Bestandteil dieses Ausgangsstands.</w:t>
      </w:r>
    </w:p>
    <w:p>
      <w:pPr>
        <w:pStyle w:val="BodyText"/>
        <w:widowControl w:val="1"/>
      </w:pPr>
      <w:r>
        <w:t>Parallel geführte Planungen haben den ursprünglichen Mailclient zu einer „SASD Mail Workbench“ erweitert. Neben klassischem Lesen und Schreiben soll die Anwendung Nachrichten als technische und wissenschaftlich auswertbare Quelldaten behandeln. Dazu gehören unter anderem Headeranalyse, MIME-Visualisierung, Hashwerte, Provenienz, nachvollziehbare Analyseergebnisse, lokale Warnindikatoren und später ausbaubare Datensatz- und Berichtsfunktionen.</w:t>
      </w:r>
    </w:p>
    <w:p>
      <w:pPr>
        <w:pStyle w:val="Heading2"/>
        <w:widowControl w:val="1"/>
      </w:pPr>
      <w:r>
        <w:t>1.1 Problemstellung</w:t>
      </w:r>
    </w:p>
    <w:p>
      <w:pPr>
        <w:pStyle w:val="ListBullet"/>
        <w:widowControl w:val="1"/>
      </w:pPr>
      <w:r>
        <w:t>Bei parallelem Einsatz mehrerer POP3-Clients werden nicht immer alle Nachrichten von jedem Client lokal erfasst.</w:t>
      </w:r>
    </w:p>
    <w:p>
      <w:pPr>
        <w:pStyle w:val="ListBullet"/>
        <w:widowControl w:val="1"/>
      </w:pPr>
      <w:r>
        <w:t>Manuelle Duplikatsuche ist fehleranfällig und bei großen Beständen zeitaufwendig.</w:t>
      </w:r>
    </w:p>
    <w:p>
      <w:pPr>
        <w:pStyle w:val="ListBullet"/>
        <w:widowControl w:val="1"/>
      </w:pPr>
      <w:r>
        <w:t>Gesendete Nachrichten eines lokalen Clients fehlen anderen Clients häufig im serverseitigen Gesendet-Ordner.</w:t>
      </w:r>
    </w:p>
    <w:p>
      <w:pPr>
        <w:pStyle w:val="ListBullet"/>
        <w:widowControl w:val="1"/>
      </w:pPr>
      <w:r>
        <w:t>Normale Mailclients zeigen technische Auffälligkeiten, Linkziele und Authentifizierungsergebnisse oft nur unzureichend oder nicht nachvollziehbar an.</w:t>
      </w:r>
    </w:p>
    <w:p>
      <w:pPr>
        <w:pStyle w:val="ListBullet"/>
        <w:widowControl w:val="1"/>
      </w:pPr>
      <w:r>
        <w:t>Plugins oder nachträgliche Erweiterungen führen bei monolithischer Architektur schnell zu hohen Umbaukosten.</w:t>
      </w:r>
    </w:p>
    <w:p>
      <w:pPr>
        <w:pStyle w:val="ListBullet"/>
        <w:widowControl w:val="1"/>
      </w:pPr>
      <w:r>
        <w:t>Eine frühe GUI-Entscheidung darf den fachlichen Kern nicht dauerhaft an WinForms binden.</w:t>
      </w:r>
    </w:p>
    <w:p>
      <w:pPr>
        <w:pStyle w:val="Heading2"/>
        <w:widowControl w:val="1"/>
      </w:pPr>
      <w:r>
        <w:t>1.2 Chancen</w:t>
      </w:r>
    </w:p>
    <w:p>
      <w:pPr>
        <w:pStyle w:val="ListBullet"/>
        <w:widowControl w:val="1"/>
      </w:pPr>
      <w:r>
        <w:t>Vollständigkeitsprüfung des lokalen Mailarchivs durch „Get all“.</w:t>
      </w:r>
    </w:p>
    <w:p>
      <w:pPr>
        <w:pStyle w:val="ListBullet"/>
        <w:widowControl w:val="1"/>
      </w:pPr>
      <w:r>
        <w:t>Automatische Vermeidung exakter Duplikate bereits beim Import.</w:t>
      </w:r>
    </w:p>
    <w:p>
      <w:pPr>
        <w:pStyle w:val="ListBullet"/>
        <w:widowControl w:val="1"/>
      </w:pPr>
      <w:r>
        <w:t>Lokale, datenschutzfreundliche Sicherheits- und Phishinghinweise.</w:t>
      </w:r>
    </w:p>
    <w:p>
      <w:pPr>
        <w:pStyle w:val="ListBullet"/>
        <w:widowControl w:val="1"/>
      </w:pPr>
      <w:r>
        <w:t>Scientific Foundation als sichtbares Alleinstellungsmerkmal.</w:t>
      </w:r>
    </w:p>
    <w:p>
      <w:pPr>
        <w:pStyle w:val="ListBullet"/>
        <w:widowControl w:val="1"/>
      </w:pPr>
      <w:r>
        <w:t>Schrittweise Integration in das SASD-Ökosystem, etwa TaskHost, LogSink und SASD Notes.</w:t>
      </w:r>
    </w:p>
    <w:p>
      <w:pPr>
        <w:pStyle w:val="ListBullet"/>
        <w:widowControl w:val="1"/>
      </w:pPr>
      <w:r>
        <w:t>Spätere Erweiterung durch Analyzer-, Processor- und Exportmodule.</w:t>
      </w:r>
    </w:p>
    <w:p>
      <w:pPr>
        <w:pStyle w:val="Heading1"/>
        <w:widowControl w:val="1"/>
      </w:pPr>
      <w:r>
        <w:t>2. Produktvision und Ziele</w:t>
      </w:r>
    </w:p>
    <w:tbl>
      <w:tblPr>
        <w:tblW w:type="auto" w:w="0"/>
        <w:jc w:val="center"/>
        <w:tblLayout w:type="fixed"/>
        <w:tblLook w:firstColumn="1" w:firstRow="1" w:lastColumn="0" w:lastRow="0" w:noHBand="0" w:noVBand="1" w:val="04A0"/>
      </w:tblPr>
      <w:tblGrid>
        <w:gridCol w:w="9354"/>
      </w:tblGrid>
      <w:tr>
        <w:tc>
          <w:tcPr>
            <w:tcW w:type="dxa" w:w="9858"/>
            <w:shd w:fill="E7F3F3"/>
            <w:tcBorders>
              <w:top w:sz="2" w:val="single" w:color="E7F3F3"/>
              <w:left w:sz="18" w:val="single" w:color="1B7F86"/>
              <w:bottom w:sz="2" w:val="single" w:color="E7F3F3"/>
              <w:right w:sz="2" w:val="single" w:color="E7F3F3"/>
            </w:tcBorders>
          </w:tcPr>
          <w:p>
            <w:r>
              <w:rPr>
                <w:b/>
                <w:color w:val="1B7F86"/>
              </w:rPr>
              <w:t>Produktversprechen</w:t>
            </w:r>
          </w:p>
          <w:p>
            <w:pPr>
              <w:pStyle w:val="BodyText"/>
            </w:pPr>
            <w:r>
              <w:t>SASD Mail Workbench bewahrt E-Mails als unveränderte Quelldaten, macht Abruf und Verarbeitung nachvollziehbar, warnt lokal und erklärbar vor Auffälligkeiten und bleibt technisch offen für neue Analyse- und Verarbeitungsmodule.</w:t>
            </w:r>
          </w:p>
        </w:tc>
      </w:tr>
    </w:tbl>
    <w:p>
      <w:pPr>
        <w:spacing w:after="0"/>
        <w:widowControl w:val="1"/>
      </w:pPr>
    </w:p>
    <w:p>
      <w:pPr>
        <w:pStyle w:val="Heading2"/>
        <w:widowControl w:val="1"/>
      </w:pPr>
      <w:r>
        <w:t>2.1 Primäre Ziele</w:t>
      </w:r>
    </w:p>
    <w:p>
      <w:pPr>
        <w:pStyle w:val="BodyText"/>
        <w:spacing w:after="60"/>
        <w:ind w:left="397" w:hanging="397"/>
        <w:widowControl w:val="1"/>
      </w:pPr>
      <w:r>
        <w:rPr>
          <w:b/>
          <w:color w:val="1B7F86"/>
        </w:rPr>
        <w:t xml:space="preserve">1. </w:t>
      </w:r>
      <w:r>
        <w:t>E-Mails von POP3-Servern zuverlässig und verschlüsselt lokal abrufen.</w:t>
      </w:r>
    </w:p>
    <w:p>
      <w:pPr>
        <w:pStyle w:val="BodyText"/>
        <w:spacing w:after="60"/>
        <w:ind w:left="397" w:hanging="397"/>
        <w:widowControl w:val="1"/>
      </w:pPr>
      <w:r>
        <w:rPr>
          <w:b/>
          <w:color w:val="1B7F86"/>
        </w:rPr>
        <w:t xml:space="preserve">2. </w:t>
      </w:r>
      <w:r>
        <w:t>Mit „Get all“ den gesamten noch verfügbaren Serverbestand prüfen und fehlende Mails ergänzen.</w:t>
      </w:r>
    </w:p>
    <w:p>
      <w:pPr>
        <w:pStyle w:val="BodyText"/>
        <w:spacing w:after="60"/>
        <w:ind w:left="397" w:hanging="397"/>
        <w:widowControl w:val="1"/>
      </w:pPr>
      <w:r>
        <w:rPr>
          <w:b/>
          <w:color w:val="1B7F86"/>
        </w:rPr>
        <w:t xml:space="preserve">3. </w:t>
      </w:r>
      <w:r>
        <w:t>Exakte Duplikate automatisch und ohne Verlust eines kanonischen Originals vermeiden.</w:t>
      </w:r>
    </w:p>
    <w:p>
      <w:pPr>
        <w:pStyle w:val="BodyText"/>
        <w:spacing w:after="60"/>
        <w:ind w:left="397" w:hanging="397"/>
        <w:widowControl w:val="1"/>
      </w:pPr>
      <w:r>
        <w:rPr>
          <w:b/>
          <w:color w:val="1B7F86"/>
        </w:rPr>
        <w:t xml:space="preserve">4. </w:t>
      </w:r>
      <w:r>
        <w:t>Nachrichten lokal lesen, organisieren, suchen, verfassen und versenden.</w:t>
      </w:r>
    </w:p>
    <w:p>
      <w:pPr>
        <w:pStyle w:val="BodyText"/>
        <w:spacing w:after="60"/>
        <w:ind w:left="397" w:hanging="397"/>
        <w:widowControl w:val="1"/>
      </w:pPr>
      <w:r>
        <w:rPr>
          <w:b/>
          <w:color w:val="1B7F86"/>
        </w:rPr>
        <w:t xml:space="preserve">5. </w:t>
      </w:r>
      <w:r>
        <w:t>Gesendete Nachrichten zusätzlich auf den IMAP-Server hochladen.</w:t>
      </w:r>
    </w:p>
    <w:p>
      <w:pPr>
        <w:pStyle w:val="BodyText"/>
        <w:spacing w:after="60"/>
        <w:ind w:left="397" w:hanging="397"/>
        <w:widowControl w:val="1"/>
      </w:pPr>
      <w:r>
        <w:rPr>
          <w:b/>
          <w:color w:val="1B7F86"/>
        </w:rPr>
        <w:t xml:space="preserve">6. </w:t>
      </w:r>
      <w:r>
        <w:t>Technische und inhaltliche Auffälligkeiten lokal analysieren und verständlich erklären.</w:t>
      </w:r>
    </w:p>
    <w:p>
      <w:pPr>
        <w:pStyle w:val="BodyText"/>
        <w:spacing w:after="60"/>
        <w:ind w:left="397" w:hanging="397"/>
        <w:widowControl w:val="1"/>
      </w:pPr>
      <w:r>
        <w:rPr>
          <w:b/>
          <w:color w:val="1B7F86"/>
        </w:rPr>
        <w:t xml:space="preserve">7. </w:t>
      </w:r>
      <w:r>
        <w:t>Rohdaten, Provenienz und Analysehistorie für reproduzierbare Untersuchungen erhalten.</w:t>
      </w:r>
    </w:p>
    <w:p>
      <w:pPr>
        <w:pStyle w:val="BodyText"/>
        <w:spacing w:after="60"/>
        <w:ind w:left="397" w:hanging="397"/>
        <w:widowControl w:val="1"/>
      </w:pPr>
      <w:r>
        <w:rPr>
          <w:b/>
          <w:color w:val="1B7F86"/>
        </w:rPr>
        <w:t xml:space="preserve">8. </w:t>
      </w:r>
      <w:r>
        <w:t>WinForms als erste austauschbare Oberfläche verwenden.</w:t>
      </w:r>
    </w:p>
    <w:p>
      <w:pPr>
        <w:pStyle w:val="BodyText"/>
        <w:spacing w:after="60"/>
        <w:ind w:left="397" w:hanging="397"/>
        <w:widowControl w:val="1"/>
      </w:pPr>
      <w:r>
        <w:rPr>
          <w:b/>
          <w:color w:val="1B7F86"/>
        </w:rPr>
        <w:t xml:space="preserve">9. </w:t>
      </w:r>
      <w:r>
        <w:t>Erweiterungspunkte vorbereiten, ohne bereits ein unsicheres offenes DLL-Plugin-System einzuführen.</w:t>
      </w:r>
    </w:p>
    <w:p>
      <w:pPr>
        <w:pStyle w:val="BodyText"/>
        <w:spacing w:after="60"/>
        <w:ind w:left="397" w:hanging="397"/>
        <w:widowControl w:val="1"/>
      </w:pPr>
      <w:r>
        <w:rPr>
          <w:b/>
          <w:color w:val="1B7F86"/>
        </w:rPr>
        <w:t xml:space="preserve">10. </w:t>
      </w:r>
      <w:r>
        <w:t>Betrieb, Backup, Diagnose und Tests so dokumentieren, dass das Projekt auch später nachvollziehbar bleibt.</w:t>
      </w:r>
    </w:p>
    <w:p>
      <w:pPr>
        <w:pStyle w:val="Heading2"/>
        <w:widowControl w:val="1"/>
      </w:pPr>
      <w:r>
        <w:t>2.2 Nichtziele von Version 1.0</w:t>
      </w:r>
    </w:p>
    <w:p>
      <w:pPr>
        <w:pStyle w:val="ListBullet"/>
        <w:widowControl w:val="1"/>
      </w:pPr>
      <w:r>
        <w:t>Vollständige IMAP-Ordner- und Mehrgeräte-Synchronisation eingehender Nachrichten.</w:t>
      </w:r>
    </w:p>
    <w:p>
      <w:pPr>
        <w:pStyle w:val="ListBullet"/>
        <w:widowControl w:val="1"/>
      </w:pPr>
      <w:r>
        <w:t>Exchange-, Microsoft-Graph-, Gmail-API- oder JMAP-spezifische Groupware-Unterstützung.</w:t>
      </w:r>
    </w:p>
    <w:p>
      <w:pPr>
        <w:pStyle w:val="ListBullet"/>
        <w:widowControl w:val="1"/>
      </w:pPr>
      <w:r>
        <w:t>Kalender, Aufgaben, Kontakte-Synchronisation und Besprechungsplanung.</w:t>
      </w:r>
    </w:p>
    <w:p>
      <w:pPr>
        <w:pStyle w:val="ListBullet"/>
        <w:widowControl w:val="1"/>
      </w:pPr>
      <w:r>
        <w:t>Offener Marktplatz oder dynamisches Laden beliebiger Drittanbieter-Plugins.</w:t>
      </w:r>
    </w:p>
    <w:p>
      <w:pPr>
        <w:pStyle w:val="ListBullet"/>
        <w:widowControl w:val="1"/>
      </w:pPr>
      <w:r>
        <w:t>Cloudbasierte KI-Analyse des kompletten Postfachs.</w:t>
      </w:r>
    </w:p>
    <w:p>
      <w:pPr>
        <w:pStyle w:val="ListBullet"/>
        <w:widowControl w:val="1"/>
      </w:pPr>
      <w:r>
        <w:t>Automatische Malwareanalyse durch Ausführen oder Hochladen von Anhängen.</w:t>
      </w:r>
    </w:p>
    <w:p>
      <w:pPr>
        <w:pStyle w:val="ListBullet"/>
        <w:widowControl w:val="1"/>
      </w:pPr>
      <w:r>
        <w:t>Garantie, dass eine Nachricht sicher, echt oder frei von Angriffen ist.</w:t>
      </w:r>
    </w:p>
    <w:p>
      <w:pPr>
        <w:pStyle w:val="ListBullet"/>
        <w:widowControl w:val="1"/>
      </w:pPr>
      <w:r>
        <w:t>Vollständiger Ersatz für serverseitige Spam-, Viren- oder Phishingfilter.</w:t>
      </w:r>
    </w:p>
    <w:p>
      <w:pPr>
        <w:pStyle w:val="Heading1"/>
        <w:widowControl w:val="1"/>
      </w:pPr>
      <w:r>
        <w:t>3. Stakeholder, Nutzergruppen und Nutzungskontext</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68"/>
            <w:shd w:fill="12324A"/>
            <w:tcBorders>
              <w:top w:sz="3" w:val="single" w:color="D9E0E5"/>
              <w:left w:sz="3" w:val="single" w:color="D9E0E5"/>
              <w:bottom w:sz="3" w:val="single" w:color="D9E0E5"/>
              <w:right w:sz="3" w:val="single" w:color="D9E0E5"/>
            </w:tcBorders>
          </w:tcPr>
          <w:p>
            <w:r>
              <w:rPr>
                <w:b/>
                <w:color w:val="FFFFFF"/>
                <w:sz w:val="18"/>
              </w:rPr>
              <w:t>Rolle</w:t>
            </w:r>
          </w:p>
        </w:tc>
        <w:tc>
          <w:tcPr>
            <w:tcW w:type="dxa" w:w="2835"/>
            <w:shd w:fill="12324A"/>
            <w:tcBorders>
              <w:top w:sz="3" w:val="single" w:color="D9E0E5"/>
              <w:left w:sz="3" w:val="single" w:color="D9E0E5"/>
              <w:bottom w:sz="3" w:val="single" w:color="D9E0E5"/>
              <w:right w:sz="3" w:val="single" w:color="D9E0E5"/>
            </w:tcBorders>
          </w:tcPr>
          <w:p>
            <w:r>
              <w:rPr>
                <w:b/>
                <w:color w:val="FFFFFF"/>
                <w:sz w:val="18"/>
              </w:rPr>
              <w:t>Interesse</w:t>
            </w:r>
          </w:p>
        </w:tc>
        <w:tc>
          <w:tcPr>
            <w:tcW w:type="dxa" w:w="4252"/>
            <w:shd w:fill="12324A"/>
            <w:tcBorders>
              <w:top w:sz="3" w:val="single" w:color="D9E0E5"/>
              <w:left w:sz="3" w:val="single" w:color="D9E0E5"/>
              <w:bottom w:sz="3" w:val="single" w:color="D9E0E5"/>
              <w:right w:sz="3" w:val="single" w:color="D9E0E5"/>
            </w:tcBorders>
          </w:tcPr>
          <w:p>
            <w:r>
              <w:rPr>
                <w:b/>
                <w:color w:val="FFFFFF"/>
                <w:sz w:val="18"/>
              </w:rPr>
              <w:t>Typische Aufgaben</w:t>
            </w:r>
          </w:p>
        </w:tc>
      </w:tr>
      <w:tr>
        <w:tc>
          <w:tcPr>
            <w:tcW w:type="dxa" w:w="2268"/>
            <w:vAlign w:val="top"/>
            <w:tcBorders>
              <w:top w:sz="3" w:val="single" w:color="D9E0E5"/>
              <w:left w:sz="3" w:val="single" w:color="D9E0E5"/>
              <w:bottom w:sz="3" w:val="single" w:color="D9E0E5"/>
              <w:right w:sz="3" w:val="single" w:color="D9E0E5"/>
            </w:tcBorders>
          </w:tcPr>
          <w:p>
            <w:pPr>
              <w:spacing w:after="20"/>
            </w:pPr>
            <w:r>
              <w:rPr>
                <w:sz w:val="17"/>
              </w:rPr>
              <w:t>Normaler Anwender</w:t>
            </w:r>
          </w:p>
        </w:tc>
        <w:tc>
          <w:tcPr>
            <w:tcW w:type="dxa" w:w="2835"/>
            <w:vAlign w:val="top"/>
            <w:tcBorders>
              <w:top w:sz="3" w:val="single" w:color="D9E0E5"/>
              <w:left w:sz="3" w:val="single" w:color="D9E0E5"/>
              <w:bottom w:sz="3" w:val="single" w:color="D9E0E5"/>
              <w:right w:sz="3" w:val="single" w:color="D9E0E5"/>
            </w:tcBorders>
          </w:tcPr>
          <w:p>
            <w:pPr>
              <w:spacing w:after="20"/>
            </w:pPr>
            <w:r>
              <w:rPr>
                <w:sz w:val="17"/>
              </w:rPr>
              <w:t>Zuverlässiges Lesen und Schreiben</w:t>
            </w:r>
          </w:p>
        </w:tc>
        <w:tc>
          <w:tcPr>
            <w:tcW w:type="dxa" w:w="4252"/>
            <w:vAlign w:val="top"/>
            <w:tcBorders>
              <w:top w:sz="3" w:val="single" w:color="D9E0E5"/>
              <w:left w:sz="3" w:val="single" w:color="D9E0E5"/>
              <w:bottom w:sz="3" w:val="single" w:color="D9E0E5"/>
              <w:right w:sz="3" w:val="single" w:color="D9E0E5"/>
            </w:tcBorders>
          </w:tcPr>
          <w:p>
            <w:pPr>
              <w:spacing w:after="20"/>
            </w:pPr>
            <w:r>
              <w:rPr>
                <w:sz w:val="17"/>
              </w:rPr>
              <w:t>Abrufen, Suchen, Antworten, Anhänge, Warnungen verstehen</w:t>
            </w:r>
          </w:p>
        </w:tc>
      </w:tr>
      <w:tr>
        <w:tc>
          <w:tcPr>
            <w:tcW w:type="dxa" w:w="2268"/>
            <w:vAlign w:val="top"/>
            <w:shd w:fill="F5F7F8"/>
            <w:tcBorders>
              <w:top w:sz="3" w:val="single" w:color="D9E0E5"/>
              <w:left w:sz="3" w:val="single" w:color="D9E0E5"/>
              <w:bottom w:sz="3" w:val="single" w:color="D9E0E5"/>
              <w:right w:sz="3" w:val="single" w:color="D9E0E5"/>
            </w:tcBorders>
          </w:tcPr>
          <w:p>
            <w:pPr>
              <w:spacing w:after="20"/>
            </w:pPr>
            <w:r>
              <w:rPr>
                <w:sz w:val="17"/>
              </w:rPr>
              <w:t>Power User / Administrator</w:t>
            </w:r>
          </w:p>
        </w:tc>
        <w:tc>
          <w:tcPr>
            <w:tcW w:type="dxa" w:w="2835"/>
            <w:vAlign w:val="top"/>
            <w:shd w:fill="F5F7F8"/>
            <w:tcBorders>
              <w:top w:sz="3" w:val="single" w:color="D9E0E5"/>
              <w:left w:sz="3" w:val="single" w:color="D9E0E5"/>
              <w:bottom w:sz="3" w:val="single" w:color="D9E0E5"/>
              <w:right w:sz="3" w:val="single" w:color="D9E0E5"/>
            </w:tcBorders>
          </w:tcPr>
          <w:p>
            <w:pPr>
              <w:spacing w:after="20"/>
            </w:pPr>
            <w:r>
              <w:rPr>
                <w:sz w:val="17"/>
              </w:rPr>
              <w:t>Transparenz und Diagnose</w:t>
            </w:r>
          </w:p>
        </w:tc>
        <w:tc>
          <w:tcPr>
            <w:tcW w:type="dxa" w:w="4252"/>
            <w:vAlign w:val="top"/>
            <w:shd w:fill="F5F7F8"/>
            <w:tcBorders>
              <w:top w:sz="3" w:val="single" w:color="D9E0E5"/>
              <w:left w:sz="3" w:val="single" w:color="D9E0E5"/>
              <w:bottom w:sz="3" w:val="single" w:color="D9E0E5"/>
              <w:right w:sz="3" w:val="single" w:color="D9E0E5"/>
            </w:tcBorders>
          </w:tcPr>
          <w:p>
            <w:pPr>
              <w:spacing w:after="20"/>
            </w:pPr>
            <w:r>
              <w:rPr>
                <w:sz w:val="17"/>
              </w:rPr>
              <w:t>Get all, Verbindungsanalyse, Header, Logs, Backups, Providerprofile</w:t>
            </w:r>
          </w:p>
        </w:tc>
      </w:tr>
      <w:tr>
        <w:tc>
          <w:tcPr>
            <w:tcW w:type="dxa" w:w="2268"/>
            <w:vAlign w:val="top"/>
            <w:tcBorders>
              <w:top w:sz="3" w:val="single" w:color="D9E0E5"/>
              <w:left w:sz="3" w:val="single" w:color="D9E0E5"/>
              <w:bottom w:sz="3" w:val="single" w:color="D9E0E5"/>
              <w:right w:sz="3" w:val="single" w:color="D9E0E5"/>
            </w:tcBorders>
          </w:tcPr>
          <w:p>
            <w:pPr>
              <w:spacing w:after="20"/>
            </w:pPr>
            <w:r>
              <w:rPr>
                <w:sz w:val="17"/>
              </w:rPr>
              <w:t>Analyst / Incident Response</w:t>
            </w:r>
          </w:p>
        </w:tc>
        <w:tc>
          <w:tcPr>
            <w:tcW w:type="dxa" w:w="2835"/>
            <w:vAlign w:val="top"/>
            <w:tcBorders>
              <w:top w:sz="3" w:val="single" w:color="D9E0E5"/>
              <w:left w:sz="3" w:val="single" w:color="D9E0E5"/>
              <w:bottom w:sz="3" w:val="single" w:color="D9E0E5"/>
              <w:right w:sz="3" w:val="single" w:color="D9E0E5"/>
            </w:tcBorders>
          </w:tcPr>
          <w:p>
            <w:pPr>
              <w:spacing w:after="20"/>
            </w:pPr>
            <w:r>
              <w:rPr>
                <w:sz w:val="17"/>
              </w:rPr>
              <w:t>Nachvollziehbare Untersuchung</w:t>
            </w:r>
          </w:p>
        </w:tc>
        <w:tc>
          <w:tcPr>
            <w:tcW w:type="dxa" w:w="4252"/>
            <w:vAlign w:val="top"/>
            <w:tcBorders>
              <w:top w:sz="3" w:val="single" w:color="D9E0E5"/>
              <w:left w:sz="3" w:val="single" w:color="D9E0E5"/>
              <w:bottom w:sz="3" w:val="single" w:color="D9E0E5"/>
              <w:right w:sz="3" w:val="single" w:color="D9E0E5"/>
            </w:tcBorders>
          </w:tcPr>
          <w:p>
            <w:pPr>
              <w:spacing w:after="20"/>
            </w:pPr>
            <w:r>
              <w:rPr>
                <w:sz w:val="17"/>
              </w:rPr>
              <w:t>Links, Domains, MIME, Anhänge, Provenienz, Berichte</w:t>
            </w:r>
          </w:p>
        </w:tc>
      </w:tr>
      <w:tr>
        <w:tc>
          <w:tcPr>
            <w:tcW w:type="dxa" w:w="2268"/>
            <w:vAlign w:val="top"/>
            <w:shd w:fill="F5F7F8"/>
            <w:tcBorders>
              <w:top w:sz="3" w:val="single" w:color="D9E0E5"/>
              <w:left w:sz="3" w:val="single" w:color="D9E0E5"/>
              <w:bottom w:sz="3" w:val="single" w:color="D9E0E5"/>
              <w:right w:sz="3" w:val="single" w:color="D9E0E5"/>
            </w:tcBorders>
          </w:tcPr>
          <w:p>
            <w:pPr>
              <w:spacing w:after="20"/>
            </w:pPr>
            <w:r>
              <w:rPr>
                <w:sz w:val="17"/>
              </w:rPr>
              <w:t>Entwickler</w:t>
            </w:r>
          </w:p>
        </w:tc>
        <w:tc>
          <w:tcPr>
            <w:tcW w:type="dxa" w:w="2835"/>
            <w:vAlign w:val="top"/>
            <w:shd w:fill="F5F7F8"/>
            <w:tcBorders>
              <w:top w:sz="3" w:val="single" w:color="D9E0E5"/>
              <w:left w:sz="3" w:val="single" w:color="D9E0E5"/>
              <w:bottom w:sz="3" w:val="single" w:color="D9E0E5"/>
              <w:right w:sz="3" w:val="single" w:color="D9E0E5"/>
            </w:tcBorders>
          </w:tcPr>
          <w:p>
            <w:pPr>
              <w:spacing w:after="20"/>
            </w:pPr>
            <w:r>
              <w:rPr>
                <w:sz w:val="17"/>
              </w:rPr>
              <w:t>Wartbare Architektur</w:t>
            </w:r>
          </w:p>
        </w:tc>
        <w:tc>
          <w:tcPr>
            <w:tcW w:type="dxa" w:w="4252"/>
            <w:vAlign w:val="top"/>
            <w:shd w:fill="F5F7F8"/>
            <w:tcBorders>
              <w:top w:sz="3" w:val="single" w:color="D9E0E5"/>
              <w:left w:sz="3" w:val="single" w:color="D9E0E5"/>
              <w:bottom w:sz="3" w:val="single" w:color="D9E0E5"/>
              <w:right w:sz="3" w:val="single" w:color="D9E0E5"/>
            </w:tcBorders>
          </w:tcPr>
          <w:p>
            <w:pPr>
              <w:spacing w:after="20"/>
            </w:pPr>
            <w:r>
              <w:rPr>
                <w:sz w:val="17"/>
              </w:rPr>
              <w:t>Use Cases, Tests, Erweiterungsschnittstellen, Migrationen</w:t>
            </w:r>
          </w:p>
        </w:tc>
      </w:tr>
      <w:tr>
        <w:tc>
          <w:tcPr>
            <w:tcW w:type="dxa" w:w="2268"/>
            <w:vAlign w:val="top"/>
            <w:tcBorders>
              <w:top w:sz="3" w:val="single" w:color="D9E0E5"/>
              <w:left w:sz="3" w:val="single" w:color="D9E0E5"/>
              <w:bottom w:sz="3" w:val="single" w:color="D9E0E5"/>
              <w:right w:sz="3" w:val="single" w:color="D9E0E5"/>
            </w:tcBorders>
          </w:tcPr>
          <w:p>
            <w:pPr>
              <w:spacing w:after="20"/>
            </w:pPr>
            <w:r>
              <w:rPr>
                <w:sz w:val="17"/>
              </w:rPr>
              <w:t>Product Owner SASD-GmbH</w:t>
            </w:r>
          </w:p>
        </w:tc>
        <w:tc>
          <w:tcPr>
            <w:tcW w:type="dxa" w:w="2835"/>
            <w:vAlign w:val="top"/>
            <w:tcBorders>
              <w:top w:sz="3" w:val="single" w:color="D9E0E5"/>
              <w:left w:sz="3" w:val="single" w:color="D9E0E5"/>
              <w:bottom w:sz="3" w:val="single" w:color="D9E0E5"/>
              <w:right w:sz="3" w:val="single" w:color="D9E0E5"/>
            </w:tcBorders>
          </w:tcPr>
          <w:p>
            <w:pPr>
              <w:spacing w:after="20"/>
            </w:pPr>
            <w:r>
              <w:rPr>
                <w:sz w:val="17"/>
              </w:rPr>
              <w:t>Langfristig tragfähiges Produkt</w:t>
            </w:r>
          </w:p>
        </w:tc>
        <w:tc>
          <w:tcPr>
            <w:tcW w:type="dxa" w:w="4252"/>
            <w:vAlign w:val="top"/>
            <w:tcBorders>
              <w:top w:sz="3" w:val="single" w:color="D9E0E5"/>
              <w:left w:sz="3" w:val="single" w:color="D9E0E5"/>
              <w:bottom w:sz="3" w:val="single" w:color="D9E0E5"/>
              <w:right w:sz="3" w:val="single" w:color="D9E0E5"/>
            </w:tcBorders>
          </w:tcPr>
          <w:p>
            <w:pPr>
              <w:spacing w:after="20"/>
            </w:pPr>
            <w:r>
              <w:rPr>
                <w:sz w:val="17"/>
              </w:rPr>
              <w:t>Prioritäten, Abnahme, Dokumentation, Roadmap</w:t>
            </w:r>
          </w:p>
        </w:tc>
      </w:tr>
    </w:tbl>
    <w:p>
      <w:pPr>
        <w:widowControl w:val="1"/>
      </w:pPr>
    </w:p>
    <w:p>
      <w:pPr>
        <w:pStyle w:val="Heading2"/>
        <w:widowControl w:val="1"/>
      </w:pPr>
      <w:r>
        <w:t>3.1 Betriebsumgebung</w:t>
      </w:r>
    </w:p>
    <w:p>
      <w:pPr>
        <w:pStyle w:val="ListBullet"/>
        <w:widowControl w:val="1"/>
      </w:pPr>
      <w:r>
        <w:t>Primäre Plattform: Windows 10 und Windows 11 in noch unterstützten Ausgaben.</w:t>
      </w:r>
    </w:p>
    <w:p>
      <w:pPr>
        <w:pStyle w:val="ListBullet"/>
        <w:widowControl w:val="1"/>
      </w:pPr>
      <w:r>
        <w:t>Desktop-Einzelbenutzerbetrieb mit lokalem Windows-Profil.</w:t>
      </w:r>
    </w:p>
    <w:p>
      <w:pPr>
        <w:pStyle w:val="ListBullet"/>
        <w:widowControl w:val="1"/>
      </w:pPr>
      <w:r>
        <w:t>Internetverbindung für Mailprotokolle; Offline-Lesen und lokale Arbeit nach erfolgreichem Abruf.</w:t>
      </w:r>
    </w:p>
    <w:p>
      <w:pPr>
        <w:pStyle w:val="ListBullet"/>
        <w:widowControl w:val="1"/>
      </w:pPr>
      <w:r>
        <w:t>Mailhoster mit standardkonformen POP3-, SMTP- und für den Gesendet-Upload IMAP-Zugängen.</w:t>
      </w:r>
    </w:p>
    <w:p>
      <w:pPr>
        <w:pStyle w:val="ListBullet"/>
        <w:widowControl w:val="1"/>
      </w:pPr>
      <w:r>
        <w:t>GMX und IONOS als priorisierte Providerprofile; manuelle Konfiguration für andere Anbieter.</w:t>
      </w:r>
    </w:p>
    <w:p>
      <w:pPr>
        <w:pStyle w:val="Heading1"/>
        <w:widowControl w:val="1"/>
      </w:pPr>
      <w:r>
        <w:t>4. Systemgrenzen und fachlicher Kontext</w:t>
      </w:r>
    </w:p>
    <w:p>
      <w:pPr>
        <w:pStyle w:val="BodyText"/>
        <w:widowControl w:val="1"/>
      </w:pPr>
      <w:r>
        <w:t>Der SASD Mail Workbench ist ein lokaler Mail User Agent und Analysewerkzeug. Er verbindet sich direkt mit Mailservern, speichert lokale Kopien und abgeleitete Informationen und öffnet externe Links ausschließlich nach kontrollierter Nutzeraktion. Serverbetrieb, Spamfilterung und Zustellung außerhalb des Clients liegen außerhalb seiner Verantwortung.</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68"/>
            <w:shd w:fill="12324A"/>
            <w:tcBorders>
              <w:top w:sz="3" w:val="single" w:color="D9E0E5"/>
              <w:left w:sz="3" w:val="single" w:color="D9E0E5"/>
              <w:bottom w:sz="3" w:val="single" w:color="D9E0E5"/>
              <w:right w:sz="3" w:val="single" w:color="D9E0E5"/>
            </w:tcBorders>
          </w:tcPr>
          <w:p>
            <w:r>
              <w:rPr>
                <w:b/>
                <w:color w:val="FFFFFF"/>
                <w:sz w:val="18"/>
              </w:rPr>
              <w:t>Externes System</w:t>
            </w:r>
          </w:p>
        </w:tc>
        <w:tc>
          <w:tcPr>
            <w:tcW w:type="dxa" w:w="2268"/>
            <w:shd w:fill="12324A"/>
            <w:tcBorders>
              <w:top w:sz="3" w:val="single" w:color="D9E0E5"/>
              <w:left w:sz="3" w:val="single" w:color="D9E0E5"/>
              <w:bottom w:sz="3" w:val="single" w:color="D9E0E5"/>
              <w:right w:sz="3" w:val="single" w:color="D9E0E5"/>
            </w:tcBorders>
          </w:tcPr>
          <w:p>
            <w:r>
              <w:rPr>
                <w:b/>
                <w:color w:val="FFFFFF"/>
                <w:sz w:val="18"/>
              </w:rPr>
              <w:t>Schnittstelle</w:t>
            </w:r>
          </w:p>
        </w:tc>
        <w:tc>
          <w:tcPr>
            <w:tcW w:type="dxa" w:w="4819"/>
            <w:shd w:fill="12324A"/>
            <w:tcBorders>
              <w:top w:sz="3" w:val="single" w:color="D9E0E5"/>
              <w:left w:sz="3" w:val="single" w:color="D9E0E5"/>
              <w:bottom w:sz="3" w:val="single" w:color="D9E0E5"/>
              <w:right w:sz="3" w:val="single" w:color="D9E0E5"/>
            </w:tcBorders>
          </w:tcPr>
          <w:p>
            <w:r>
              <w:rPr>
                <w:b/>
                <w:color w:val="FFFFFF"/>
                <w:sz w:val="18"/>
              </w:rPr>
              <w:t>Verantwortung des Mail Workbench</w:t>
            </w:r>
          </w:p>
        </w:tc>
      </w:tr>
      <w:tr>
        <w:tc>
          <w:tcPr>
            <w:tcW w:type="dxa" w:w="2268"/>
            <w:vAlign w:val="top"/>
            <w:tcBorders>
              <w:top w:sz="3" w:val="single" w:color="D9E0E5"/>
              <w:left w:sz="3" w:val="single" w:color="D9E0E5"/>
              <w:bottom w:sz="3" w:val="single" w:color="D9E0E5"/>
              <w:right w:sz="3" w:val="single" w:color="D9E0E5"/>
            </w:tcBorders>
          </w:tcPr>
          <w:p>
            <w:pPr>
              <w:spacing w:after="20"/>
            </w:pPr>
            <w:r>
              <w:rPr>
                <w:sz w:val="17"/>
              </w:rPr>
              <w:t>POP3-Server</w:t>
            </w:r>
          </w:p>
        </w:tc>
        <w:tc>
          <w:tcPr>
            <w:tcW w:type="dxa" w:w="2268"/>
            <w:vAlign w:val="top"/>
            <w:tcBorders>
              <w:top w:sz="3" w:val="single" w:color="D9E0E5"/>
              <w:left w:sz="3" w:val="single" w:color="D9E0E5"/>
              <w:bottom w:sz="3" w:val="single" w:color="D9E0E5"/>
              <w:right w:sz="3" w:val="single" w:color="D9E0E5"/>
            </w:tcBorders>
          </w:tcPr>
          <w:p>
            <w:pPr>
              <w:spacing w:after="20"/>
            </w:pPr>
            <w:r>
              <w:rPr>
                <w:sz w:val="17"/>
              </w:rPr>
              <w:t>POP3S / TLS</w:t>
            </w:r>
          </w:p>
        </w:tc>
        <w:tc>
          <w:tcPr>
            <w:tcW w:type="dxa" w:w="4819"/>
            <w:vAlign w:val="top"/>
            <w:tcBorders>
              <w:top w:sz="3" w:val="single" w:color="D9E0E5"/>
              <w:left w:sz="3" w:val="single" w:color="D9E0E5"/>
              <w:bottom w:sz="3" w:val="single" w:color="D9E0E5"/>
              <w:right w:sz="3" w:val="single" w:color="D9E0E5"/>
            </w:tcBorders>
          </w:tcPr>
          <w:p>
            <w:pPr>
              <w:spacing w:after="20"/>
            </w:pPr>
            <w:r>
              <w:rPr>
                <w:sz w:val="17"/>
              </w:rPr>
              <w:t>Nachrichten auflisten, laden, optional niemals standardmäßig löschen</w:t>
            </w:r>
          </w:p>
        </w:tc>
      </w:tr>
      <w:tr>
        <w:tc>
          <w:tcPr>
            <w:tcW w:type="dxa" w:w="2268"/>
            <w:vAlign w:val="top"/>
            <w:shd w:fill="F5F7F8"/>
            <w:tcBorders>
              <w:top w:sz="3" w:val="single" w:color="D9E0E5"/>
              <w:left w:sz="3" w:val="single" w:color="D9E0E5"/>
              <w:bottom w:sz="3" w:val="single" w:color="D9E0E5"/>
              <w:right w:sz="3" w:val="single" w:color="D9E0E5"/>
            </w:tcBorders>
          </w:tcPr>
          <w:p>
            <w:pPr>
              <w:spacing w:after="20"/>
            </w:pPr>
            <w:r>
              <w:rPr>
                <w:sz w:val="17"/>
              </w:rPr>
              <w:t>SMTP-Server</w:t>
            </w:r>
          </w:p>
        </w:tc>
        <w:tc>
          <w:tcPr>
            <w:tcW w:type="dxa" w:w="2268"/>
            <w:vAlign w:val="top"/>
            <w:shd w:fill="F5F7F8"/>
            <w:tcBorders>
              <w:top w:sz="3" w:val="single" w:color="D9E0E5"/>
              <w:left w:sz="3" w:val="single" w:color="D9E0E5"/>
              <w:bottom w:sz="3" w:val="single" w:color="D9E0E5"/>
              <w:right w:sz="3" w:val="single" w:color="D9E0E5"/>
            </w:tcBorders>
          </w:tcPr>
          <w:p>
            <w:pPr>
              <w:spacing w:after="20"/>
            </w:pPr>
            <w:r>
              <w:rPr>
                <w:sz w:val="17"/>
              </w:rPr>
              <w:t>SMTP mit TLS/STARTTLS</w:t>
            </w:r>
          </w:p>
        </w:tc>
        <w:tc>
          <w:tcPr>
            <w:tcW w:type="dxa" w:w="4819"/>
            <w:vAlign w:val="top"/>
            <w:shd w:fill="F5F7F8"/>
            <w:tcBorders>
              <w:top w:sz="3" w:val="single" w:color="D9E0E5"/>
              <w:left w:sz="3" w:val="single" w:color="D9E0E5"/>
              <w:bottom w:sz="3" w:val="single" w:color="D9E0E5"/>
              <w:right w:sz="3" w:val="single" w:color="D9E0E5"/>
            </w:tcBorders>
          </w:tcPr>
          <w:p>
            <w:pPr>
              <w:spacing w:after="20"/>
            </w:pPr>
            <w:r>
              <w:rPr>
                <w:sz w:val="17"/>
              </w:rPr>
              <w:t>Nachricht versenden und Ergebnis bewerten</w:t>
            </w:r>
          </w:p>
        </w:tc>
      </w:tr>
      <w:tr>
        <w:tc>
          <w:tcPr>
            <w:tcW w:type="dxa" w:w="2268"/>
            <w:vAlign w:val="top"/>
            <w:tcBorders>
              <w:top w:sz="3" w:val="single" w:color="D9E0E5"/>
              <w:left w:sz="3" w:val="single" w:color="D9E0E5"/>
              <w:bottom w:sz="3" w:val="single" w:color="D9E0E5"/>
              <w:right w:sz="3" w:val="single" w:color="D9E0E5"/>
            </w:tcBorders>
          </w:tcPr>
          <w:p>
            <w:pPr>
              <w:spacing w:after="20"/>
            </w:pPr>
            <w:r>
              <w:rPr>
                <w:sz w:val="17"/>
              </w:rPr>
              <w:t>IMAP-Server</w:t>
            </w:r>
          </w:p>
        </w:tc>
        <w:tc>
          <w:tcPr>
            <w:tcW w:type="dxa" w:w="2268"/>
            <w:vAlign w:val="top"/>
            <w:tcBorders>
              <w:top w:sz="3" w:val="single" w:color="D9E0E5"/>
              <w:left w:sz="3" w:val="single" w:color="D9E0E5"/>
              <w:bottom w:sz="3" w:val="single" w:color="D9E0E5"/>
              <w:right w:sz="3" w:val="single" w:color="D9E0E5"/>
            </w:tcBorders>
          </w:tcPr>
          <w:p>
            <w:pPr>
              <w:spacing w:after="20"/>
            </w:pPr>
            <w:r>
              <w:rPr>
                <w:sz w:val="17"/>
              </w:rPr>
              <w:t>IMAPS / TLS</w:t>
            </w:r>
          </w:p>
        </w:tc>
        <w:tc>
          <w:tcPr>
            <w:tcW w:type="dxa" w:w="4819"/>
            <w:vAlign w:val="top"/>
            <w:tcBorders>
              <w:top w:sz="3" w:val="single" w:color="D9E0E5"/>
              <w:left w:sz="3" w:val="single" w:color="D9E0E5"/>
              <w:bottom w:sz="3" w:val="single" w:color="D9E0E5"/>
              <w:right w:sz="3" w:val="single" w:color="D9E0E5"/>
            </w:tcBorders>
          </w:tcPr>
          <w:p>
            <w:pPr>
              <w:spacing w:after="20"/>
            </w:pPr>
            <w:r>
              <w:rPr>
                <w:sz w:val="17"/>
              </w:rPr>
              <w:t>Gesendete MIME-Nachricht in ermittelten Gesendet-Ordner anhängen</w:t>
            </w:r>
          </w:p>
        </w:tc>
      </w:tr>
      <w:tr>
        <w:tc>
          <w:tcPr>
            <w:tcW w:type="dxa" w:w="2268"/>
            <w:vAlign w:val="top"/>
            <w:shd w:fill="F5F7F8"/>
            <w:tcBorders>
              <w:top w:sz="3" w:val="single" w:color="D9E0E5"/>
              <w:left w:sz="3" w:val="single" w:color="D9E0E5"/>
              <w:bottom w:sz="3" w:val="single" w:color="D9E0E5"/>
              <w:right w:sz="3" w:val="single" w:color="D9E0E5"/>
            </w:tcBorders>
          </w:tcPr>
          <w:p>
            <w:pPr>
              <w:spacing w:after="20"/>
            </w:pPr>
            <w:r>
              <w:rPr>
                <w:sz w:val="17"/>
              </w:rPr>
              <w:t>Windows Secret Store</w:t>
            </w:r>
          </w:p>
        </w:tc>
        <w:tc>
          <w:tcPr>
            <w:tcW w:type="dxa" w:w="2268"/>
            <w:vAlign w:val="top"/>
            <w:shd w:fill="F5F7F8"/>
            <w:tcBorders>
              <w:top w:sz="3" w:val="single" w:color="D9E0E5"/>
              <w:left w:sz="3" w:val="single" w:color="D9E0E5"/>
              <w:bottom w:sz="3" w:val="single" w:color="D9E0E5"/>
              <w:right w:sz="3" w:val="single" w:color="D9E0E5"/>
            </w:tcBorders>
          </w:tcPr>
          <w:p>
            <w:pPr>
              <w:spacing w:after="20"/>
            </w:pPr>
            <w:r>
              <w:rPr>
                <w:sz w:val="17"/>
              </w:rPr>
              <w:t>Betriebssystem-API</w:t>
            </w:r>
          </w:p>
        </w:tc>
        <w:tc>
          <w:tcPr>
            <w:tcW w:type="dxa" w:w="4819"/>
            <w:vAlign w:val="top"/>
            <w:shd w:fill="F5F7F8"/>
            <w:tcBorders>
              <w:top w:sz="3" w:val="single" w:color="D9E0E5"/>
              <w:left w:sz="3" w:val="single" w:color="D9E0E5"/>
              <w:bottom w:sz="3" w:val="single" w:color="D9E0E5"/>
              <w:right w:sz="3" w:val="single" w:color="D9E0E5"/>
            </w:tcBorders>
          </w:tcPr>
          <w:p>
            <w:pPr>
              <w:spacing w:after="20"/>
            </w:pPr>
            <w:r>
              <w:rPr>
                <w:sz w:val="17"/>
              </w:rPr>
              <w:t>Zugangsdaten geschützt ablegen und abrufen</w:t>
            </w:r>
          </w:p>
        </w:tc>
      </w:tr>
      <w:tr>
        <w:tc>
          <w:tcPr>
            <w:tcW w:type="dxa" w:w="2268"/>
            <w:vAlign w:val="top"/>
            <w:tcBorders>
              <w:top w:sz="3" w:val="single" w:color="D9E0E5"/>
              <w:left w:sz="3" w:val="single" w:color="D9E0E5"/>
              <w:bottom w:sz="3" w:val="single" w:color="D9E0E5"/>
              <w:right w:sz="3" w:val="single" w:color="D9E0E5"/>
            </w:tcBorders>
          </w:tcPr>
          <w:p>
            <w:pPr>
              <w:spacing w:after="20"/>
            </w:pPr>
            <w:r>
              <w:rPr>
                <w:sz w:val="17"/>
              </w:rPr>
              <w:t>Dateisystem</w:t>
            </w:r>
          </w:p>
        </w:tc>
        <w:tc>
          <w:tcPr>
            <w:tcW w:type="dxa" w:w="2268"/>
            <w:vAlign w:val="top"/>
            <w:tcBorders>
              <w:top w:sz="3" w:val="single" w:color="D9E0E5"/>
              <w:left w:sz="3" w:val="single" w:color="D9E0E5"/>
              <w:bottom w:sz="3" w:val="single" w:color="D9E0E5"/>
              <w:right w:sz="3" w:val="single" w:color="D9E0E5"/>
            </w:tcBorders>
          </w:tcPr>
          <w:p>
            <w:pPr>
              <w:spacing w:after="20"/>
            </w:pPr>
            <w:r>
              <w:rPr>
                <w:sz w:val="17"/>
              </w:rPr>
              <w:t>lokale Dateien</w:t>
            </w:r>
          </w:p>
        </w:tc>
        <w:tc>
          <w:tcPr>
            <w:tcW w:type="dxa" w:w="4819"/>
            <w:vAlign w:val="top"/>
            <w:tcBorders>
              <w:top w:sz="3" w:val="single" w:color="D9E0E5"/>
              <w:left w:sz="3" w:val="single" w:color="D9E0E5"/>
              <w:bottom w:sz="3" w:val="single" w:color="D9E0E5"/>
              <w:right w:sz="3" w:val="single" w:color="D9E0E5"/>
            </w:tcBorders>
          </w:tcPr>
          <w:p>
            <w:pPr>
              <w:spacing w:after="20"/>
            </w:pPr>
            <w:r>
              <w:rPr>
                <w:sz w:val="17"/>
              </w:rPr>
              <w:t>Rohmails, Anhänge, Temp, Backups und Exporte verwalten</w:t>
            </w:r>
          </w:p>
        </w:tc>
      </w:tr>
      <w:tr>
        <w:tc>
          <w:tcPr>
            <w:tcW w:type="dxa" w:w="2268"/>
            <w:vAlign w:val="top"/>
            <w:shd w:fill="F5F7F8"/>
            <w:tcBorders>
              <w:top w:sz="3" w:val="single" w:color="D9E0E5"/>
              <w:left w:sz="3" w:val="single" w:color="D9E0E5"/>
              <w:bottom w:sz="3" w:val="single" w:color="D9E0E5"/>
              <w:right w:sz="3" w:val="single" w:color="D9E0E5"/>
            </w:tcBorders>
          </w:tcPr>
          <w:p>
            <w:pPr>
              <w:spacing w:after="20"/>
            </w:pPr>
            <w:r>
              <w:rPr>
                <w:sz w:val="17"/>
              </w:rPr>
              <w:t>Webbrowser</w:t>
            </w:r>
          </w:p>
        </w:tc>
        <w:tc>
          <w:tcPr>
            <w:tcW w:type="dxa" w:w="2268"/>
            <w:vAlign w:val="top"/>
            <w:shd w:fill="F5F7F8"/>
            <w:tcBorders>
              <w:top w:sz="3" w:val="single" w:color="D9E0E5"/>
              <w:left w:sz="3" w:val="single" w:color="D9E0E5"/>
              <w:bottom w:sz="3" w:val="single" w:color="D9E0E5"/>
              <w:right w:sz="3" w:val="single" w:color="D9E0E5"/>
            </w:tcBorders>
          </w:tcPr>
          <w:p>
            <w:pPr>
              <w:spacing w:after="20"/>
            </w:pPr>
            <w:r>
              <w:rPr>
                <w:sz w:val="17"/>
              </w:rPr>
              <w:t>explizite Nutzeraktion</w:t>
            </w:r>
          </w:p>
        </w:tc>
        <w:tc>
          <w:tcPr>
            <w:tcW w:type="dxa" w:w="4819"/>
            <w:vAlign w:val="top"/>
            <w:shd w:fill="F5F7F8"/>
            <w:tcBorders>
              <w:top w:sz="3" w:val="single" w:color="D9E0E5"/>
              <w:left w:sz="3" w:val="single" w:color="D9E0E5"/>
              <w:bottom w:sz="3" w:val="single" w:color="D9E0E5"/>
              <w:right w:sz="3" w:val="single" w:color="D9E0E5"/>
            </w:tcBorders>
          </w:tcPr>
          <w:p>
            <w:pPr>
              <w:spacing w:after="20"/>
            </w:pPr>
            <w:r>
              <w:rPr>
                <w:sz w:val="17"/>
              </w:rPr>
              <w:t>Freigegebenes Linkziel öffnen; keine unkontrollierte Navigation im Mailrenderer</w:t>
            </w:r>
          </w:p>
        </w:tc>
      </w:tr>
    </w:tbl>
    <w:p>
      <w:pPr>
        <w:widowControl w:val="1"/>
      </w:pPr>
    </w:p>
    <w:p>
      <w:pPr>
        <w:pStyle w:val="Heading1"/>
        <w:widowControl w:val="1"/>
      </w:pPr>
      <w:r>
        <w:t>5. Zentrale Nutzungsszenarien</w:t>
      </w:r>
    </w:p>
    <w:p>
      <w:pPr>
        <w:pStyle w:val="Heading2"/>
        <w:widowControl w:val="1"/>
      </w:pPr>
      <w:r>
        <w:t>5.1 Neue Nachrichten abrufen</w:t>
      </w:r>
    </w:p>
    <w:p>
      <w:pPr>
        <w:pStyle w:val="BodyText"/>
        <w:spacing w:after="60"/>
        <w:ind w:left="397" w:hanging="397"/>
        <w:widowControl w:val="1"/>
      </w:pPr>
      <w:r>
        <w:rPr>
          <w:b/>
          <w:color w:val="1B7F86"/>
        </w:rPr>
        <w:t xml:space="preserve">1. </w:t>
      </w:r>
      <w:r>
        <w:t>Anwender startet den normalen Abruf für ein oder mehrere Konten.</w:t>
      </w:r>
    </w:p>
    <w:p>
      <w:pPr>
        <w:pStyle w:val="BodyText"/>
        <w:spacing w:after="60"/>
        <w:ind w:left="397" w:hanging="397"/>
        <w:widowControl w:val="1"/>
      </w:pPr>
      <w:r>
        <w:rPr>
          <w:b/>
          <w:color w:val="1B7F86"/>
        </w:rPr>
        <w:t xml:space="preserve">2. </w:t>
      </w:r>
      <w:r>
        <w:t>Die Anwendung prüft Verbindung und UIDL-Liste.</w:t>
      </w:r>
    </w:p>
    <w:p>
      <w:pPr>
        <w:pStyle w:val="BodyText"/>
        <w:spacing w:after="60"/>
        <w:ind w:left="397" w:hanging="397"/>
        <w:widowControl w:val="1"/>
      </w:pPr>
      <w:r>
        <w:rPr>
          <w:b/>
          <w:color w:val="1B7F86"/>
        </w:rPr>
        <w:t xml:space="preserve">3. </w:t>
      </w:r>
      <w:r>
        <w:t>Nur lokal noch nicht bekannte Kandidaten werden vollständig geladen.</w:t>
      </w:r>
    </w:p>
    <w:p>
      <w:pPr>
        <w:pStyle w:val="BodyText"/>
        <w:spacing w:after="60"/>
        <w:ind w:left="397" w:hanging="397"/>
        <w:widowControl w:val="1"/>
      </w:pPr>
      <w:r>
        <w:rPr>
          <w:b/>
          <w:color w:val="1B7F86"/>
        </w:rPr>
        <w:t xml:space="preserve">4. </w:t>
      </w:r>
      <w:r>
        <w:t>Rohmail wird temporär gespeichert, gehasht, dedupliziert und atomar übernommen.</w:t>
      </w:r>
    </w:p>
    <w:p>
      <w:pPr>
        <w:pStyle w:val="BodyText"/>
        <w:spacing w:after="60"/>
        <w:ind w:left="397" w:hanging="397"/>
        <w:widowControl w:val="1"/>
      </w:pPr>
      <w:r>
        <w:rPr>
          <w:b/>
          <w:color w:val="1B7F86"/>
        </w:rPr>
        <w:t xml:space="preserve">5. </w:t>
      </w:r>
      <w:r>
        <w:t>Parsing, Warnanalyse, Indexierung und Anzeige erfolgen nach erfolgreicher Speicherung.</w:t>
      </w:r>
    </w:p>
    <w:p>
      <w:pPr>
        <w:pStyle w:val="BodyText"/>
        <w:spacing w:after="60"/>
        <w:ind w:left="397" w:hanging="397"/>
        <w:widowControl w:val="1"/>
      </w:pPr>
      <w:r>
        <w:rPr>
          <w:b/>
          <w:color w:val="1B7F86"/>
        </w:rPr>
        <w:t xml:space="preserve">6. </w:t>
      </w:r>
      <w:r>
        <w:t>Ein Bericht fasst neue, bekannte und fehlerhafte Nachrichten zusammen.</w:t>
      </w:r>
    </w:p>
    <w:p>
      <w:pPr>
        <w:pStyle w:val="Heading2"/>
        <w:widowControl w:val="1"/>
      </w:pPr>
      <w:r>
        <w:t>5.2 Alle Mails abrufen und lokalen Bestand prüfen</w:t>
      </w:r>
    </w:p>
    <w:p>
      <w:pPr>
        <w:pStyle w:val="BodyText"/>
        <w:spacing w:after="60"/>
        <w:ind w:left="397" w:hanging="397"/>
        <w:widowControl w:val="1"/>
      </w:pPr>
      <w:r>
        <w:rPr>
          <w:b/>
          <w:color w:val="1B7F86"/>
        </w:rPr>
        <w:t xml:space="preserve">1. </w:t>
      </w:r>
      <w:r>
        <w:t>Anwender wählt „Alle Mails abrufen“ und bestätigt den potenziell langen Lauf.</w:t>
      </w:r>
    </w:p>
    <w:p>
      <w:pPr>
        <w:pStyle w:val="BodyText"/>
        <w:spacing w:after="60"/>
        <w:ind w:left="397" w:hanging="397"/>
        <w:widowControl w:val="1"/>
      </w:pPr>
      <w:r>
        <w:rPr>
          <w:b/>
          <w:color w:val="1B7F86"/>
        </w:rPr>
        <w:t xml:space="preserve">2. </w:t>
      </w:r>
      <w:r>
        <w:t>Alle auf dem POP3-Server sichtbaren Nachrichten werden vollständig gestreamt.</w:t>
      </w:r>
    </w:p>
    <w:p>
      <w:pPr>
        <w:pStyle w:val="BodyText"/>
        <w:spacing w:after="60"/>
        <w:ind w:left="397" w:hanging="397"/>
        <w:widowControl w:val="1"/>
      </w:pPr>
      <w:r>
        <w:rPr>
          <w:b/>
          <w:color w:val="1B7F86"/>
        </w:rPr>
        <w:t xml:space="preserve">3. </w:t>
      </w:r>
      <w:r>
        <w:t>Für jede Nachricht werden SHA-256, Größe und weitere Kennungen ermittelt.</w:t>
      </w:r>
    </w:p>
    <w:p>
      <w:pPr>
        <w:pStyle w:val="BodyText"/>
        <w:spacing w:after="60"/>
        <w:ind w:left="397" w:hanging="397"/>
        <w:widowControl w:val="1"/>
      </w:pPr>
      <w:r>
        <w:rPr>
          <w:b/>
          <w:color w:val="1B7F86"/>
        </w:rPr>
        <w:t xml:space="preserve">4. </w:t>
      </w:r>
      <w:r>
        <w:t>Neue Nachrichten werden übernommen; exakte temporäre Duplikate werden verworfen.</w:t>
      </w:r>
    </w:p>
    <w:p>
      <w:pPr>
        <w:pStyle w:val="BodyText"/>
        <w:spacing w:after="60"/>
        <w:ind w:left="397" w:hanging="397"/>
        <w:widowControl w:val="1"/>
      </w:pPr>
      <w:r>
        <w:rPr>
          <w:b/>
          <w:color w:val="1B7F86"/>
        </w:rPr>
        <w:t xml:space="preserve">5. </w:t>
      </w:r>
      <w:r>
        <w:t>Servernachrichten bleiben unverändert erhalten.</w:t>
      </w:r>
    </w:p>
    <w:p>
      <w:pPr>
        <w:pStyle w:val="BodyText"/>
        <w:spacing w:after="60"/>
        <w:ind w:left="397" w:hanging="397"/>
        <w:widowControl w:val="1"/>
      </w:pPr>
      <w:r>
        <w:rPr>
          <w:b/>
          <w:color w:val="1B7F86"/>
        </w:rPr>
        <w:t xml:space="preserve">6. </w:t>
      </w:r>
      <w:r>
        <w:t>Der Abschlussbericht dokumentiert Vollständigkeit, Datenmenge, Fehler und Laufzeit.</w:t>
      </w:r>
    </w:p>
    <w:p>
      <w:pPr>
        <w:pStyle w:val="Heading2"/>
        <w:widowControl w:val="1"/>
      </w:pPr>
      <w:r>
        <w:t>5.3 Verdächtigen Link prüfen</w:t>
      </w:r>
    </w:p>
    <w:p>
      <w:pPr>
        <w:pStyle w:val="BodyText"/>
        <w:spacing w:after="60"/>
        <w:ind w:left="397" w:hanging="397"/>
        <w:widowControl w:val="1"/>
      </w:pPr>
      <w:r>
        <w:rPr>
          <w:b/>
          <w:color w:val="1B7F86"/>
        </w:rPr>
        <w:t xml:space="preserve">1. </w:t>
      </w:r>
      <w:r>
        <w:t>Anwender öffnet eine Nachricht, deren sichtbarer Absender eine Bank oder bekannte Organisation behauptet.</w:t>
      </w:r>
    </w:p>
    <w:p>
      <w:pPr>
        <w:pStyle w:val="BodyText"/>
        <w:spacing w:after="60"/>
        <w:ind w:left="397" w:hanging="397"/>
        <w:widowControl w:val="1"/>
      </w:pPr>
      <w:r>
        <w:rPr>
          <w:b/>
          <w:color w:val="1B7F86"/>
        </w:rPr>
        <w:t xml:space="preserve">2. </w:t>
      </w:r>
      <w:r>
        <w:t>Das lokale Warnsystem extrahiert alle Button- und Linkziele.</w:t>
      </w:r>
    </w:p>
    <w:p>
      <w:pPr>
        <w:pStyle w:val="BodyText"/>
        <w:spacing w:after="60"/>
        <w:ind w:left="397" w:hanging="397"/>
        <w:widowControl w:val="1"/>
      </w:pPr>
      <w:r>
        <w:rPr>
          <w:b/>
          <w:color w:val="1B7F86"/>
        </w:rPr>
        <w:t xml:space="preserve">3. </w:t>
      </w:r>
      <w:r>
        <w:t>Es vergleicht sichtbaren Text, tatsächliche Domain, Absenderfelder, Authentication-Results und passende Markenprofile.</w:t>
      </w:r>
    </w:p>
    <w:p>
      <w:pPr>
        <w:pStyle w:val="BodyText"/>
        <w:spacing w:after="60"/>
        <w:ind w:left="397" w:hanging="397"/>
        <w:widowControl w:val="1"/>
      </w:pPr>
      <w:r>
        <w:rPr>
          <w:b/>
          <w:color w:val="1B7F86"/>
        </w:rPr>
        <w:t xml:space="preserve">4. </w:t>
      </w:r>
      <w:r>
        <w:t>Eine nicht erwartete Domain, Punycode-Auffälligkeit oder andere Indikatoren erzeugen eine begründete Warnstufe.</w:t>
      </w:r>
    </w:p>
    <w:p>
      <w:pPr>
        <w:pStyle w:val="BodyText"/>
        <w:spacing w:after="60"/>
        <w:ind w:left="397" w:hanging="397"/>
        <w:widowControl w:val="1"/>
      </w:pPr>
      <w:r>
        <w:rPr>
          <w:b/>
          <w:color w:val="1B7F86"/>
        </w:rPr>
        <w:t xml:space="preserve">5. </w:t>
      </w:r>
      <w:r>
        <w:t>Vor dem Öffnen zeigt die Anwendung das normalisierte Ziel und alle Gründe.</w:t>
      </w:r>
    </w:p>
    <w:p>
      <w:pPr>
        <w:pStyle w:val="BodyText"/>
        <w:spacing w:after="60"/>
        <w:ind w:left="397" w:hanging="397"/>
        <w:widowControl w:val="1"/>
      </w:pPr>
      <w:r>
        <w:rPr>
          <w:b/>
          <w:color w:val="1B7F86"/>
        </w:rPr>
        <w:t xml:space="preserve">6. </w:t>
      </w:r>
      <w:r>
        <w:t>Der Nutzer kann abbrechen, URL kopieren, eine lokale Ausnahme verwalten oder bewusst öffnen.</w:t>
      </w:r>
    </w:p>
    <w:p>
      <w:pPr>
        <w:pStyle w:val="Heading2"/>
        <w:widowControl w:val="1"/>
      </w:pPr>
      <w:r>
        <w:t>5.4 Nachricht senden und serverseitig sichtbar machen</w:t>
      </w:r>
    </w:p>
    <w:p>
      <w:pPr>
        <w:pStyle w:val="BodyText"/>
        <w:spacing w:after="60"/>
        <w:ind w:left="397" w:hanging="397"/>
        <w:widowControl w:val="1"/>
      </w:pPr>
      <w:r>
        <w:rPr>
          <w:b/>
          <w:color w:val="1B7F86"/>
        </w:rPr>
        <w:t xml:space="preserve">1. </w:t>
      </w:r>
      <w:r>
        <w:t>Anwender verfasst eine Nachricht; Entwurf wird lokal gespeichert.</w:t>
      </w:r>
    </w:p>
    <w:p>
      <w:pPr>
        <w:pStyle w:val="BodyText"/>
        <w:spacing w:after="60"/>
        <w:ind w:left="397" w:hanging="397"/>
        <w:widowControl w:val="1"/>
      </w:pPr>
      <w:r>
        <w:rPr>
          <w:b/>
          <w:color w:val="1B7F86"/>
        </w:rPr>
        <w:t xml:space="preserve">2. </w:t>
      </w:r>
      <w:r>
        <w:t>Die fertige MIME-Nachricht wird in die lokale Outbox übernommen und über SMTP versendet.</w:t>
      </w:r>
    </w:p>
    <w:p>
      <w:pPr>
        <w:pStyle w:val="BodyText"/>
        <w:spacing w:after="60"/>
        <w:ind w:left="397" w:hanging="397"/>
        <w:widowControl w:val="1"/>
      </w:pPr>
      <w:r>
        <w:rPr>
          <w:b/>
          <w:color w:val="1B7F86"/>
        </w:rPr>
        <w:t xml:space="preserve">3. </w:t>
      </w:r>
      <w:r>
        <w:t>Nach bestätigtem Versand wird exakt diese Nachricht lokal im Gesendet-Bestand archiviert.</w:t>
      </w:r>
    </w:p>
    <w:p>
      <w:pPr>
        <w:pStyle w:val="BodyText"/>
        <w:spacing w:after="60"/>
        <w:ind w:left="397" w:hanging="397"/>
        <w:widowControl w:val="1"/>
      </w:pPr>
      <w:r>
        <w:rPr>
          <w:b/>
          <w:color w:val="1B7F86"/>
        </w:rPr>
        <w:t xml:space="preserve">4. </w:t>
      </w:r>
      <w:r>
        <w:t>Die Anwendung ermittelt den serverseitigen Gesendet-Ordner und lädt die Mail per IMAP APPEND hoch.</w:t>
      </w:r>
    </w:p>
    <w:p>
      <w:pPr>
        <w:pStyle w:val="BodyText"/>
        <w:spacing w:after="60"/>
        <w:ind w:left="397" w:hanging="397"/>
        <w:widowControl w:val="1"/>
      </w:pPr>
      <w:r>
        <w:rPr>
          <w:b/>
          <w:color w:val="1B7F86"/>
        </w:rPr>
        <w:t xml:space="preserve">5. </w:t>
      </w:r>
      <w:r>
        <w:t>SMTP- und IMAP-Status bleiben getrennt nachvollziehbar.</w:t>
      </w:r>
    </w:p>
    <w:p>
      <w:pPr>
        <w:pStyle w:val="BodyText"/>
        <w:spacing w:after="60"/>
        <w:ind w:left="397" w:hanging="397"/>
        <w:widowControl w:val="1"/>
      </w:pPr>
      <w:r>
        <w:rPr>
          <w:b/>
          <w:color w:val="1B7F86"/>
        </w:rPr>
        <w:t xml:space="preserve">6. </w:t>
      </w:r>
      <w:r>
        <w:t>Andere IMAP-Clients können die Nachricht anschließend synchronisieren.</w:t>
      </w:r>
    </w:p>
    <w:p>
      <w:pPr>
        <w:pStyle w:val="Heading2"/>
        <w:widowControl w:val="1"/>
      </w:pPr>
      <w:r>
        <w:t>5.5 Nachricht wissenschaftlich untersuchen</w:t>
      </w:r>
    </w:p>
    <w:p>
      <w:pPr>
        <w:pStyle w:val="BodyText"/>
        <w:spacing w:after="60"/>
        <w:ind w:left="397" w:hanging="397"/>
        <w:widowControl w:val="1"/>
      </w:pPr>
      <w:r>
        <w:rPr>
          <w:b/>
          <w:color w:val="1B7F86"/>
        </w:rPr>
        <w:t xml:space="preserve">1. </w:t>
      </w:r>
      <w:r>
        <w:t>Anwender öffnet das Message Laboratory.</w:t>
      </w:r>
    </w:p>
    <w:p>
      <w:pPr>
        <w:pStyle w:val="BodyText"/>
        <w:spacing w:after="60"/>
        <w:ind w:left="397" w:hanging="397"/>
        <w:widowControl w:val="1"/>
      </w:pPr>
      <w:r>
        <w:rPr>
          <w:b/>
          <w:color w:val="1B7F86"/>
        </w:rPr>
        <w:t xml:space="preserve">2. </w:t>
      </w:r>
      <w:r>
        <w:t>Rohdaten, MIME-Baum, Header, Links, Anhänge, Hashwerte und Provenienz werden dargestellt.</w:t>
      </w:r>
    </w:p>
    <w:p>
      <w:pPr>
        <w:pStyle w:val="BodyText"/>
        <w:spacing w:after="60"/>
        <w:ind w:left="397" w:hanging="397"/>
        <w:widowControl w:val="1"/>
      </w:pPr>
      <w:r>
        <w:rPr>
          <w:b/>
          <w:color w:val="1B7F86"/>
        </w:rPr>
        <w:t xml:space="preserve">3. </w:t>
      </w:r>
      <w:r>
        <w:t>Analyzergebnisse nennen Modul, Version, Zeitpunkt und Eingabehash.</w:t>
      </w:r>
    </w:p>
    <w:p>
      <w:pPr>
        <w:pStyle w:val="BodyText"/>
        <w:spacing w:after="60"/>
        <w:ind w:left="397" w:hanging="397"/>
        <w:widowControl w:val="1"/>
      </w:pPr>
      <w:r>
        <w:rPr>
          <w:b/>
          <w:color w:val="1B7F86"/>
        </w:rPr>
        <w:t xml:space="preserve">4. </w:t>
      </w:r>
      <w:r>
        <w:t>Die Analyse kann mit einer neueren Analyzer-Version wiederholt werden.</w:t>
      </w:r>
    </w:p>
    <w:p>
      <w:pPr>
        <w:pStyle w:val="BodyText"/>
        <w:spacing w:after="60"/>
        <w:ind w:left="397" w:hanging="397"/>
        <w:widowControl w:val="1"/>
      </w:pPr>
      <w:r>
        <w:rPr>
          <w:b/>
          <w:color w:val="1B7F86"/>
        </w:rPr>
        <w:t xml:space="preserve">5. </w:t>
      </w:r>
      <w:r>
        <w:t>Ein Untersuchungsbericht kann exportiert werden, ohne die Rohmail zu verändern.</w:t>
      </w:r>
    </w:p>
    <w:p>
      <w:pPr>
        <w:jc w:val="center"/>
        <w:widowControl w:val="1"/>
      </w:pPr>
      <w:r>
        <w:drawing>
          <wp:inline xmlns:a="http://schemas.openxmlformats.org/drawingml/2006/main" xmlns:pic="http://schemas.openxmlformats.org/drawingml/2006/picture">
            <wp:extent cx="5940000" cy="3165943"/>
            <wp:docPr id="2" name="Picture 2" descr="Ablauf des vollständigen POP3-Abrufs: Streaming in temporäre Datei, SHA-256-Berechnung, SQLite-Abgleich sowie Übernahme neuer oder Verwerfen bekannter Nachrichten." title="Ablauf des vollständigen POP3-Abrufs: Streaming in temporäre Datei, SHA-256-Berechnung, SQLite-Abgleich sowie Übernahme neuer oder Verwerfen bekannter Nachrichten."/>
            <wp:cNvGraphicFramePr>
              <a:graphicFrameLocks noChangeAspect="1"/>
            </wp:cNvGraphicFramePr>
            <a:graphic>
              <a:graphicData uri="http://schemas.openxmlformats.org/drawingml/2006/picture">
                <pic:pic>
                  <pic:nvPicPr>
                    <pic:cNvPr id="0" name="getall.png"/>
                    <pic:cNvPicPr/>
                  </pic:nvPicPr>
                  <pic:blipFill>
                    <a:blip r:embed="rId12"/>
                    <a:stretch>
                      <a:fillRect/>
                    </a:stretch>
                  </pic:blipFill>
                  <pic:spPr>
                    <a:xfrm>
                      <a:off x="0" y="0"/>
                      <a:ext cx="5940000" cy="3165943"/>
                    </a:xfrm>
                    <a:prstGeom prst="rect"/>
                  </pic:spPr>
                </pic:pic>
              </a:graphicData>
            </a:graphic>
          </wp:inline>
        </w:drawing>
      </w:r>
    </w:p>
    <w:p>
      <w:pPr>
        <w:pStyle w:val="SmallNote"/>
        <w:jc w:val="center"/>
        <w:widowControl w:val="1"/>
      </w:pPr>
      <w:r>
        <w:t>Abbildung 2: Vollständiger Abruf und automatische Deduplizierung.</w:t>
      </w:r>
    </w:p>
    <w:p>
      <w:pPr>
        <w:pStyle w:val="Heading1"/>
        <w:widowControl w:val="1"/>
      </w:pPr>
      <w:r>
        <w:t>6. Funktionale Anforderungen</w:t>
      </w:r>
    </w:p>
    <w:p>
      <w:pPr>
        <w:pStyle w:val="BodyText"/>
        <w:widowControl w:val="1"/>
      </w:pPr>
      <w:r>
        <w:t>Die folgenden Anforderungen bilden den fachlichen Sollumfang für Version 1.0. Sie sind gruppiert und mit einer eindeutigen Kennung versehen. Die Abnahmekriterien sind bewusst kurz formuliert; detaillierte Testfälle werden im Testhandbuch und im Pflichtenheft abgeleitet.</w:t>
      </w:r>
    </w:p>
    <w:p>
      <w:pPr>
        <w:pStyle w:val="Heading2"/>
        <w:widowControl w:val="1"/>
      </w:pPr>
      <w:r>
        <w:t>6.1 Konten und Identitäten</w:t>
      </w:r>
    </w:p>
    <w:tbl>
      <w:tblPr>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191"/>
            <w:shd w:fill="12324A"/>
            <w:vAlign w:val="center"/>
            <w:tcBorders>
              <w:top w:sz="3" w:val="single" w:color="D9E0E5"/>
              <w:left w:sz="3" w:val="single" w:color="D9E0E5"/>
              <w:bottom w:sz="3" w:val="single" w:color="D9E0E5"/>
              <w:right w:sz="3" w:val="single" w:color="D9E0E5"/>
            </w:tcBorders>
          </w:tcPr>
          <w:p>
            <w:r>
              <w:rPr>
                <w:b/>
                <w:color w:val="FFFFFF"/>
                <w:sz w:val="17"/>
              </w:rPr>
              <w:t>ID</w:t>
            </w:r>
          </w:p>
        </w:tc>
        <w:tc>
          <w:tcPr>
            <w:tcW w:type="dxa" w:w="5386"/>
            <w:shd w:fill="12324A"/>
            <w:vAlign w:val="center"/>
            <w:tcBorders>
              <w:top w:sz="3" w:val="single" w:color="D9E0E5"/>
              <w:left w:sz="3" w:val="single" w:color="D9E0E5"/>
              <w:bottom w:sz="3" w:val="single" w:color="D9E0E5"/>
              <w:right w:sz="3" w:val="single" w:color="D9E0E5"/>
            </w:tcBorders>
          </w:tcPr>
          <w:p>
            <w:r>
              <w:rPr>
                <w:b/>
                <w:color w:val="FFFFFF"/>
                <w:sz w:val="17"/>
              </w:rPr>
              <w:t>Anforderung</w:t>
            </w:r>
          </w:p>
        </w:tc>
        <w:tc>
          <w:tcPr>
            <w:tcW w:type="dxa" w:w="1134"/>
            <w:shd w:fill="12324A"/>
            <w:vAlign w:val="center"/>
            <w:tcBorders>
              <w:top w:sz="3" w:val="single" w:color="D9E0E5"/>
              <w:left w:sz="3" w:val="single" w:color="D9E0E5"/>
              <w:bottom w:sz="3" w:val="single" w:color="D9E0E5"/>
              <w:right w:sz="3" w:val="single" w:color="D9E0E5"/>
            </w:tcBorders>
          </w:tcPr>
          <w:p>
            <w:r>
              <w:rPr>
                <w:b/>
                <w:color w:val="FFFFFF"/>
                <w:sz w:val="17"/>
              </w:rPr>
              <w:t>Priorität</w:t>
            </w:r>
          </w:p>
        </w:tc>
        <w:tc>
          <w:tcPr>
            <w:tcW w:type="dxa" w:w="2268"/>
            <w:shd w:fill="12324A"/>
            <w:vAlign w:val="center"/>
            <w:tcBorders>
              <w:top w:sz="3" w:val="single" w:color="D9E0E5"/>
              <w:left w:sz="3" w:val="single" w:color="D9E0E5"/>
              <w:bottom w:sz="3" w:val="single" w:color="D9E0E5"/>
              <w:right w:sz="3" w:val="single" w:color="D9E0E5"/>
            </w:tcBorders>
          </w:tcPr>
          <w:p>
            <w:r>
              <w:rPr>
                <w:b/>
                <w:color w:val="FFFFFF"/>
                <w:sz w:val="17"/>
              </w:rPr>
              <w:t>Abnahmekriterium</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LF-KTO-001</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Die Anwendung muss mehrere POP3-/SMTP-Konten eines lokalen Benutzers verwalten können.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Mindestens zwei Konten lassen sich getrennt konfigurieren, aktivieren und abrufen.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LF-KTO-002</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Für jedes Konto müssen Anzeigename, vollständige E-Mail-Adresse, Benutzername, Eingangsserver, Ausgangsserver, Ports und Sicherheitsmodi konfigurierbar sein.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Alle Felder sind editierbar, validiert und werden ohne Geheimnisse exportiert.</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LF-KTO-003</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Die Anwendung muss Providerprofile für GMX und IONOS anbieten, ohne manuelle Konfiguration zu verhindern.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GMX und IONOS sind auswählbar; alle Werte bleiben manuell überschreibbar.</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LF-KTO-004</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Vor dem Speichern eines Kontos muss ein nachvollziehbarer Verbindungstest möglich sein.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DNS, TCP, TLS und Authentifizierung werden getrennt als erfolgreich oder fehlerhaft angezeigt.</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LF-KTO-005</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Ein Konto muss deaktiviert werden können, ohne lokale Nachrichten zu verlieren.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Deaktiviertes Konto wird nicht automatisch abgerufen; Daten bleiben sichtbar.</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LF-KTO-006</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Pro Konto sollen mehrere Absenderidentitäten und Signaturen vorbereitet werden.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Mindestens eine zusätzliche Identität kann gespeichert und beim Verfassen gewählt werden.</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LF-KTO-007</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Geheimnisse dürfen nicht Bestandteil normaler Kontoexporte sein.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Exportdatei enthält weder Passwort noch Token oder entschlüsselbare Ersatzwerte.</w:t>
            </w:r>
          </w:p>
        </w:tc>
      </w:tr>
    </w:tbl>
    <w:p>
      <w:pPr>
        <w:widowControl w:val="1"/>
      </w:pPr>
    </w:p>
    <w:p>
      <w:pPr>
        <w:pStyle w:val="Heading2"/>
        <w:widowControl w:val="1"/>
      </w:pPr>
      <w:r>
        <w:t>6.2 POP3-Abruf</w:t>
      </w:r>
    </w:p>
    <w:tbl>
      <w:tblPr>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191"/>
            <w:shd w:fill="12324A"/>
            <w:vAlign w:val="center"/>
            <w:tcBorders>
              <w:top w:sz="3" w:val="single" w:color="D9E0E5"/>
              <w:left w:sz="3" w:val="single" w:color="D9E0E5"/>
              <w:bottom w:sz="3" w:val="single" w:color="D9E0E5"/>
              <w:right w:sz="3" w:val="single" w:color="D9E0E5"/>
            </w:tcBorders>
          </w:tcPr>
          <w:p>
            <w:r>
              <w:rPr>
                <w:b/>
                <w:color w:val="FFFFFF"/>
                <w:sz w:val="17"/>
              </w:rPr>
              <w:t>ID</w:t>
            </w:r>
          </w:p>
        </w:tc>
        <w:tc>
          <w:tcPr>
            <w:tcW w:type="dxa" w:w="5386"/>
            <w:shd w:fill="12324A"/>
            <w:vAlign w:val="center"/>
            <w:tcBorders>
              <w:top w:sz="3" w:val="single" w:color="D9E0E5"/>
              <w:left w:sz="3" w:val="single" w:color="D9E0E5"/>
              <w:bottom w:sz="3" w:val="single" w:color="D9E0E5"/>
              <w:right w:sz="3" w:val="single" w:color="D9E0E5"/>
            </w:tcBorders>
          </w:tcPr>
          <w:p>
            <w:r>
              <w:rPr>
                <w:b/>
                <w:color w:val="FFFFFF"/>
                <w:sz w:val="17"/>
              </w:rPr>
              <w:t>Anforderung</w:t>
            </w:r>
          </w:p>
        </w:tc>
        <w:tc>
          <w:tcPr>
            <w:tcW w:type="dxa" w:w="1134"/>
            <w:shd w:fill="12324A"/>
            <w:vAlign w:val="center"/>
            <w:tcBorders>
              <w:top w:sz="3" w:val="single" w:color="D9E0E5"/>
              <w:left w:sz="3" w:val="single" w:color="D9E0E5"/>
              <w:bottom w:sz="3" w:val="single" w:color="D9E0E5"/>
              <w:right w:sz="3" w:val="single" w:color="D9E0E5"/>
            </w:tcBorders>
          </w:tcPr>
          <w:p>
            <w:r>
              <w:rPr>
                <w:b/>
                <w:color w:val="FFFFFF"/>
                <w:sz w:val="17"/>
              </w:rPr>
              <w:t>Priorität</w:t>
            </w:r>
          </w:p>
        </w:tc>
        <w:tc>
          <w:tcPr>
            <w:tcW w:type="dxa" w:w="2268"/>
            <w:shd w:fill="12324A"/>
            <w:vAlign w:val="center"/>
            <w:tcBorders>
              <w:top w:sz="3" w:val="single" w:color="D9E0E5"/>
              <w:left w:sz="3" w:val="single" w:color="D9E0E5"/>
              <w:bottom w:sz="3" w:val="single" w:color="D9E0E5"/>
              <w:right w:sz="3" w:val="single" w:color="D9E0E5"/>
            </w:tcBorders>
          </w:tcPr>
          <w:p>
            <w:r>
              <w:rPr>
                <w:b/>
                <w:color w:val="FFFFFF"/>
                <w:sz w:val="17"/>
              </w:rPr>
              <w:t>Abnahmekriterium</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LF-ABR-001</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Der normale Abruf muss über POP3S beziehungsweise POP3 mit zwingendem TLS erfolgen.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Unverschlüsselte Verbindungen werden nicht automatisch verwendet.</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LF-ABR-002</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Der Befehl „Neue Mails abrufen“ muss UIDL und den lokalen Index verwenden, um nur noch nicht bekannte Nachrichten abzurufen.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Bei unverändertem Serverbestand werden keine vollständigen bekannten Mails erneut gespeichert.</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LF-ABR-003</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Der Befehl „Alle Mails abrufen“ muss alle auf dem POP3-Server sichtbaren Nachrichten vollständig herunterladen und lokal vergleichen.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Auch bekannte UIDLs werden vollständig geprüft; Bericht weist geprüft, neu, bekannt und fehlerhaft aus.</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LF-ABR-004</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Der vollständige Abruf muss abbrechbar sein.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Abbruch beendet den Lauf kontrolliert; bereits vollständig übernommene Mails bleiben konsistent.</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LF-ABR-005</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Ein abgebrochener oder unterbrochener Abruf muss ohne Datenverlust erneut gestartet werden können.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Der Folgelauf erzeugt keine doppelten lokalen Nachrichten.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LF-ABR-006</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Fehler bei einer einzelnen Nachricht dürfen den gesamten Abruf nicht zwangsläufig abbrechen.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Fehlerhafte Nachricht wird protokolliert; weitere Nachrichten werden geprüft.</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LF-ABR-007</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Die Standardoption muss Nachrichten auf dem Server belassen.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Nach erfolgreichem Abruf wird kein POP3-Löschkommando gesendet.</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LF-ABR-008</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Eine spätere Löschoption darf nur explizit, kontoabhängig und mit deutlicher Warnung aktivierbar sein.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Ohne bewusste Aktivierung ist keine Serverlöschung möglich.</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LF-ABR-009</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Der Abruf muss einen Fortschritt mit Anzahl, Datenmenge, Laufzeit und aktueller Phase anzeigen.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Fortschritt wird während des Laufs aktualisiert und am Ende als Bericht gespeichert.</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LF-ABR-010</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Die Anwendung muss zwischen normalem Abruf, vollständigem Abruf und lokalem Import unterscheiden.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Provenienzfeld zeigt die Quelle jeder Nachricht.</w:t>
            </w:r>
          </w:p>
        </w:tc>
      </w:tr>
    </w:tbl>
    <w:p>
      <w:pPr>
        <w:widowControl w:val="1"/>
      </w:pPr>
    </w:p>
    <w:p>
      <w:pPr>
        <w:pStyle w:val="Heading2"/>
        <w:widowControl w:val="1"/>
      </w:pPr>
      <w:r>
        <w:t>6.3 Duplikaterkennung</w:t>
      </w:r>
    </w:p>
    <w:tbl>
      <w:tblPr>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191"/>
            <w:shd w:fill="12324A"/>
            <w:vAlign w:val="center"/>
            <w:tcBorders>
              <w:top w:sz="3" w:val="single" w:color="D9E0E5"/>
              <w:left w:sz="3" w:val="single" w:color="D9E0E5"/>
              <w:bottom w:sz="3" w:val="single" w:color="D9E0E5"/>
              <w:right w:sz="3" w:val="single" w:color="D9E0E5"/>
            </w:tcBorders>
          </w:tcPr>
          <w:p>
            <w:r>
              <w:rPr>
                <w:b/>
                <w:color w:val="FFFFFF"/>
                <w:sz w:val="17"/>
              </w:rPr>
              <w:t>ID</w:t>
            </w:r>
          </w:p>
        </w:tc>
        <w:tc>
          <w:tcPr>
            <w:tcW w:type="dxa" w:w="5386"/>
            <w:shd w:fill="12324A"/>
            <w:vAlign w:val="center"/>
            <w:tcBorders>
              <w:top w:sz="3" w:val="single" w:color="D9E0E5"/>
              <w:left w:sz="3" w:val="single" w:color="D9E0E5"/>
              <w:bottom w:sz="3" w:val="single" w:color="D9E0E5"/>
              <w:right w:sz="3" w:val="single" w:color="D9E0E5"/>
            </w:tcBorders>
          </w:tcPr>
          <w:p>
            <w:r>
              <w:rPr>
                <w:b/>
                <w:color w:val="FFFFFF"/>
                <w:sz w:val="17"/>
              </w:rPr>
              <w:t>Anforderung</w:t>
            </w:r>
          </w:p>
        </w:tc>
        <w:tc>
          <w:tcPr>
            <w:tcW w:type="dxa" w:w="1134"/>
            <w:shd w:fill="12324A"/>
            <w:vAlign w:val="center"/>
            <w:tcBorders>
              <w:top w:sz="3" w:val="single" w:color="D9E0E5"/>
              <w:left w:sz="3" w:val="single" w:color="D9E0E5"/>
              <w:bottom w:sz="3" w:val="single" w:color="D9E0E5"/>
              <w:right w:sz="3" w:val="single" w:color="D9E0E5"/>
            </w:tcBorders>
          </w:tcPr>
          <w:p>
            <w:r>
              <w:rPr>
                <w:b/>
                <w:color w:val="FFFFFF"/>
                <w:sz w:val="17"/>
              </w:rPr>
              <w:t>Priorität</w:t>
            </w:r>
          </w:p>
        </w:tc>
        <w:tc>
          <w:tcPr>
            <w:tcW w:type="dxa" w:w="2268"/>
            <w:shd w:fill="12324A"/>
            <w:vAlign w:val="center"/>
            <w:tcBorders>
              <w:top w:sz="3" w:val="single" w:color="D9E0E5"/>
              <w:left w:sz="3" w:val="single" w:color="D9E0E5"/>
              <w:bottom w:sz="3" w:val="single" w:color="D9E0E5"/>
              <w:right w:sz="3" w:val="single" w:color="D9E0E5"/>
            </w:tcBorders>
          </w:tcPr>
          <w:p>
            <w:r>
              <w:rPr>
                <w:b/>
                <w:color w:val="FFFFFF"/>
                <w:sz w:val="17"/>
              </w:rPr>
              <w:t>Abnahmekriterium</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LF-DUP-001</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Für jede vollständig geladene Rohmail muss ein SHA-256-Hash über die unveränderten Bytes berechnet werden.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Hash ist deterministisch und in der Datenbank gespeichert.</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LF-DUP-002</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Die Duplikatprüfung muss mindestens Konto-ID, Rohdatenhash und Byte-Länge berücksichtigen.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Zwei identische Mails im gleichen Konto werden nur einmal als kanonische Mail gespeichert.</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LF-DUP-003</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Eine während „Get all“ als bekannt erkannte temporäre Kopie muss automatisch verworfen werden.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Lokaler Bestand wächst bei erneutem vollständigem Abruf nicht durch exakte Duplikate.</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LF-DUP-004</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Die vorhandene kanonische lokale Mail und die Servermail dürfen durch die Duplikatbereinigung nicht gelöscht werden.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Nur die neue temporäre Downloadkopie wird entfernt.</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LF-DUP-005</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Der Anwender muss einen lokalen Bestandsprüflauf für bereits vorhandene Duplikate starten können.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Lauf gruppiert exakte Duplikate und erzeugt vor Änderungen einen Bericht.</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LF-DUP-006</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Automatische Bestandsbereinigung darf nur beweisbar identische Rohmails entfernen.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Unterschiedliche Rohdatenhashes werden niemals automatisch zusammengeführt.</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LF-DUP-007</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Message-ID, UIDL und semantische Merkmale sollen als Diagnoseinformationen gespeichert werden, dürfen den Rohdatenhash aber nicht ersetzen.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Diagnose zeigt alle Kennungen; exakte Entscheidung basiert weiterhin auf Rohdaten.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LF-DUP-008</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Jeder Deduplizierungsvorgang muss nachvollziehbar protokolliert werden.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Bericht nennt kanonische Nachricht, verworfene temporäre Kopie, Hash und Zeitpunkt.</w:t>
            </w:r>
          </w:p>
        </w:tc>
      </w:tr>
    </w:tbl>
    <w:p>
      <w:pPr>
        <w:widowControl w:val="1"/>
      </w:pPr>
    </w:p>
    <w:p>
      <w:pPr>
        <w:pStyle w:val="Heading2"/>
        <w:widowControl w:val="1"/>
      </w:pPr>
      <w:r>
        <w:t>6.4 Lokale Speicherung und Provenienz</w:t>
      </w:r>
    </w:p>
    <w:tbl>
      <w:tblPr>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191"/>
            <w:shd w:fill="12324A"/>
            <w:vAlign w:val="center"/>
            <w:tcBorders>
              <w:top w:sz="3" w:val="single" w:color="D9E0E5"/>
              <w:left w:sz="3" w:val="single" w:color="D9E0E5"/>
              <w:bottom w:sz="3" w:val="single" w:color="D9E0E5"/>
              <w:right w:sz="3" w:val="single" w:color="D9E0E5"/>
            </w:tcBorders>
          </w:tcPr>
          <w:p>
            <w:r>
              <w:rPr>
                <w:b/>
                <w:color w:val="FFFFFF"/>
                <w:sz w:val="17"/>
              </w:rPr>
              <w:t>ID</w:t>
            </w:r>
          </w:p>
        </w:tc>
        <w:tc>
          <w:tcPr>
            <w:tcW w:type="dxa" w:w="5386"/>
            <w:shd w:fill="12324A"/>
            <w:vAlign w:val="center"/>
            <w:tcBorders>
              <w:top w:sz="3" w:val="single" w:color="D9E0E5"/>
              <w:left w:sz="3" w:val="single" w:color="D9E0E5"/>
              <w:bottom w:sz="3" w:val="single" w:color="D9E0E5"/>
              <w:right w:sz="3" w:val="single" w:color="D9E0E5"/>
            </w:tcBorders>
          </w:tcPr>
          <w:p>
            <w:r>
              <w:rPr>
                <w:b/>
                <w:color w:val="FFFFFF"/>
                <w:sz w:val="17"/>
              </w:rPr>
              <w:t>Anforderung</w:t>
            </w:r>
          </w:p>
        </w:tc>
        <w:tc>
          <w:tcPr>
            <w:tcW w:type="dxa" w:w="1134"/>
            <w:shd w:fill="12324A"/>
            <w:vAlign w:val="center"/>
            <w:tcBorders>
              <w:top w:sz="3" w:val="single" w:color="D9E0E5"/>
              <w:left w:sz="3" w:val="single" w:color="D9E0E5"/>
              <w:bottom w:sz="3" w:val="single" w:color="D9E0E5"/>
              <w:right w:sz="3" w:val="single" w:color="D9E0E5"/>
            </w:tcBorders>
          </w:tcPr>
          <w:p>
            <w:r>
              <w:rPr>
                <w:b/>
                <w:color w:val="FFFFFF"/>
                <w:sz w:val="17"/>
              </w:rPr>
              <w:t>Priorität</w:t>
            </w:r>
          </w:p>
        </w:tc>
        <w:tc>
          <w:tcPr>
            <w:tcW w:type="dxa" w:w="2268"/>
            <w:shd w:fill="12324A"/>
            <w:vAlign w:val="center"/>
            <w:tcBorders>
              <w:top w:sz="3" w:val="single" w:color="D9E0E5"/>
              <w:left w:sz="3" w:val="single" w:color="D9E0E5"/>
              <w:bottom w:sz="3" w:val="single" w:color="D9E0E5"/>
              <w:right w:sz="3" w:val="single" w:color="D9E0E5"/>
            </w:tcBorders>
          </w:tcPr>
          <w:p>
            <w:r>
              <w:rPr>
                <w:b/>
                <w:color w:val="FFFFFF"/>
                <w:sz w:val="17"/>
              </w:rPr>
              <w:t>Abnahmekriterium</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LF-SPR-001</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Rohmails müssen unverändert und getrennt von abgeleiteten Daten gespeichert werden.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Originaldatei bleibt bytegleich; Parser überschreibt sie nicht.</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LF-SPR-002</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Metadaten, Status, Analyseergebnisse und Indizes müssen in SQLite gespeichert werden.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Anwendung kann nach Neustart alle Zustände rekonstruieren.</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LF-SPR-003</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Dateiübernahme und Datenbankregistrierung müssen absturzsicher koordiniert werden.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Kein regulärer Abbruch erzeugt einen als vollständig markierten Datensatz ohne Rohdatei.</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LF-SPR-004</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Temporäre Dateien müssen in einem separaten Bereich gespeichert und bereinigbar sein.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Verwaiste Temp-Dateien können beim Start erkannt und sicher entfernt werden.</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LF-SPR-005</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Jede Mail muss eine interne, providerunabhängige ID erhalten.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Interne ID bleibt auch bei Reprocessing und geänderten externen Kennungen stabil.</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LF-SPR-006</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Provenienz muss Konto, Abrufart, Abrufzeit, UIDL, Rohhash, Größe und Speicherort enthalten.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Provenienz ist in der Historienansicht sichtbar und exportierbar.</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LF-SPR-007</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Schemaänderungen müssen über versionierte Migrationen erfolgen.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Update von der vorherigen unterstützten Version erhält bestehende Daten.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LF-SPR-008</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Die lokale Datenablage muss in dokumentierten, benutzerbezogenen Windows-Verzeichnissen erfolgen.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Installations- und Datenpfade sind im Handbuch benannt und werden nicht im Programmverzeichnis vermischt.</w:t>
            </w:r>
          </w:p>
        </w:tc>
      </w:tr>
    </w:tbl>
    <w:p>
      <w:pPr>
        <w:widowControl w:val="1"/>
      </w:pPr>
    </w:p>
    <w:p>
      <w:pPr>
        <w:pStyle w:val="Heading2"/>
        <w:widowControl w:val="1"/>
      </w:pPr>
      <w:r>
        <w:t>6.5 MIME, Darstellung und sichere HTML-Anzeige</w:t>
      </w:r>
    </w:p>
    <w:tbl>
      <w:tblPr>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191"/>
            <w:shd w:fill="12324A"/>
            <w:vAlign w:val="center"/>
            <w:tcBorders>
              <w:top w:sz="3" w:val="single" w:color="D9E0E5"/>
              <w:left w:sz="3" w:val="single" w:color="D9E0E5"/>
              <w:bottom w:sz="3" w:val="single" w:color="D9E0E5"/>
              <w:right w:sz="3" w:val="single" w:color="D9E0E5"/>
            </w:tcBorders>
          </w:tcPr>
          <w:p>
            <w:r>
              <w:rPr>
                <w:b/>
                <w:color w:val="FFFFFF"/>
                <w:sz w:val="17"/>
              </w:rPr>
              <w:t>ID</w:t>
            </w:r>
          </w:p>
        </w:tc>
        <w:tc>
          <w:tcPr>
            <w:tcW w:type="dxa" w:w="5386"/>
            <w:shd w:fill="12324A"/>
            <w:vAlign w:val="center"/>
            <w:tcBorders>
              <w:top w:sz="3" w:val="single" w:color="D9E0E5"/>
              <w:left w:sz="3" w:val="single" w:color="D9E0E5"/>
              <w:bottom w:sz="3" w:val="single" w:color="D9E0E5"/>
              <w:right w:sz="3" w:val="single" w:color="D9E0E5"/>
            </w:tcBorders>
          </w:tcPr>
          <w:p>
            <w:r>
              <w:rPr>
                <w:b/>
                <w:color w:val="FFFFFF"/>
                <w:sz w:val="17"/>
              </w:rPr>
              <w:t>Anforderung</w:t>
            </w:r>
          </w:p>
        </w:tc>
        <w:tc>
          <w:tcPr>
            <w:tcW w:type="dxa" w:w="1134"/>
            <w:shd w:fill="12324A"/>
            <w:vAlign w:val="center"/>
            <w:tcBorders>
              <w:top w:sz="3" w:val="single" w:color="D9E0E5"/>
              <w:left w:sz="3" w:val="single" w:color="D9E0E5"/>
              <w:bottom w:sz="3" w:val="single" w:color="D9E0E5"/>
              <w:right w:sz="3" w:val="single" w:color="D9E0E5"/>
            </w:tcBorders>
          </w:tcPr>
          <w:p>
            <w:r>
              <w:rPr>
                <w:b/>
                <w:color w:val="FFFFFF"/>
                <w:sz w:val="17"/>
              </w:rPr>
              <w:t>Priorität</w:t>
            </w:r>
          </w:p>
        </w:tc>
        <w:tc>
          <w:tcPr>
            <w:tcW w:type="dxa" w:w="2268"/>
            <w:shd w:fill="12324A"/>
            <w:vAlign w:val="center"/>
            <w:tcBorders>
              <w:top w:sz="3" w:val="single" w:color="D9E0E5"/>
              <w:left w:sz="3" w:val="single" w:color="D9E0E5"/>
              <w:bottom w:sz="3" w:val="single" w:color="D9E0E5"/>
              <w:right w:sz="3" w:val="single" w:color="D9E0E5"/>
            </w:tcBorders>
          </w:tcPr>
          <w:p>
            <w:r>
              <w:rPr>
                <w:b/>
                <w:color w:val="FFFFFF"/>
                <w:sz w:val="17"/>
              </w:rPr>
              <w:t>Abnahmekriterium</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LF-DAR-001</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Die Anwendung muss RFC-822-/MIME-Nachrichten mit MimeKit oder gleichwertiger Bibliothek parsen.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Plaintext, HTML, Multipart und Anhänge werden aus typischen Testmails korrekt erkannt.</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LF-DAR-002</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Plaintext und HTML müssen als getrennte abgeleitete Ansichten verfügbar sein.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Nutzer kann bevorzugte Ansicht wählen; Rohmail bleibt unverändert.</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LF-DAR-003</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Die Anwendung muss verschachtelte MIME-Strukturen, Base64 und quoted-printable verarbeiten.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Referenzmails mit diesen Kodierungen werden lesbar angezeigt.</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LF-DAR-004</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Externe Bilder und Ressourcen müssen standardmäßig blockiert sein.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Beim Öffnen einer HTML-Mail erfolgt ohne Nutzerfreigabe kein externer Abruf.</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LF-DAR-005</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Skripte, aktive Inhalte und gefährliche URL-Schemata dürfen nicht ausgeführt werden.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Testmails können kein JavaScript, file:, data:-Download oder benutzerdefiniertes Protokoll automatisch starten.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LF-DAR-006</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Die echte Linkadresse muss vor dem Öffnen sichtbar sein.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Mouseover oder Kontextaktion zeigt normalisierte Ziel-URL und Domain.</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LF-DAR-007</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HTML-Mail muss in einer isolierten, kontrollierten Rendering-Umgebung angezeigt werden.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Navigation und Ressourcenanforderungen werden durch die Anwendung abgefangen.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LF-DAR-008</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Eine Rohdatenansicht muss vollständige Header, Body-Quelltext und MIME-Baum bereitstellen.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Nachricht kann ohne externe Werkzeuge untersucht werden.</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LF-DAR-009</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Der Anwender muss Schriftgröße, Zoom und bevorzugte Textansicht einstellen können.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Einstellungen bleiben nach Neustart erhalten.</w:t>
            </w:r>
          </w:p>
        </w:tc>
      </w:tr>
    </w:tbl>
    <w:p>
      <w:pPr>
        <w:widowControl w:val="1"/>
      </w:pPr>
    </w:p>
    <w:p>
      <w:pPr>
        <w:pStyle w:val="Heading2"/>
        <w:widowControl w:val="1"/>
      </w:pPr>
      <w:r>
        <w:t>6.6 Lokales Warnsystem</w:t>
      </w:r>
    </w:p>
    <w:p>
      <w:pPr>
        <w:pStyle w:val="BodyText"/>
        <w:widowControl w:val="1"/>
      </w:pPr>
      <w:r>
        <w:t>Das Warnsystem ist ein lokales Decision-Support-System. Es arbeitet mit mehreren Indikatoren und gepflegten Vertrauensprofilen. Eine geografische Zuordnung einer Domain oder IP kann höchstens ein Kontextsignal sein; sie darf nicht allein eine Warnung „bösartig“ auslösen. Ebenso kann eine legitime Organisation externe Versand- oder Trackingdienstleister einsetzen. Daher müssen alle Entscheidungen erklärbar und korrigierbar bleiben.</w:t>
      </w:r>
    </w:p>
    <w:p>
      <w:pPr>
        <w:jc w:val="center"/>
        <w:widowControl w:val="1"/>
      </w:pPr>
      <w:r>
        <w:drawing>
          <wp:inline xmlns:a="http://schemas.openxmlformats.org/drawingml/2006/main" xmlns:pic="http://schemas.openxmlformats.org/drawingml/2006/picture">
            <wp:extent cx="5940000" cy="3431933"/>
            <wp:docPr id="3" name="Picture 3" descr="Mehrstufiges lokales Warnsystem mit Extraktion, URL-Normalisierung, Identitätsprüfung, Linkanalyse, Markenprofilen, Anhangsanalyse und erklärbarem Ergebnis." title="Mehrstufiges lokales Warnsystem mit Extraktion, URL-Normalisierung, Identitätsprüfung, Linkanalyse, Markenprofilen, Anhangsanalyse und erklärbarem Ergebnis."/>
            <wp:cNvGraphicFramePr>
              <a:graphicFrameLocks noChangeAspect="1"/>
            </wp:cNvGraphicFramePr>
            <a:graphic>
              <a:graphicData uri="http://schemas.openxmlformats.org/drawingml/2006/picture">
                <pic:pic>
                  <pic:nvPicPr>
                    <pic:cNvPr id="0" name="warning.png"/>
                    <pic:cNvPicPr/>
                  </pic:nvPicPr>
                  <pic:blipFill>
                    <a:blip r:embed="rId13"/>
                    <a:stretch>
                      <a:fillRect/>
                    </a:stretch>
                  </pic:blipFill>
                  <pic:spPr>
                    <a:xfrm>
                      <a:off x="0" y="0"/>
                      <a:ext cx="5940000" cy="3431933"/>
                    </a:xfrm>
                    <a:prstGeom prst="rect"/>
                  </pic:spPr>
                </pic:pic>
              </a:graphicData>
            </a:graphic>
          </wp:inline>
        </w:drawing>
      </w:r>
    </w:p>
    <w:p>
      <w:pPr>
        <w:pStyle w:val="SmallNote"/>
        <w:jc w:val="center"/>
        <w:widowControl w:val="1"/>
      </w:pPr>
      <w:r>
        <w:t>Abbildung 3: Mehrstufige lokale Warnanalyse ohne Blackbox-Urteil.</w:t>
      </w:r>
    </w:p>
    <w:tbl>
      <w:tblPr>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191"/>
            <w:shd w:fill="12324A"/>
            <w:vAlign w:val="center"/>
            <w:tcBorders>
              <w:top w:sz="3" w:val="single" w:color="D9E0E5"/>
              <w:left w:sz="3" w:val="single" w:color="D9E0E5"/>
              <w:bottom w:sz="3" w:val="single" w:color="D9E0E5"/>
              <w:right w:sz="3" w:val="single" w:color="D9E0E5"/>
            </w:tcBorders>
          </w:tcPr>
          <w:p>
            <w:r>
              <w:rPr>
                <w:b/>
                <w:color w:val="FFFFFF"/>
                <w:sz w:val="17"/>
              </w:rPr>
              <w:t>ID</w:t>
            </w:r>
          </w:p>
        </w:tc>
        <w:tc>
          <w:tcPr>
            <w:tcW w:type="dxa" w:w="5386"/>
            <w:shd w:fill="12324A"/>
            <w:vAlign w:val="center"/>
            <w:tcBorders>
              <w:top w:sz="3" w:val="single" w:color="D9E0E5"/>
              <w:left w:sz="3" w:val="single" w:color="D9E0E5"/>
              <w:bottom w:sz="3" w:val="single" w:color="D9E0E5"/>
              <w:right w:sz="3" w:val="single" w:color="D9E0E5"/>
            </w:tcBorders>
          </w:tcPr>
          <w:p>
            <w:r>
              <w:rPr>
                <w:b/>
                <w:color w:val="FFFFFF"/>
                <w:sz w:val="17"/>
              </w:rPr>
              <w:t>Anforderung</w:t>
            </w:r>
          </w:p>
        </w:tc>
        <w:tc>
          <w:tcPr>
            <w:tcW w:type="dxa" w:w="1134"/>
            <w:shd w:fill="12324A"/>
            <w:vAlign w:val="center"/>
            <w:tcBorders>
              <w:top w:sz="3" w:val="single" w:color="D9E0E5"/>
              <w:left w:sz="3" w:val="single" w:color="D9E0E5"/>
              <w:bottom w:sz="3" w:val="single" w:color="D9E0E5"/>
              <w:right w:sz="3" w:val="single" w:color="D9E0E5"/>
            </w:tcBorders>
          </w:tcPr>
          <w:p>
            <w:r>
              <w:rPr>
                <w:b/>
                <w:color w:val="FFFFFF"/>
                <w:sz w:val="17"/>
              </w:rPr>
              <w:t>Priorität</w:t>
            </w:r>
          </w:p>
        </w:tc>
        <w:tc>
          <w:tcPr>
            <w:tcW w:type="dxa" w:w="2268"/>
            <w:shd w:fill="12324A"/>
            <w:vAlign w:val="center"/>
            <w:tcBorders>
              <w:top w:sz="3" w:val="single" w:color="D9E0E5"/>
              <w:left w:sz="3" w:val="single" w:color="D9E0E5"/>
              <w:bottom w:sz="3" w:val="single" w:color="D9E0E5"/>
              <w:right w:sz="3" w:val="single" w:color="D9E0E5"/>
            </w:tcBorders>
          </w:tcPr>
          <w:p>
            <w:r>
              <w:rPr>
                <w:b/>
                <w:color w:val="FFFFFF"/>
                <w:sz w:val="17"/>
              </w:rPr>
              <w:t>Abnahmekriterium</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LF-WAR-001</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Die Anwendung muss alle anklickbaren Links, Button-Ziele, Bildlinks und Formularziele aus HTML-Mail lokal extrahieren.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Analyse listet jedes gefundene Ziel mit Quelle und sichtbarem Text auf.</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LF-WAR-002</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Sichtbarer Linktext und tatsächliches Ziel müssen auf Widersprüche geprüft werden.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Ein Linktext „sparkasse.de“ mit abweichendem href erzeugt einen erklärten Warnhinweis.</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LF-WAR-003</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Zieldomains müssen normalisiert und sowohl als Unicode- als auch Punycode-Darstellung angezeigt werden.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IDN-Domain ist in beiden Formen sichtbar; verdächtige Zeichenmischung wird markiert.</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LF-WAR-004</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URLs mit IP-Adresse statt Domain, Klartext-HTTP, ungewöhnlichen Ports oder gefährlichen Schemata müssen gesondert bewertet werden.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Jeder Indikator erscheint einzeln mit Begründung.</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LF-WAR-005</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Die Linkdomain muss mit From-, Sender-, Reply-To-, Return-Path- und authentifizierten Domains verglichen werden.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Analyse zeigt Übereinstimmungen und Abweichungen, ohne daraus allein ein endgültiges Urteil abzuleiten.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LF-WAR-006</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Das System muss lokale Marken- und Vertrauensprofile mit zulässigen Domains, Unterdomains und Dienstleistern unterstützen.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Für ein Profil „Sparkasse“ können mehrere legitime Domains gepflegt und versioniert werden.</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LF-WAR-007</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Abweichungen von einem aktiv passenden Markenprofil müssen deutlich, aber erklärbar gewarnt werden.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Warnung nennt erwartete und tatsächliche Domain sowie auslösende Regel.</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LF-WAR-008</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Die Anwendung muss Authentication-Results für SPF, DKIM und DMARC auswerten und verständlich anzeigen, sofern vorhanden.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Pass/Fail/Neutral/None werden mit der betroffenen Domain dargestellt.</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LF-WAR-009</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Reply-To-Abweichungen und Display-Name-Spoofing müssen als eigene Indikatoren dargestellt werden.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Abweichung wird unabhängig von Linkanalyse sichtbar.</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LF-WAR-010</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Externe Tracking-Ressourcen und sehr kleine unsichtbare Bilder sollen erkannt werden.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Analyse listet externe Hosts, Abmessungen soweit bekannt und Trackingverdacht auf.</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LF-WAR-011</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Dateiname, deklarierter MIME-Typ und erkannter Dateityp von Anhängen müssen auf Widersprüche geprüft werden.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Doppelendung oder Typabweichung erzeugt Warnhinweis.</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LF-WAR-012</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Das Warnsystem muss mehrere Einzelindikatoren zu Warnstufen zusammenführen, aber alle Gründe einzeln anzeigen.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Keine Warnstufe erscheint ohne nachvollziehbare Begründungsliste.</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LF-WAR-013</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Das System darf niemals behaupten, eine Mail sei garantiert sicher.</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Niedrige Warnstufe wird als „keine Auffälligkeit erkannt“ und nicht als Sicherheitsgarantie formuliert.</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LF-WAR-014</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Links mit erhöhter Warnstufe dürfen erst nach bewusster Bestätigung geöffnet werden.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Direkter Klick zeigt Zwischendialog mit Ziel, Gründen und Abbruchoption.</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LF-WAR-015</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Der Nutzer muss eine Domain für ein Markenprofil lokal vertrauen oder eine Fehlwarnung dokumentieren können.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Ausnahme ist sichtbar, widerrufbar und mit Zeitstempel versehen.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LF-WAR-016</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Online-Reputation oder automatisches Aufrufen von Links darf in V1 nicht ohne ausdrückliche Aktivierung erfolgen.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Standardanalyse erzeugt keinen Netzwerkverkehr zu Mailzielen oder Reputationsdiensten.</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LF-WAR-017</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Warnregeln und Analyseergebnisse müssen versioniert sein.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Historie zeigt Analyzer-ID, Version, Eingabehash und Ergebniszeitpunkt.</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LF-WAR-018</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Das Warnsystem muss über stabile Analyzer-Schnittstellen erweiterbar sein.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Neue interne Analyzer können registriert werden, ohne die UI oder den Mailabruf zu ändern.</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LF-WAR-019</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Der Anwender muss einen Sicherheitsbericht für eine Nachricht exportieren können.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Bericht enthält Herkunft, Hash, Links, Indikatoren, Warnstufe, Methodik und Grenzen.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LF-WAR-020</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Redirector-, Kurzlink- und Trackingdomains sollen lokal anhand konfigurierbarer Listen erkannt werden.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Bekannte Muster werden markiert; ohne Netzwerkzugriff wird das endgültige Redirectziel nicht behauptet.</w:t>
            </w:r>
          </w:p>
        </w:tc>
      </w:tr>
    </w:tbl>
    <w:p>
      <w:pPr>
        <w:widowControl w:val="1"/>
      </w:pPr>
    </w:p>
    <w:p>
      <w:pPr>
        <w:pStyle w:val="Heading2"/>
        <w:widowControl w:val="1"/>
      </w:pPr>
      <w:r>
        <w:t>6.7 Verfassen, SMTP und IMAP-Gesendet-Upload</w:t>
      </w:r>
    </w:p>
    <w:tbl>
      <w:tblPr>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191"/>
            <w:shd w:fill="12324A"/>
            <w:vAlign w:val="center"/>
            <w:tcBorders>
              <w:top w:sz="3" w:val="single" w:color="D9E0E5"/>
              <w:left w:sz="3" w:val="single" w:color="D9E0E5"/>
              <w:bottom w:sz="3" w:val="single" w:color="D9E0E5"/>
              <w:right w:sz="3" w:val="single" w:color="D9E0E5"/>
            </w:tcBorders>
          </w:tcPr>
          <w:p>
            <w:r>
              <w:rPr>
                <w:b/>
                <w:color w:val="FFFFFF"/>
                <w:sz w:val="17"/>
              </w:rPr>
              <w:t>ID</w:t>
            </w:r>
          </w:p>
        </w:tc>
        <w:tc>
          <w:tcPr>
            <w:tcW w:type="dxa" w:w="5386"/>
            <w:shd w:fill="12324A"/>
            <w:vAlign w:val="center"/>
            <w:tcBorders>
              <w:top w:sz="3" w:val="single" w:color="D9E0E5"/>
              <w:left w:sz="3" w:val="single" w:color="D9E0E5"/>
              <w:bottom w:sz="3" w:val="single" w:color="D9E0E5"/>
              <w:right w:sz="3" w:val="single" w:color="D9E0E5"/>
            </w:tcBorders>
          </w:tcPr>
          <w:p>
            <w:r>
              <w:rPr>
                <w:b/>
                <w:color w:val="FFFFFF"/>
                <w:sz w:val="17"/>
              </w:rPr>
              <w:t>Anforderung</w:t>
            </w:r>
          </w:p>
        </w:tc>
        <w:tc>
          <w:tcPr>
            <w:tcW w:type="dxa" w:w="1134"/>
            <w:shd w:fill="12324A"/>
            <w:vAlign w:val="center"/>
            <w:tcBorders>
              <w:top w:sz="3" w:val="single" w:color="D9E0E5"/>
              <w:left w:sz="3" w:val="single" w:color="D9E0E5"/>
              <w:bottom w:sz="3" w:val="single" w:color="D9E0E5"/>
              <w:right w:sz="3" w:val="single" w:color="D9E0E5"/>
            </w:tcBorders>
          </w:tcPr>
          <w:p>
            <w:r>
              <w:rPr>
                <w:b/>
                <w:color w:val="FFFFFF"/>
                <w:sz w:val="17"/>
              </w:rPr>
              <w:t>Priorität</w:t>
            </w:r>
          </w:p>
        </w:tc>
        <w:tc>
          <w:tcPr>
            <w:tcW w:type="dxa" w:w="2268"/>
            <w:shd w:fill="12324A"/>
            <w:vAlign w:val="center"/>
            <w:tcBorders>
              <w:top w:sz="3" w:val="single" w:color="D9E0E5"/>
              <w:left w:sz="3" w:val="single" w:color="D9E0E5"/>
              <w:bottom w:sz="3" w:val="single" w:color="D9E0E5"/>
              <w:right w:sz="3" w:val="single" w:color="D9E0E5"/>
            </w:tcBorders>
          </w:tcPr>
          <w:p>
            <w:r>
              <w:rPr>
                <w:b/>
                <w:color w:val="FFFFFF"/>
                <w:sz w:val="17"/>
              </w:rPr>
              <w:t>Abnahmekriterium</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LF-VSD-001</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Die Anwendung muss Nachrichten über SMTP mit TLS beziehungsweise STARTTLS versenden können.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Testversand mit GMX oder IONOS ist ohne unverschlüsselte Fallback-Verbindung möglich.</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LF-VSD-002</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Neue Nachricht, Antworten, Allen antworten und Weiterleiten müssen unterstützt werden.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Header und Threadreferenzen werden korrekt gesetzt.</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LF-VSD-003</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Entwürfe müssen lokal automatisch gespeichert und nach Neustart wiederherstellbar sein.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Unversendeter Text geht nach kontrolliertem Neustart nicht verloren.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LF-VSD-004</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To, Cc, Bcc, Reply-To, Text, HTML, Signatur und Anhänge müssen unterstützt werden.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Versendete Referenzmail wird in anderem Standardclient korrekt dargestellt.</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LF-VSD-005</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Vor Versand muss bei leerem Betreff und erwähntem, aber fehlendem Anhang gewarnt werden.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Warnung kann bewusst bestätigt werden.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LF-VSD-006</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Der Versand muss über eine lokale Outbox mit eindeutigen Zuständen erfolgen.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Pending, Sending, Sent, SendUncertain, RetryRequired und Failed sind unterscheidbar.</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LF-VSD-007</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Nach erfolgreichem SMTP-Versand muss die exakt versendete MIME-Nachricht lokal archiviert werden.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Lokale Gesendet-Mail besitzt denselben Message-ID- und Inhaltsstand wie der Versand.</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LF-VSD-008</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Die gesendete Nachricht muss per IMAP APPEND in den serverseitigen Gesendet-Ordner hochgeladen werden können.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Andere IMAP-Clients sehen die Nachricht nach erfolgreichem Upload.</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LF-VSD-009</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Der Gesendet-Ordner muss über Special-Use, Providerprofil oder Nutzerauswahl bestimmbar sein.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Kein fest verdrahteter Ordnername ist erforderlich.</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LF-VSD-010</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Der IMAP-Upload muss idempotent und gegen unklare Netzwerkabbrüche abgesichert sein.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Bei UploadUncertain wird vor Wiederholung nach Message-ID und gespeicherten Merkmalen geprüft.</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LF-VSD-011</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Fehlgeschlagene Uploads müssen in einer sichtbaren Warteschlange erneut gestartet werden können.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Nutzer sieht Status, letzten Fehler und Retry-Aktion.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LF-VSD-012</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SMTP-Erfolg und IMAP-Upload-Erfolg müssen getrennt dargestellt werden.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Eine versendete, aber noch nicht hochgeladene Mail wird nicht als Versandfehler dargestellt.</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LF-VSD-013</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Die Anwendung muss Offline-Verfassen und späteren Versand vorbereiten.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Nachricht kann in der Outbox verbleiben und manuell erneut versendet werden.</w:t>
            </w:r>
          </w:p>
        </w:tc>
      </w:tr>
    </w:tbl>
    <w:p>
      <w:pPr>
        <w:widowControl w:val="1"/>
      </w:pPr>
    </w:p>
    <w:p>
      <w:pPr>
        <w:pStyle w:val="Heading2"/>
        <w:widowControl w:val="1"/>
      </w:pPr>
      <w:r>
        <w:t>6.8 Lokale Organisation, Suche und Regeln</w:t>
      </w:r>
    </w:p>
    <w:tbl>
      <w:tblPr>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191"/>
            <w:shd w:fill="12324A"/>
            <w:vAlign w:val="center"/>
            <w:tcBorders>
              <w:top w:sz="3" w:val="single" w:color="D9E0E5"/>
              <w:left w:sz="3" w:val="single" w:color="D9E0E5"/>
              <w:bottom w:sz="3" w:val="single" w:color="D9E0E5"/>
              <w:right w:sz="3" w:val="single" w:color="D9E0E5"/>
            </w:tcBorders>
          </w:tcPr>
          <w:p>
            <w:r>
              <w:rPr>
                <w:b/>
                <w:color w:val="FFFFFF"/>
                <w:sz w:val="17"/>
              </w:rPr>
              <w:t>ID</w:t>
            </w:r>
          </w:p>
        </w:tc>
        <w:tc>
          <w:tcPr>
            <w:tcW w:type="dxa" w:w="5386"/>
            <w:shd w:fill="12324A"/>
            <w:vAlign w:val="center"/>
            <w:tcBorders>
              <w:top w:sz="3" w:val="single" w:color="D9E0E5"/>
              <w:left w:sz="3" w:val="single" w:color="D9E0E5"/>
              <w:bottom w:sz="3" w:val="single" w:color="D9E0E5"/>
              <w:right w:sz="3" w:val="single" w:color="D9E0E5"/>
            </w:tcBorders>
          </w:tcPr>
          <w:p>
            <w:r>
              <w:rPr>
                <w:b/>
                <w:color w:val="FFFFFF"/>
                <w:sz w:val="17"/>
              </w:rPr>
              <w:t>Anforderung</w:t>
            </w:r>
          </w:p>
        </w:tc>
        <w:tc>
          <w:tcPr>
            <w:tcW w:type="dxa" w:w="1134"/>
            <w:shd w:fill="12324A"/>
            <w:vAlign w:val="center"/>
            <w:tcBorders>
              <w:top w:sz="3" w:val="single" w:color="D9E0E5"/>
              <w:left w:sz="3" w:val="single" w:color="D9E0E5"/>
              <w:bottom w:sz="3" w:val="single" w:color="D9E0E5"/>
              <w:right w:sz="3" w:val="single" w:color="D9E0E5"/>
            </w:tcBorders>
          </w:tcPr>
          <w:p>
            <w:r>
              <w:rPr>
                <w:b/>
                <w:color w:val="FFFFFF"/>
                <w:sz w:val="17"/>
              </w:rPr>
              <w:t>Priorität</w:t>
            </w:r>
          </w:p>
        </w:tc>
        <w:tc>
          <w:tcPr>
            <w:tcW w:type="dxa" w:w="2268"/>
            <w:shd w:fill="12324A"/>
            <w:vAlign w:val="center"/>
            <w:tcBorders>
              <w:top w:sz="3" w:val="single" w:color="D9E0E5"/>
              <w:left w:sz="3" w:val="single" w:color="D9E0E5"/>
              <w:bottom w:sz="3" w:val="single" w:color="D9E0E5"/>
              <w:right w:sz="3" w:val="single" w:color="D9E0E5"/>
            </w:tcBorders>
          </w:tcPr>
          <w:p>
            <w:r>
              <w:rPr>
                <w:b/>
                <w:color w:val="FFFFFF"/>
                <w:sz w:val="17"/>
              </w:rPr>
              <w:t>Abnahmekriterium</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LF-ORG-001</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Die Anwendung muss lokale Systemordner für Posteingang, Gesendet, Entwürfe, Outbox, Archiv, Papierkorb und Quarantäne bereitstellen.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Jede Nachricht ist mindestens einem nachvollziehbaren lokalen Bereich zugeordnet.</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LF-ORG-002</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Nachrichten müssen gelesen/ungelesen, markiert und mit lokalen Tags versehen werden können.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Status bleibt nach Neustart erhalten.</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LF-ORG-003</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Lokale Ordner müssen angelegt, umbenannt und gelöscht werden können.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Nachrichten können verlustfrei verschoben werden.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LF-ORG-004</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Eine einheitliche Ansicht über mehrere Konten muss verfügbar sein.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Unified Inbox zeigt Herkunftskonto eindeutig an.</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LF-ORG-005</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Die Nachrichtenliste muss sortierbar, filterbar und für große Bestände virtuell beziehungsweise performant sein.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100.000 Metadatensätze lassen sich ohne vollständiges Laden aller Bodies durchsuchen und darstellen.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LF-ORG-006</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Eine lokale Volltextsuche über Betreff, Absender, Empfänger und normalisierten Text muss verfügbar sein.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Typische Suche liefert Treffer konto- und ordnerübergreifend.</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LF-ORG-007</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Suche nach Datum, Status, Tag, Anhang und Dateiname muss möglich sein.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Filter lassen sich kombinieren und zurücksetzen.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LF-ORG-008</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Gespeicherte Suchen und virtuelle Ordner sollen vorbereitet werden.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Mindestens eine Suchdefinition kann gespeichert und erneut ausgeführt werden.</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LF-ORG-009</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Einfache Regeln für Absender, Betreff, Header und Tags sollen auf neue und vorhandene Mails anwendbar sein.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Regeltest zeigt betroffene Nachrichten vor Ausführung.</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LF-ORG-010</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Regelaktionen dürfen keine unbekannten externen Skripte ausführen.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V1 enthält nur klar definierte interne Aktionen.</w:t>
            </w:r>
          </w:p>
        </w:tc>
      </w:tr>
    </w:tbl>
    <w:p>
      <w:pPr>
        <w:widowControl w:val="1"/>
      </w:pPr>
    </w:p>
    <w:p>
      <w:pPr>
        <w:pStyle w:val="Heading2"/>
        <w:widowControl w:val="1"/>
      </w:pPr>
      <w:r>
        <w:t>6.9 Anhänge</w:t>
      </w:r>
    </w:p>
    <w:tbl>
      <w:tblPr>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191"/>
            <w:shd w:fill="12324A"/>
            <w:vAlign w:val="center"/>
            <w:tcBorders>
              <w:top w:sz="3" w:val="single" w:color="D9E0E5"/>
              <w:left w:sz="3" w:val="single" w:color="D9E0E5"/>
              <w:bottom w:sz="3" w:val="single" w:color="D9E0E5"/>
              <w:right w:sz="3" w:val="single" w:color="D9E0E5"/>
            </w:tcBorders>
          </w:tcPr>
          <w:p>
            <w:r>
              <w:rPr>
                <w:b/>
                <w:color w:val="FFFFFF"/>
                <w:sz w:val="17"/>
              </w:rPr>
              <w:t>ID</w:t>
            </w:r>
          </w:p>
        </w:tc>
        <w:tc>
          <w:tcPr>
            <w:tcW w:type="dxa" w:w="5386"/>
            <w:shd w:fill="12324A"/>
            <w:vAlign w:val="center"/>
            <w:tcBorders>
              <w:top w:sz="3" w:val="single" w:color="D9E0E5"/>
              <w:left w:sz="3" w:val="single" w:color="D9E0E5"/>
              <w:bottom w:sz="3" w:val="single" w:color="D9E0E5"/>
              <w:right w:sz="3" w:val="single" w:color="D9E0E5"/>
            </w:tcBorders>
          </w:tcPr>
          <w:p>
            <w:r>
              <w:rPr>
                <w:b/>
                <w:color w:val="FFFFFF"/>
                <w:sz w:val="17"/>
              </w:rPr>
              <w:t>Anforderung</w:t>
            </w:r>
          </w:p>
        </w:tc>
        <w:tc>
          <w:tcPr>
            <w:tcW w:type="dxa" w:w="1134"/>
            <w:shd w:fill="12324A"/>
            <w:vAlign w:val="center"/>
            <w:tcBorders>
              <w:top w:sz="3" w:val="single" w:color="D9E0E5"/>
              <w:left w:sz="3" w:val="single" w:color="D9E0E5"/>
              <w:bottom w:sz="3" w:val="single" w:color="D9E0E5"/>
              <w:right w:sz="3" w:val="single" w:color="D9E0E5"/>
            </w:tcBorders>
          </w:tcPr>
          <w:p>
            <w:r>
              <w:rPr>
                <w:b/>
                <w:color w:val="FFFFFF"/>
                <w:sz w:val="17"/>
              </w:rPr>
              <w:t>Priorität</w:t>
            </w:r>
          </w:p>
        </w:tc>
        <w:tc>
          <w:tcPr>
            <w:tcW w:type="dxa" w:w="2268"/>
            <w:shd w:fill="12324A"/>
            <w:vAlign w:val="center"/>
            <w:tcBorders>
              <w:top w:sz="3" w:val="single" w:color="D9E0E5"/>
              <w:left w:sz="3" w:val="single" w:color="D9E0E5"/>
              <w:bottom w:sz="3" w:val="single" w:color="D9E0E5"/>
              <w:right w:sz="3" w:val="single" w:color="D9E0E5"/>
            </w:tcBorders>
          </w:tcPr>
          <w:p>
            <w:r>
              <w:rPr>
                <w:b/>
                <w:color w:val="FFFFFF"/>
                <w:sz w:val="17"/>
              </w:rPr>
              <w:t>Abnahmekriterium</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LF-ANH-001</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Anhänge müssen mit Name, Größe, MIME-Typ und Hash angezeigt werden.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Alle Werte sind in Detailansicht und Export verfügbar.</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LF-ANH-002</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Anhänge müssen einzeln und gesammelt in ein gewähltes Verzeichnis gespeichert werden können.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Dateinamen werden sicher behandelt; vorhandene Dateien nicht still überschrieben.</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LF-ANH-003</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Ausführbare oder anderweitig riskante Dateitypen dürfen nicht direkt automatisch geöffnet werden.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Vor Öffnen erscheint deutliche Warnung oder Speichern-ist-erforderlich-Verhalten.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LF-ANH-004</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Die Anwendung muss SHA-256 für Anhänge berechnen; SHA-512 soll optional möglich sein.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Hashwerte sind reproduzierbar und exportierbar.</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LF-ANH-005</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Inline-Ressourcen müssen von normalen Anhängen unterscheidbar sein.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CID-Bilder werden korrekt der HTML-Mail zugeordnet.</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LF-ANH-006</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Gängige technische Dateitypen sollen lokal klassifiziert werden.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PDF, Office, CSV, JSON, XML, Quellcode, Archiv, Bild und Logdatei werden unterschieden.</w:t>
            </w:r>
          </w:p>
        </w:tc>
      </w:tr>
    </w:tbl>
    <w:p>
      <w:pPr>
        <w:widowControl w:val="1"/>
      </w:pPr>
    </w:p>
    <w:p>
      <w:pPr>
        <w:pStyle w:val="Heading2"/>
        <w:widowControl w:val="1"/>
      </w:pPr>
      <w:r>
        <w:t>6.10 Scientific Foundation</w:t>
      </w:r>
    </w:p>
    <w:tbl>
      <w:tblPr>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191"/>
            <w:shd w:fill="12324A"/>
            <w:vAlign w:val="center"/>
            <w:tcBorders>
              <w:top w:sz="3" w:val="single" w:color="D9E0E5"/>
              <w:left w:sz="3" w:val="single" w:color="D9E0E5"/>
              <w:bottom w:sz="3" w:val="single" w:color="D9E0E5"/>
              <w:right w:sz="3" w:val="single" w:color="D9E0E5"/>
            </w:tcBorders>
          </w:tcPr>
          <w:p>
            <w:r>
              <w:rPr>
                <w:b/>
                <w:color w:val="FFFFFF"/>
                <w:sz w:val="17"/>
              </w:rPr>
              <w:t>ID</w:t>
            </w:r>
          </w:p>
        </w:tc>
        <w:tc>
          <w:tcPr>
            <w:tcW w:type="dxa" w:w="5386"/>
            <w:shd w:fill="12324A"/>
            <w:vAlign w:val="center"/>
            <w:tcBorders>
              <w:top w:sz="3" w:val="single" w:color="D9E0E5"/>
              <w:left w:sz="3" w:val="single" w:color="D9E0E5"/>
              <w:bottom w:sz="3" w:val="single" w:color="D9E0E5"/>
              <w:right w:sz="3" w:val="single" w:color="D9E0E5"/>
            </w:tcBorders>
          </w:tcPr>
          <w:p>
            <w:r>
              <w:rPr>
                <w:b/>
                <w:color w:val="FFFFFF"/>
                <w:sz w:val="17"/>
              </w:rPr>
              <w:t>Anforderung</w:t>
            </w:r>
          </w:p>
        </w:tc>
        <w:tc>
          <w:tcPr>
            <w:tcW w:type="dxa" w:w="1134"/>
            <w:shd w:fill="12324A"/>
            <w:vAlign w:val="center"/>
            <w:tcBorders>
              <w:top w:sz="3" w:val="single" w:color="D9E0E5"/>
              <w:left w:sz="3" w:val="single" w:color="D9E0E5"/>
              <w:bottom w:sz="3" w:val="single" w:color="D9E0E5"/>
              <w:right w:sz="3" w:val="single" w:color="D9E0E5"/>
            </w:tcBorders>
          </w:tcPr>
          <w:p>
            <w:r>
              <w:rPr>
                <w:b/>
                <w:color w:val="FFFFFF"/>
                <w:sz w:val="17"/>
              </w:rPr>
              <w:t>Priorität</w:t>
            </w:r>
          </w:p>
        </w:tc>
        <w:tc>
          <w:tcPr>
            <w:tcW w:type="dxa" w:w="2268"/>
            <w:shd w:fill="12324A"/>
            <w:vAlign w:val="center"/>
            <w:tcBorders>
              <w:top w:sz="3" w:val="single" w:color="D9E0E5"/>
              <w:left w:sz="3" w:val="single" w:color="D9E0E5"/>
              <w:bottom w:sz="3" w:val="single" w:color="D9E0E5"/>
              <w:right w:sz="3" w:val="single" w:color="D9E0E5"/>
            </w:tcBorders>
          </w:tcPr>
          <w:p>
            <w:r>
              <w:rPr>
                <w:b/>
                <w:color w:val="FFFFFF"/>
                <w:sz w:val="17"/>
              </w:rPr>
              <w:t>Abnahmekriterium</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LF-SCI-001</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Jede Nachricht muss einen „Message Laboratory“-Bereich mit Nachricht, Analyse, Rohdaten und Historie besitzen.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Alle vier Sichten sind ohne externe Werkzeuge erreichbar.</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LF-SCI-002</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Analyseläufe müssen Analyzer-ID, Version, Eingabehash, Parameterhash, Zeit, Status und Ergebnis speichern.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Ein Ergebnis ist später reproduzierbar zuordenbar.</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LF-SCI-003</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Eine Analyse muss erneut ausgeführt werden können, ohne die Rohmail neu abzurufen.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Reprocessing erzeugt neuen Lauf und erhält den alten Verlauf.</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LF-SCI-004</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Die Anwendung muss eine technische MIME-Baumansicht erzeugen.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Jeder Knoten zeigt Typ, Encoding, Größe und relevante Kennungen.</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LF-SCI-005</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Received-Header müssen als sortierte Transportzeitleiste dargestellt werden können.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Zeitpunkte, Relays und erkennbare Verzögerungen werden angezeigt.</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LF-SCI-006</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Ausgewählte Nachrichten müssen als definierter Datensatz gespeichert werden können.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Datensatz enthält Auswahlkriterien, Version, Anzahl, Zeitraum und Hashmanifest.</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LF-SCI-007</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Datensätze und Analyseergebnisse sollen als CSV, JSON, JSONL, SQLite und Markdown exportierbar sein.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Export enthält Methodik, Schema- und Softwareversionen.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LF-SCI-008</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Pseudonymisierungsprofile für Adressen, IPs, Betreff, Body und Anhänge sollen unterstützt werden.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Vorschau zeigt resultierende Daten vor Export.</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LF-SCI-009</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Ein Untersuchungsbericht muss mindestens als Markdown oder HTML erzeugbar sein.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Bericht nennt Datenbasis, Methoden, Ergebnisse, Warnungen und Einschränkungen.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LF-SCI-010</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Das System muss zwischen Originaldaten, normalisierten Daten und Analyseergebnissen sichtbar unterscheiden.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Keine abgeleitete Ansicht wird als Original bezeichnet.</w:t>
            </w:r>
          </w:p>
        </w:tc>
      </w:tr>
    </w:tbl>
    <w:p>
      <w:pPr>
        <w:widowControl w:val="1"/>
      </w:pPr>
    </w:p>
    <w:p>
      <w:pPr>
        <w:pStyle w:val="Heading2"/>
        <w:widowControl w:val="1"/>
      </w:pPr>
      <w:r>
        <w:t>6.11 Erweiterbarkeit und Plugin-Vorbereitung</w:t>
      </w:r>
    </w:p>
    <w:tbl>
      <w:tblPr>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191"/>
            <w:shd w:fill="12324A"/>
            <w:vAlign w:val="center"/>
            <w:tcBorders>
              <w:top w:sz="3" w:val="single" w:color="D9E0E5"/>
              <w:left w:sz="3" w:val="single" w:color="D9E0E5"/>
              <w:bottom w:sz="3" w:val="single" w:color="D9E0E5"/>
              <w:right w:sz="3" w:val="single" w:color="D9E0E5"/>
            </w:tcBorders>
          </w:tcPr>
          <w:p>
            <w:r>
              <w:rPr>
                <w:b/>
                <w:color w:val="FFFFFF"/>
                <w:sz w:val="17"/>
              </w:rPr>
              <w:t>ID</w:t>
            </w:r>
          </w:p>
        </w:tc>
        <w:tc>
          <w:tcPr>
            <w:tcW w:type="dxa" w:w="5386"/>
            <w:shd w:fill="12324A"/>
            <w:vAlign w:val="center"/>
            <w:tcBorders>
              <w:top w:sz="3" w:val="single" w:color="D9E0E5"/>
              <w:left w:sz="3" w:val="single" w:color="D9E0E5"/>
              <w:bottom w:sz="3" w:val="single" w:color="D9E0E5"/>
              <w:right w:sz="3" w:val="single" w:color="D9E0E5"/>
            </w:tcBorders>
          </w:tcPr>
          <w:p>
            <w:r>
              <w:rPr>
                <w:b/>
                <w:color w:val="FFFFFF"/>
                <w:sz w:val="17"/>
              </w:rPr>
              <w:t>Anforderung</w:t>
            </w:r>
          </w:p>
        </w:tc>
        <w:tc>
          <w:tcPr>
            <w:tcW w:type="dxa" w:w="1134"/>
            <w:shd w:fill="12324A"/>
            <w:vAlign w:val="center"/>
            <w:tcBorders>
              <w:top w:sz="3" w:val="single" w:color="D9E0E5"/>
              <w:left w:sz="3" w:val="single" w:color="D9E0E5"/>
              <w:bottom w:sz="3" w:val="single" w:color="D9E0E5"/>
              <w:right w:sz="3" w:val="single" w:color="D9E0E5"/>
            </w:tcBorders>
          </w:tcPr>
          <w:p>
            <w:r>
              <w:rPr>
                <w:b/>
                <w:color w:val="FFFFFF"/>
                <w:sz w:val="17"/>
              </w:rPr>
              <w:t>Priorität</w:t>
            </w:r>
          </w:p>
        </w:tc>
        <w:tc>
          <w:tcPr>
            <w:tcW w:type="dxa" w:w="2268"/>
            <w:shd w:fill="12324A"/>
            <w:vAlign w:val="center"/>
            <w:tcBorders>
              <w:top w:sz="3" w:val="single" w:color="D9E0E5"/>
              <w:left w:sz="3" w:val="single" w:color="D9E0E5"/>
              <w:bottom w:sz="3" w:val="single" w:color="D9E0E5"/>
              <w:right w:sz="3" w:val="single" w:color="D9E0E5"/>
            </w:tcBorders>
          </w:tcPr>
          <w:p>
            <w:r>
              <w:rPr>
                <w:b/>
                <w:color w:val="FFFFFF"/>
                <w:sz w:val="17"/>
              </w:rPr>
              <w:t>Abnahmekriterium</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LF-EXT-001</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Kernprozessoren und Analyzer müssen über kleine, stabile Schnittstellen registriert werden.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Neue interne Implementierung kann ohne Änderung des Abruf-Use-Cases ergänzt werden.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LF-EXT-002</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Erweiterungen müssen stabile IDs, Versionen und versionierte Ergebnisformate besitzen.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Ergebnis bleibt lesbar, wenn konkrete Implementierung nicht aktiv ist.</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LF-EXT-003</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SQLite darf keine konkreten CLR-Typnamen als fachliche Kopplung speichern.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Gespeichert werden ID, Version, Schema-Version, Status und serialisierbares Ergebnis.</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LF-EXT-004</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Version 1 muss kein dynamisches Laden fremder DLLs unterstützen.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Es existiert keine unkontrollierte Plugin-Ausführung im Hauptprozess.</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LF-EXT-005</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Die Architektur muss spätere Erweiterungstypen für Analyzer, Prozessoren, Exporter und Berichtsmodule vorbereiten.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ExtensionModel-Projekt bleibt frei von GUI-, MailKit- und SQLite-Abhängigkeiten.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LF-EXT-006</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UI-Erweiterungen dürfen in V1 nicht Teil eines offenen Plugin-Vertrags sein.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UI bleibt kontrolliert; spätere Panels werden separat geplant.</w:t>
            </w:r>
          </w:p>
        </w:tc>
      </w:tr>
    </w:tbl>
    <w:p>
      <w:pPr>
        <w:widowControl w:val="1"/>
      </w:pPr>
    </w:p>
    <w:p>
      <w:pPr>
        <w:pStyle w:val="Heading2"/>
        <w:widowControl w:val="1"/>
      </w:pPr>
      <w:r>
        <w:t>6.12 WinForms-Oberfläche und Layoutfähigkeit</w:t>
      </w:r>
    </w:p>
    <w:tbl>
      <w:tblPr>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191"/>
            <w:shd w:fill="12324A"/>
            <w:vAlign w:val="center"/>
            <w:tcBorders>
              <w:top w:sz="3" w:val="single" w:color="D9E0E5"/>
              <w:left w:sz="3" w:val="single" w:color="D9E0E5"/>
              <w:bottom w:sz="3" w:val="single" w:color="D9E0E5"/>
              <w:right w:sz="3" w:val="single" w:color="D9E0E5"/>
            </w:tcBorders>
          </w:tcPr>
          <w:p>
            <w:r>
              <w:rPr>
                <w:b/>
                <w:color w:val="FFFFFF"/>
                <w:sz w:val="17"/>
              </w:rPr>
              <w:t>ID</w:t>
            </w:r>
          </w:p>
        </w:tc>
        <w:tc>
          <w:tcPr>
            <w:tcW w:type="dxa" w:w="5386"/>
            <w:shd w:fill="12324A"/>
            <w:vAlign w:val="center"/>
            <w:tcBorders>
              <w:top w:sz="3" w:val="single" w:color="D9E0E5"/>
              <w:left w:sz="3" w:val="single" w:color="D9E0E5"/>
              <w:bottom w:sz="3" w:val="single" w:color="D9E0E5"/>
              <w:right w:sz="3" w:val="single" w:color="D9E0E5"/>
            </w:tcBorders>
          </w:tcPr>
          <w:p>
            <w:r>
              <w:rPr>
                <w:b/>
                <w:color w:val="FFFFFF"/>
                <w:sz w:val="17"/>
              </w:rPr>
              <w:t>Anforderung</w:t>
            </w:r>
          </w:p>
        </w:tc>
        <w:tc>
          <w:tcPr>
            <w:tcW w:type="dxa" w:w="1134"/>
            <w:shd w:fill="12324A"/>
            <w:vAlign w:val="center"/>
            <w:tcBorders>
              <w:top w:sz="3" w:val="single" w:color="D9E0E5"/>
              <w:left w:sz="3" w:val="single" w:color="D9E0E5"/>
              <w:bottom w:sz="3" w:val="single" w:color="D9E0E5"/>
              <w:right w:sz="3" w:val="single" w:color="D9E0E5"/>
            </w:tcBorders>
          </w:tcPr>
          <w:p>
            <w:r>
              <w:rPr>
                <w:b/>
                <w:color w:val="FFFFFF"/>
                <w:sz w:val="17"/>
              </w:rPr>
              <w:t>Priorität</w:t>
            </w:r>
          </w:p>
        </w:tc>
        <w:tc>
          <w:tcPr>
            <w:tcW w:type="dxa" w:w="2268"/>
            <w:shd w:fill="12324A"/>
            <w:vAlign w:val="center"/>
            <w:tcBorders>
              <w:top w:sz="3" w:val="single" w:color="D9E0E5"/>
              <w:left w:sz="3" w:val="single" w:color="D9E0E5"/>
              <w:bottom w:sz="3" w:val="single" w:color="D9E0E5"/>
              <w:right w:sz="3" w:val="single" w:color="D9E0E5"/>
            </w:tcBorders>
          </w:tcPr>
          <w:p>
            <w:r>
              <w:rPr>
                <w:b/>
                <w:color w:val="FFFFFF"/>
                <w:sz w:val="17"/>
              </w:rPr>
              <w:t>Abnahmekriterium</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LF-UI-001</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Version 1 muss eine Windows-Forms-Oberfläche besitzen.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Anwendung lässt sich unter unterstütztem Windows als Desktopprogramm bedienen.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LF-UI-002</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Das WinForms-Projekt darf keine MailKit-, SQLite- oder fachliche Verarbeitung enthalten.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Architekturtests erkennen verbotene Referenzen.</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LF-UI-003</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UI-unabhängige Zustände, ViewModels beziehungsweise Presenter müssen in einem separaten Presentation-Core-Projekt liegen.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Kernpräsentationslogik lässt sich ohne WinForms instanziieren und testen.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LF-UI-004</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Die Standardansicht muss Konto-/Ordnernavigation, Nachrichtenliste und Lesebereich anbieten.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Drei Bereiche sind einzeln skalierbar und ihre Größe wird gespeichert.</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LF-UI-005</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Profilbild, aktives Konto und Verbindungsstatus sollen kompakt im Kopfbereich sichtbar sein.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Anzeige benötigt keinen zusätzlichen Dialog.</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LF-UI-006</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Die Oberfläche muss Normal-, Analyse- und Diagnose-Workspace unterscheiden können.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Workspace-Wechsel ändert sichtbare Werkzeuge, nicht den fachlichen Datenbestand.</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LF-UI-007</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Layout, Theme und Informationsdichte müssen getrennt konfigurierbar sein.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Mindestens Standard, dunkel und kompakt sind möglich, ohne Geschäftslogik zu ändern.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LF-UI-008</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Designer-Dateien dürfen keine handgeschriebene Geschäftslogik enthalten.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Code Review und Architekturtest bestätigen die Trennung.</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LF-UI-009</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Eventhandler müssen kurz bleiben und ausschließlich UI-unabhängige Dienste oder ViewModels aufrufen.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POP3-, Hash- oder SQL-Code ist in Forms nicht vorhanden.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LF-UI-010</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Die Oberfläche muss Tastaturbedienung, sichtbaren Fokus, skalierbare Schrift und High-DPI unterstützen.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Kernabläufe sind ohne Maus möglich; 150 % Skalierung bleibt nutzbar.</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LF-UI-011</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Status und Warnungen dürfen nicht ausschließlich durch Farbe vermittelt werden.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Text, Symbol oder Form ergänzt jede Farbcodierung.</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LF-UI-012</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Frühere visuelle Studien müssen später als Themes oder Layoutvorlagen umsetzbar bleiben, ohne den Kern zu verändern.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Themewechsel benötigt keine Änderung in Domain, Application oder Mail Engine.</w:t>
            </w:r>
          </w:p>
        </w:tc>
      </w:tr>
    </w:tbl>
    <w:p>
      <w:pPr>
        <w:widowControl w:val="1"/>
      </w:pPr>
    </w:p>
    <w:p>
      <w:pPr>
        <w:pStyle w:val="Heading2"/>
        <w:widowControl w:val="1"/>
      </w:pPr>
      <w:r>
        <w:t>6.13 Betrieb, Sicherheit, Backup und Diagnose</w:t>
      </w:r>
    </w:p>
    <w:tbl>
      <w:tblPr>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191"/>
            <w:shd w:fill="12324A"/>
            <w:vAlign w:val="center"/>
            <w:tcBorders>
              <w:top w:sz="3" w:val="single" w:color="D9E0E5"/>
              <w:left w:sz="3" w:val="single" w:color="D9E0E5"/>
              <w:bottom w:sz="3" w:val="single" w:color="D9E0E5"/>
              <w:right w:sz="3" w:val="single" w:color="D9E0E5"/>
            </w:tcBorders>
          </w:tcPr>
          <w:p>
            <w:r>
              <w:rPr>
                <w:b/>
                <w:color w:val="FFFFFF"/>
                <w:sz w:val="17"/>
              </w:rPr>
              <w:t>ID</w:t>
            </w:r>
          </w:p>
        </w:tc>
        <w:tc>
          <w:tcPr>
            <w:tcW w:type="dxa" w:w="5386"/>
            <w:shd w:fill="12324A"/>
            <w:vAlign w:val="center"/>
            <w:tcBorders>
              <w:top w:sz="3" w:val="single" w:color="D9E0E5"/>
              <w:left w:sz="3" w:val="single" w:color="D9E0E5"/>
              <w:bottom w:sz="3" w:val="single" w:color="D9E0E5"/>
              <w:right w:sz="3" w:val="single" w:color="D9E0E5"/>
            </w:tcBorders>
          </w:tcPr>
          <w:p>
            <w:r>
              <w:rPr>
                <w:b/>
                <w:color w:val="FFFFFF"/>
                <w:sz w:val="17"/>
              </w:rPr>
              <w:t>Anforderung</w:t>
            </w:r>
          </w:p>
        </w:tc>
        <w:tc>
          <w:tcPr>
            <w:tcW w:type="dxa" w:w="1134"/>
            <w:shd w:fill="12324A"/>
            <w:vAlign w:val="center"/>
            <w:tcBorders>
              <w:top w:sz="3" w:val="single" w:color="D9E0E5"/>
              <w:left w:sz="3" w:val="single" w:color="D9E0E5"/>
              <w:bottom w:sz="3" w:val="single" w:color="D9E0E5"/>
              <w:right w:sz="3" w:val="single" w:color="D9E0E5"/>
            </w:tcBorders>
          </w:tcPr>
          <w:p>
            <w:r>
              <w:rPr>
                <w:b/>
                <w:color w:val="FFFFFF"/>
                <w:sz w:val="17"/>
              </w:rPr>
              <w:t>Priorität</w:t>
            </w:r>
          </w:p>
        </w:tc>
        <w:tc>
          <w:tcPr>
            <w:tcW w:type="dxa" w:w="2268"/>
            <w:shd w:fill="12324A"/>
            <w:vAlign w:val="center"/>
            <w:tcBorders>
              <w:top w:sz="3" w:val="single" w:color="D9E0E5"/>
              <w:left w:sz="3" w:val="single" w:color="D9E0E5"/>
              <w:bottom w:sz="3" w:val="single" w:color="D9E0E5"/>
              <w:right w:sz="3" w:val="single" w:color="D9E0E5"/>
            </w:tcBorders>
          </w:tcPr>
          <w:p>
            <w:r>
              <w:rPr>
                <w:b/>
                <w:color w:val="FFFFFF"/>
                <w:sz w:val="17"/>
              </w:rPr>
              <w:t>Abnahmekriterium</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LF-BET-001</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Passwörter und Tokens müssen über einen Windows-geeigneten Secret Store geschützt werden.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SQLite und Konfigurationsdateien enthalten keine Klartextpasswörter.</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LF-BET-002</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TLS-Zertifikate und Hostnamen müssen regulär geprüft werden; ungültige Zertifikate dürfen nicht still akzeptiert werden.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Verbindung schlägt mit verständlicher Diagnose fehl.</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LF-BET-003</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Logs dürfen keine Passwörter, Tokens oder vollständige Mailbodys enthalten.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Automatisierter Logtest findet keine Testgeheimnisse oder Body-Testmarker.</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LF-BET-004</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Technische Logs müssen strukturierte Korrelation über Konto-, Nachrichten-, Abruf- und Analyse-IDs ermöglichen.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Ein Vorgang lässt sich über IDs vom Abruf bis zur Analyse verfolgen.</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LF-BET-005</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Ein anonymisiertes Diagnosepaket muss exportierbar sein.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Vorschau zeigt enthaltene Dateien; Secrets und Mailinhalte sind standardmäßig ausgeschlossen.</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LF-BET-006</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Die Anwendung muss ihre SQLite-Datenbank und Rohmails konsistent sichern können.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Backup kann validiert und in leerem Profil wiederhergestellt werden.</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LF-BET-007</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Einzelne Nachrichten müssen als EML exportiert und importiert werden können.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Exportierte Mail ist bytegleich oder dokumentiert normalisiert; Import verhindert exakte Duplikate.</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LF-BET-008</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Kontoeinstellungen, Regeln, Markenprofile, Themes und Layouts müssen ohne Geheimnisse exportierbar sein.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Import in neues Profil rekonstruiert die Einstellungen.</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LF-BET-009</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Die Anwendung muss eine Datenbankintegritätsprüfung und eine Wiederherstellungsdiagnose anbieten.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Fehler werden verständlich gemeldet; keine automatische destruktive Reparatur ohne Backup.</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LF-BET-010</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Alle sicherheitsrelevanten Standardwerte müssen datenschutzfreundlich sein.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Remote-Inhalte, Online-Reputation und Telemetrie sind standardmäßig aus.</w:t>
            </w:r>
          </w:p>
        </w:tc>
      </w:tr>
      <w:tr>
        <w:tc>
          <w:tcPr>
            <w:tcW w:type="dxa" w:w="1191"/>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LF-BET-011</w:t>
            </w:r>
          </w:p>
        </w:tc>
        <w:tc>
          <w:tcPr>
            <w:tcW w:type="dxa" w:w="5386"/>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Telemetrie darf in Version 1 nicht vorausgesetzt werden.</w:t>
            </w:r>
          </w:p>
        </w:tc>
        <w:tc>
          <w:tcPr>
            <w:tcW w:type="dxa" w:w="1134"/>
            <w:vAlign w:val="top"/>
            <w:tcBorders>
              <w:top w:sz="3" w:val="single" w:color="D9E0E5"/>
              <w:left w:sz="3" w:val="single" w:color="D9E0E5"/>
              <w:bottom w:sz="3" w:val="single" w:color="D9E0E5"/>
              <w:right w:sz="3" w:val="single" w:color="D9E0E5"/>
            </w:tcBorders>
          </w:tcPr>
          <w:p>
            <w:pPr>
              <w:spacing w:after="20" w:before="0"/>
            </w:pPr>
            <w:r>
              <w:rPr>
                <w:rFonts w:ascii="Aptos" w:hAnsi="Aptos"/>
                <w:b/>
                <w:color w:val="A33A3A"/>
                <w:sz w:val="16"/>
              </w:rPr>
              <w:t>MUSS</w:t>
            </w:r>
          </w:p>
        </w:tc>
        <w:tc>
          <w:tcPr>
            <w:tcW w:type="dxa" w:w="2268"/>
            <w:vAlign w:val="top"/>
            <w:tcBorders>
              <w:top w:sz="3" w:val="single" w:color="D9E0E5"/>
              <w:left w:sz="3" w:val="single" w:color="D9E0E5"/>
              <w:bottom w:sz="3" w:val="single" w:color="D9E0E5"/>
              <w:right w:sz="3" w:val="single" w:color="D9E0E5"/>
            </w:tcBorders>
          </w:tcPr>
          <w:p>
            <w:pPr>
              <w:spacing w:after="20" w:before="0"/>
            </w:pPr>
            <w:r>
              <w:rPr>
                <w:rFonts w:ascii="Aptos" w:hAnsi="Aptos"/>
                <w:sz w:val="16"/>
              </w:rPr>
              <w:t>Anwendung funktioniert vollständig ohne Herstellerkonto oder Cloud-Telemetrie.</w:t>
            </w:r>
          </w:p>
        </w:tc>
      </w:tr>
      <w:tr>
        <w:tc>
          <w:tcPr>
            <w:tcW w:type="dxa" w:w="1191"/>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LF-BET-012</w:t>
            </w:r>
          </w:p>
        </w:tc>
        <w:tc>
          <w:tcPr>
            <w:tcW w:type="dxa" w:w="5386"/>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Die Anwendung muss ein nachvollziehbares Änderungs- und Migrationsprotokoll führen.</w:t>
            </w:r>
          </w:p>
        </w:tc>
        <w:tc>
          <w:tcPr>
            <w:tcW w:type="dxa" w:w="1134"/>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b/>
                <w:color w:val="B36B00"/>
                <w:sz w:val="16"/>
              </w:rPr>
              <w:t>SOLL</w:t>
            </w:r>
          </w:p>
        </w:tc>
        <w:tc>
          <w:tcPr>
            <w:tcW w:type="dxa" w:w="2268"/>
            <w:vAlign w:val="top"/>
            <w:shd w:fill="F5F7F8"/>
            <w:tcBorders>
              <w:top w:sz="3" w:val="single" w:color="D9E0E5"/>
              <w:left w:sz="3" w:val="single" w:color="D9E0E5"/>
              <w:bottom w:sz="3" w:val="single" w:color="D9E0E5"/>
              <w:right w:sz="3" w:val="single" w:color="D9E0E5"/>
            </w:tcBorders>
          </w:tcPr>
          <w:p>
            <w:pPr>
              <w:spacing w:after="20" w:before="0"/>
            </w:pPr>
            <w:r>
              <w:rPr>
                <w:rFonts w:ascii="Aptos" w:hAnsi="Aptos"/>
                <w:sz w:val="16"/>
              </w:rPr>
              <w:t>Version, Schemaänderung, Zeitpunkt und Ergebnis sind lokal dokumentiert.</w:t>
            </w:r>
          </w:p>
        </w:tc>
      </w:tr>
    </w:tbl>
    <w:p>
      <w:pPr>
        <w:widowControl w:val="1"/>
      </w:pPr>
    </w:p>
    <w:p>
      <w:pPr>
        <w:pStyle w:val="Heading1"/>
        <w:widowControl w:val="1"/>
      </w:pPr>
      <w:r>
        <w:t>7. Fachkonzept des lokalen Warnsystems</w:t>
      </w:r>
    </w:p>
    <w:p>
      <w:pPr>
        <w:pStyle w:val="Heading2"/>
        <w:widowControl w:val="1"/>
      </w:pPr>
      <w:r>
        <w:t>7.1 Zweck und Grenzen</w:t>
      </w:r>
    </w:p>
    <w:p>
      <w:pPr>
        <w:pStyle w:val="BodyText"/>
        <w:widowControl w:val="1"/>
      </w:pPr>
      <w:r>
        <w:t>Das Warnsystem soll Nutzer dabei unterstützen, technische und inhaltliche Auffälligkeiten vor einer riskanten Aktion zu erkennen. Es ersetzt weder serverseitige Authentifizierungsprüfungen noch Antivirenprodukte, sichere Browser, menschliche Prüfung oder organisatorische Sicherheitsprozesse. Es darf keine absolute Aussage „sicher“ oder „Phishing bewiesen“ treffen, wenn die vorhandenen Daten dies nicht belegen.</w:t>
      </w:r>
    </w:p>
    <w:p>
      <w:pPr>
        <w:pStyle w:val="Heading2"/>
        <w:widowControl w:val="1"/>
      </w:pPr>
      <w:r>
        <w:t>7.2 Indikatorgruppen</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01"/>
            <w:shd w:fill="12324A"/>
            <w:tcBorders>
              <w:top w:sz="3" w:val="single" w:color="D9E0E5"/>
              <w:left w:sz="3" w:val="single" w:color="D9E0E5"/>
              <w:bottom w:sz="3" w:val="single" w:color="D9E0E5"/>
              <w:right w:sz="3" w:val="single" w:color="D9E0E5"/>
            </w:tcBorders>
          </w:tcPr>
          <w:p>
            <w:r>
              <w:rPr>
                <w:b/>
                <w:color w:val="FFFFFF"/>
                <w:sz w:val="18"/>
              </w:rPr>
              <w:t>Gruppe</w:t>
            </w:r>
          </w:p>
        </w:tc>
        <w:tc>
          <w:tcPr>
            <w:tcW w:type="dxa" w:w="3572"/>
            <w:shd w:fill="12324A"/>
            <w:tcBorders>
              <w:top w:sz="3" w:val="single" w:color="D9E0E5"/>
              <w:left w:sz="3" w:val="single" w:color="D9E0E5"/>
              <w:bottom w:sz="3" w:val="single" w:color="D9E0E5"/>
              <w:right w:sz="3" w:val="single" w:color="D9E0E5"/>
            </w:tcBorders>
          </w:tcPr>
          <w:p>
            <w:r>
              <w:rPr>
                <w:b/>
                <w:color w:val="FFFFFF"/>
                <w:sz w:val="18"/>
              </w:rPr>
              <w:t>Beispiele</w:t>
            </w:r>
          </w:p>
        </w:tc>
        <w:tc>
          <w:tcPr>
            <w:tcW w:type="dxa" w:w="4082"/>
            <w:shd w:fill="12324A"/>
            <w:tcBorders>
              <w:top w:sz="3" w:val="single" w:color="D9E0E5"/>
              <w:left w:sz="3" w:val="single" w:color="D9E0E5"/>
              <w:bottom w:sz="3" w:val="single" w:color="D9E0E5"/>
              <w:right w:sz="3" w:val="single" w:color="D9E0E5"/>
            </w:tcBorders>
          </w:tcPr>
          <w:p>
            <w:r>
              <w:rPr>
                <w:b/>
                <w:color w:val="FFFFFF"/>
                <w:sz w:val="18"/>
              </w:rPr>
              <w:t>Bedeutung</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7"/>
              </w:rPr>
              <w:t>Identität</w:t>
            </w:r>
          </w:p>
        </w:tc>
        <w:tc>
          <w:tcPr>
            <w:tcW w:type="dxa" w:w="3572"/>
            <w:vAlign w:val="top"/>
            <w:tcBorders>
              <w:top w:sz="3" w:val="single" w:color="D9E0E5"/>
              <w:left w:sz="3" w:val="single" w:color="D9E0E5"/>
              <w:bottom w:sz="3" w:val="single" w:color="D9E0E5"/>
              <w:right w:sz="3" w:val="single" w:color="D9E0E5"/>
            </w:tcBorders>
          </w:tcPr>
          <w:p>
            <w:pPr>
              <w:spacing w:after="20"/>
            </w:pPr>
            <w:r>
              <w:rPr>
                <w:sz w:val="17"/>
              </w:rPr>
              <w:t>From, Sender, Reply-To, Return-Path, Display Name</w:t>
            </w:r>
          </w:p>
        </w:tc>
        <w:tc>
          <w:tcPr>
            <w:tcW w:type="dxa" w:w="4082"/>
            <w:vAlign w:val="top"/>
            <w:tcBorders>
              <w:top w:sz="3" w:val="single" w:color="D9E0E5"/>
              <w:left w:sz="3" w:val="single" w:color="D9E0E5"/>
              <w:bottom w:sz="3" w:val="single" w:color="D9E0E5"/>
              <w:right w:sz="3" w:val="single" w:color="D9E0E5"/>
            </w:tcBorders>
          </w:tcPr>
          <w:p>
            <w:pPr>
              <w:spacing w:after="20"/>
            </w:pPr>
            <w:r>
              <w:rPr>
                <w:sz w:val="17"/>
              </w:rPr>
              <w:t>Widersprüche und behauptete Identität sichtbar machen</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7"/>
              </w:rPr>
              <w:t>Authentifizierung</w:t>
            </w:r>
          </w:p>
        </w:tc>
        <w:tc>
          <w:tcPr>
            <w:tcW w:type="dxa" w:w="3572"/>
            <w:vAlign w:val="top"/>
            <w:shd w:fill="F5F7F8"/>
            <w:tcBorders>
              <w:top w:sz="3" w:val="single" w:color="D9E0E5"/>
              <w:left w:sz="3" w:val="single" w:color="D9E0E5"/>
              <w:bottom w:sz="3" w:val="single" w:color="D9E0E5"/>
              <w:right w:sz="3" w:val="single" w:color="D9E0E5"/>
            </w:tcBorders>
          </w:tcPr>
          <w:p>
            <w:pPr>
              <w:spacing w:after="20"/>
            </w:pPr>
            <w:r>
              <w:rPr>
                <w:sz w:val="17"/>
              </w:rPr>
              <w:t>Authentication-Results, SPF, DKIM, DMARC, ARC soweit vorhanden</w:t>
            </w:r>
          </w:p>
        </w:tc>
        <w:tc>
          <w:tcPr>
            <w:tcW w:type="dxa" w:w="4082"/>
            <w:vAlign w:val="top"/>
            <w:shd w:fill="F5F7F8"/>
            <w:tcBorders>
              <w:top w:sz="3" w:val="single" w:color="D9E0E5"/>
              <w:left w:sz="3" w:val="single" w:color="D9E0E5"/>
              <w:bottom w:sz="3" w:val="single" w:color="D9E0E5"/>
              <w:right w:sz="3" w:val="single" w:color="D9E0E5"/>
            </w:tcBorders>
          </w:tcPr>
          <w:p>
            <w:pPr>
              <w:spacing w:after="20"/>
            </w:pPr>
            <w:r>
              <w:rPr>
                <w:sz w:val="17"/>
              </w:rPr>
              <w:t>Ergebnisse des empfangenden Systems verständlich darstellen</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7"/>
              </w:rPr>
              <w:t>Linkziel</w:t>
            </w:r>
          </w:p>
        </w:tc>
        <w:tc>
          <w:tcPr>
            <w:tcW w:type="dxa" w:w="3572"/>
            <w:vAlign w:val="top"/>
            <w:tcBorders>
              <w:top w:sz="3" w:val="single" w:color="D9E0E5"/>
              <w:left w:sz="3" w:val="single" w:color="D9E0E5"/>
              <w:bottom w:sz="3" w:val="single" w:color="D9E0E5"/>
              <w:right w:sz="3" w:val="single" w:color="D9E0E5"/>
            </w:tcBorders>
          </w:tcPr>
          <w:p>
            <w:pPr>
              <w:spacing w:after="20"/>
            </w:pPr>
            <w:r>
              <w:rPr>
                <w:sz w:val="17"/>
              </w:rPr>
              <w:t>href, Linktext, Buttontext, Host, Port, Schema, Pfad</w:t>
            </w:r>
          </w:p>
        </w:tc>
        <w:tc>
          <w:tcPr>
            <w:tcW w:type="dxa" w:w="4082"/>
            <w:vAlign w:val="top"/>
            <w:tcBorders>
              <w:top w:sz="3" w:val="single" w:color="D9E0E5"/>
              <w:left w:sz="3" w:val="single" w:color="D9E0E5"/>
              <w:bottom w:sz="3" w:val="single" w:color="D9E0E5"/>
              <w:right w:sz="3" w:val="single" w:color="D9E0E5"/>
            </w:tcBorders>
          </w:tcPr>
          <w:p>
            <w:pPr>
              <w:spacing w:after="20"/>
            </w:pPr>
            <w:r>
              <w:rPr>
                <w:sz w:val="17"/>
              </w:rPr>
              <w:t>Tatsächliches Ziel und sichtbare Darstellung vergleichen</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7"/>
              </w:rPr>
              <w:t>Domain</w:t>
            </w:r>
          </w:p>
        </w:tc>
        <w:tc>
          <w:tcPr>
            <w:tcW w:type="dxa" w:w="3572"/>
            <w:vAlign w:val="top"/>
            <w:shd w:fill="F5F7F8"/>
            <w:tcBorders>
              <w:top w:sz="3" w:val="single" w:color="D9E0E5"/>
              <w:left w:sz="3" w:val="single" w:color="D9E0E5"/>
              <w:bottom w:sz="3" w:val="single" w:color="D9E0E5"/>
              <w:right w:sz="3" w:val="single" w:color="D9E0E5"/>
            </w:tcBorders>
          </w:tcPr>
          <w:p>
            <w:pPr>
              <w:spacing w:after="20"/>
            </w:pPr>
            <w:r>
              <w:rPr>
                <w:sz w:val="17"/>
              </w:rPr>
              <w:t>Unterdomain, registrierbare Domain, IDN/Punycode, Zeichenmischung</w:t>
            </w:r>
          </w:p>
        </w:tc>
        <w:tc>
          <w:tcPr>
            <w:tcW w:type="dxa" w:w="4082"/>
            <w:vAlign w:val="top"/>
            <w:shd w:fill="F5F7F8"/>
            <w:tcBorders>
              <w:top w:sz="3" w:val="single" w:color="D9E0E5"/>
              <w:left w:sz="3" w:val="single" w:color="D9E0E5"/>
              <w:bottom w:sz="3" w:val="single" w:color="D9E0E5"/>
              <w:right w:sz="3" w:val="single" w:color="D9E0E5"/>
            </w:tcBorders>
          </w:tcPr>
          <w:p>
            <w:pPr>
              <w:spacing w:after="20"/>
            </w:pPr>
            <w:r>
              <w:rPr>
                <w:sz w:val="17"/>
              </w:rPr>
              <w:t>Homograph- und Verwechslungsrisiken erkennen</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7"/>
              </w:rPr>
              <w:t>Markenprofil</w:t>
            </w:r>
          </w:p>
        </w:tc>
        <w:tc>
          <w:tcPr>
            <w:tcW w:type="dxa" w:w="3572"/>
            <w:vAlign w:val="top"/>
            <w:tcBorders>
              <w:top w:sz="3" w:val="single" w:color="D9E0E5"/>
              <w:left w:sz="3" w:val="single" w:color="D9E0E5"/>
              <w:bottom w:sz="3" w:val="single" w:color="D9E0E5"/>
              <w:right w:sz="3" w:val="single" w:color="D9E0E5"/>
            </w:tcBorders>
          </w:tcPr>
          <w:p>
            <w:pPr>
              <w:spacing w:after="20"/>
            </w:pPr>
            <w:r>
              <w:rPr>
                <w:sz w:val="17"/>
              </w:rPr>
              <w:t>zulässige Domains, Dienstleister, bekannte Loginseiten</w:t>
            </w:r>
          </w:p>
        </w:tc>
        <w:tc>
          <w:tcPr>
            <w:tcW w:type="dxa" w:w="4082"/>
            <w:vAlign w:val="top"/>
            <w:tcBorders>
              <w:top w:sz="3" w:val="single" w:color="D9E0E5"/>
              <w:left w:sz="3" w:val="single" w:color="D9E0E5"/>
              <w:bottom w:sz="3" w:val="single" w:color="D9E0E5"/>
              <w:right w:sz="3" w:val="single" w:color="D9E0E5"/>
            </w:tcBorders>
          </w:tcPr>
          <w:p>
            <w:pPr>
              <w:spacing w:after="20"/>
            </w:pPr>
            <w:r>
              <w:rPr>
                <w:sz w:val="17"/>
              </w:rPr>
              <w:t>Legitime Ausnahmen lokal und nachvollziehbar modellieren</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7"/>
              </w:rPr>
              <w:t>Remote-Inhalte</w:t>
            </w:r>
          </w:p>
        </w:tc>
        <w:tc>
          <w:tcPr>
            <w:tcW w:type="dxa" w:w="3572"/>
            <w:vAlign w:val="top"/>
            <w:shd w:fill="F5F7F8"/>
            <w:tcBorders>
              <w:top w:sz="3" w:val="single" w:color="D9E0E5"/>
              <w:left w:sz="3" w:val="single" w:color="D9E0E5"/>
              <w:bottom w:sz="3" w:val="single" w:color="D9E0E5"/>
              <w:right w:sz="3" w:val="single" w:color="D9E0E5"/>
            </w:tcBorders>
          </w:tcPr>
          <w:p>
            <w:pPr>
              <w:spacing w:after="20"/>
            </w:pPr>
            <w:r>
              <w:rPr>
                <w:sz w:val="17"/>
              </w:rPr>
              <w:t>Bilder, Fonts, Tracker, Formulare</w:t>
            </w:r>
          </w:p>
        </w:tc>
        <w:tc>
          <w:tcPr>
            <w:tcW w:type="dxa" w:w="4082"/>
            <w:vAlign w:val="top"/>
            <w:shd w:fill="F5F7F8"/>
            <w:tcBorders>
              <w:top w:sz="3" w:val="single" w:color="D9E0E5"/>
              <w:left w:sz="3" w:val="single" w:color="D9E0E5"/>
              <w:bottom w:sz="3" w:val="single" w:color="D9E0E5"/>
              <w:right w:sz="3" w:val="single" w:color="D9E0E5"/>
            </w:tcBorders>
          </w:tcPr>
          <w:p>
            <w:pPr>
              <w:spacing w:after="20"/>
            </w:pPr>
            <w:r>
              <w:rPr>
                <w:sz w:val="17"/>
              </w:rPr>
              <w:t>Externen Kontakt und Trackingpotenzial zeigen</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7"/>
              </w:rPr>
              <w:t>Anhänge</w:t>
            </w:r>
          </w:p>
        </w:tc>
        <w:tc>
          <w:tcPr>
            <w:tcW w:type="dxa" w:w="3572"/>
            <w:vAlign w:val="top"/>
            <w:tcBorders>
              <w:top w:sz="3" w:val="single" w:color="D9E0E5"/>
              <w:left w:sz="3" w:val="single" w:color="D9E0E5"/>
              <w:bottom w:sz="3" w:val="single" w:color="D9E0E5"/>
              <w:right w:sz="3" w:val="single" w:color="D9E0E5"/>
            </w:tcBorders>
          </w:tcPr>
          <w:p>
            <w:pPr>
              <w:spacing w:after="20"/>
            </w:pPr>
            <w:r>
              <w:rPr>
                <w:sz w:val="17"/>
              </w:rPr>
              <w:t>Endung, MIME-Typ, Signatur, Doppelendung, Hash</w:t>
            </w:r>
          </w:p>
        </w:tc>
        <w:tc>
          <w:tcPr>
            <w:tcW w:type="dxa" w:w="4082"/>
            <w:vAlign w:val="top"/>
            <w:tcBorders>
              <w:top w:sz="3" w:val="single" w:color="D9E0E5"/>
              <w:left w:sz="3" w:val="single" w:color="D9E0E5"/>
              <w:bottom w:sz="3" w:val="single" w:color="D9E0E5"/>
              <w:right w:sz="3" w:val="single" w:color="D9E0E5"/>
            </w:tcBorders>
          </w:tcPr>
          <w:p>
            <w:pPr>
              <w:spacing w:after="20"/>
            </w:pPr>
            <w:r>
              <w:rPr>
                <w:sz w:val="17"/>
              </w:rPr>
              <w:t>Technische Inkonsistenzen und riskante Formate markieren</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7"/>
              </w:rPr>
              <w:t>Kontext</w:t>
            </w:r>
          </w:p>
        </w:tc>
        <w:tc>
          <w:tcPr>
            <w:tcW w:type="dxa" w:w="3572"/>
            <w:vAlign w:val="top"/>
            <w:shd w:fill="F5F7F8"/>
            <w:tcBorders>
              <w:top w:sz="3" w:val="single" w:color="D9E0E5"/>
              <w:left w:sz="3" w:val="single" w:color="D9E0E5"/>
              <w:bottom w:sz="3" w:val="single" w:color="D9E0E5"/>
              <w:right w:sz="3" w:val="single" w:color="D9E0E5"/>
            </w:tcBorders>
          </w:tcPr>
          <w:p>
            <w:pPr>
              <w:spacing w:after="20"/>
            </w:pPr>
            <w:r>
              <w:rPr>
                <w:sz w:val="17"/>
              </w:rPr>
              <w:t>Dringlichkeit, Zahlungsaufforderung, Zugangsdatenformular</w:t>
            </w:r>
          </w:p>
        </w:tc>
        <w:tc>
          <w:tcPr>
            <w:tcW w:type="dxa" w:w="4082"/>
            <w:vAlign w:val="top"/>
            <w:shd w:fill="F5F7F8"/>
            <w:tcBorders>
              <w:top w:sz="3" w:val="single" w:color="D9E0E5"/>
              <w:left w:sz="3" w:val="single" w:color="D9E0E5"/>
              <w:bottom w:sz="3" w:val="single" w:color="D9E0E5"/>
              <w:right w:sz="3" w:val="single" w:color="D9E0E5"/>
            </w:tcBorders>
          </w:tcPr>
          <w:p>
            <w:pPr>
              <w:spacing w:after="20"/>
            </w:pPr>
            <w:r>
              <w:rPr>
                <w:sz w:val="17"/>
              </w:rPr>
              <w:t>Optionales lokales Regelmodul, nicht allein beweiskräftig</w:t>
            </w:r>
          </w:p>
        </w:tc>
      </w:tr>
    </w:tbl>
    <w:p>
      <w:pPr>
        <w:widowControl w:val="1"/>
      </w:pPr>
    </w:p>
    <w:p>
      <w:pPr>
        <w:pStyle w:val="Heading2"/>
        <w:widowControl w:val="1"/>
      </w:pPr>
      <w:r>
        <w:t>7.3 Beispiel „Sparkasse“</w:t>
      </w:r>
    </w:p>
    <w:p>
      <w:pPr>
        <w:pStyle w:val="BodyText"/>
        <w:widowControl w:val="1"/>
      </w:pPr>
      <w:r>
        <w:t>Eine Nachricht zeigt als Absender „Sparkasse“ und enthält einen Button „Zum Online-Banking“. Das System prüft nicht lediglich, ob die Zieladresse „in Russland“ liegt. Stattdessen ermittelt es die tatsächliche URL, normalisiert die Domain, zeigt Unicode und Punycode, vergleicht From/Reply-To/authentifizierte Domains, sucht ein passendes lokales Markenprofil und bewertet zusätzliche Indikatoren. Ein Ziel auf einer nicht freigegebenen Domain, kombiniert mit Reply-To-Abweichung und fehlgeschlagener DMARC-Ausrichtung, ergibt eine deutlichere Warnung als ein einzelner Domainunterschied.</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2268"/>
            <w:shd w:fill="12324A"/>
            <w:tcBorders>
              <w:top w:sz="3" w:val="single" w:color="D9E0E5"/>
              <w:left w:sz="3" w:val="single" w:color="D9E0E5"/>
              <w:bottom w:sz="3" w:val="single" w:color="D9E0E5"/>
              <w:right w:sz="3" w:val="single" w:color="D9E0E5"/>
            </w:tcBorders>
          </w:tcPr>
          <w:p>
            <w:r>
              <w:rPr>
                <w:b/>
                <w:color w:val="FFFFFF"/>
                <w:sz w:val="18"/>
              </w:rPr>
              <w:t>Anzeige</w:t>
            </w:r>
          </w:p>
        </w:tc>
        <w:tc>
          <w:tcPr>
            <w:tcW w:type="dxa" w:w="7087"/>
            <w:shd w:fill="12324A"/>
            <w:tcBorders>
              <w:top w:sz="3" w:val="single" w:color="D9E0E5"/>
              <w:left w:sz="3" w:val="single" w:color="D9E0E5"/>
              <w:bottom w:sz="3" w:val="single" w:color="D9E0E5"/>
              <w:right w:sz="3" w:val="single" w:color="D9E0E5"/>
            </w:tcBorders>
          </w:tcPr>
          <w:p>
            <w:r>
              <w:rPr>
                <w:b/>
                <w:color w:val="FFFFFF"/>
                <w:sz w:val="18"/>
              </w:rPr>
              <w:t>Beispielinhalt</w:t>
            </w:r>
          </w:p>
        </w:tc>
      </w:tr>
      <w:tr>
        <w:tc>
          <w:tcPr>
            <w:tcW w:type="dxa" w:w="2268"/>
            <w:vAlign w:val="top"/>
            <w:tcBorders>
              <w:top w:sz="3" w:val="single" w:color="D9E0E5"/>
              <w:left w:sz="3" w:val="single" w:color="D9E0E5"/>
              <w:bottom w:sz="3" w:val="single" w:color="D9E0E5"/>
              <w:right w:sz="3" w:val="single" w:color="D9E0E5"/>
            </w:tcBorders>
          </w:tcPr>
          <w:p>
            <w:pPr>
              <w:spacing w:after="20"/>
            </w:pPr>
            <w:r>
              <w:rPr>
                <w:sz w:val="17"/>
              </w:rPr>
              <w:t>Behauptete Identität</w:t>
            </w:r>
          </w:p>
        </w:tc>
        <w:tc>
          <w:tcPr>
            <w:tcW w:type="dxa" w:w="7087"/>
            <w:vAlign w:val="top"/>
            <w:tcBorders>
              <w:top w:sz="3" w:val="single" w:color="D9E0E5"/>
              <w:left w:sz="3" w:val="single" w:color="D9E0E5"/>
              <w:bottom w:sz="3" w:val="single" w:color="D9E0E5"/>
              <w:right w:sz="3" w:val="single" w:color="D9E0E5"/>
            </w:tcBorders>
          </w:tcPr>
          <w:p>
            <w:pPr>
              <w:spacing w:after="20"/>
            </w:pPr>
            <w:r>
              <w:rPr>
                <w:sz w:val="17"/>
              </w:rPr>
              <w:t>Sparkasse Musterstadt</w:t>
            </w:r>
          </w:p>
        </w:tc>
      </w:tr>
      <w:tr>
        <w:tc>
          <w:tcPr>
            <w:tcW w:type="dxa" w:w="2268"/>
            <w:vAlign w:val="top"/>
            <w:shd w:fill="F5F7F8"/>
            <w:tcBorders>
              <w:top w:sz="3" w:val="single" w:color="D9E0E5"/>
              <w:left w:sz="3" w:val="single" w:color="D9E0E5"/>
              <w:bottom w:sz="3" w:val="single" w:color="D9E0E5"/>
              <w:right w:sz="3" w:val="single" w:color="D9E0E5"/>
            </w:tcBorders>
          </w:tcPr>
          <w:p>
            <w:pPr>
              <w:spacing w:after="20"/>
            </w:pPr>
            <w:r>
              <w:rPr>
                <w:sz w:val="17"/>
              </w:rPr>
              <w:t>From</w:t>
            </w:r>
          </w:p>
        </w:tc>
        <w:tc>
          <w:tcPr>
            <w:tcW w:type="dxa" w:w="7087"/>
            <w:vAlign w:val="top"/>
            <w:shd w:fill="F5F7F8"/>
            <w:tcBorders>
              <w:top w:sz="3" w:val="single" w:color="D9E0E5"/>
              <w:left w:sz="3" w:val="single" w:color="D9E0E5"/>
              <w:bottom w:sz="3" w:val="single" w:color="D9E0E5"/>
              <w:right w:sz="3" w:val="single" w:color="D9E0E5"/>
            </w:tcBorders>
          </w:tcPr>
          <w:p>
            <w:pPr>
              <w:spacing w:after="20"/>
            </w:pPr>
            <w:r>
              <w:rPr>
                <w:sz w:val="17"/>
              </w:rPr>
              <w:t>service@sparkasse-beispiel.de</w:t>
            </w:r>
          </w:p>
        </w:tc>
      </w:tr>
      <w:tr>
        <w:tc>
          <w:tcPr>
            <w:tcW w:type="dxa" w:w="2268"/>
            <w:vAlign w:val="top"/>
            <w:tcBorders>
              <w:top w:sz="3" w:val="single" w:color="D9E0E5"/>
              <w:left w:sz="3" w:val="single" w:color="D9E0E5"/>
              <w:bottom w:sz="3" w:val="single" w:color="D9E0E5"/>
              <w:right w:sz="3" w:val="single" w:color="D9E0E5"/>
            </w:tcBorders>
          </w:tcPr>
          <w:p>
            <w:pPr>
              <w:spacing w:after="20"/>
            </w:pPr>
            <w:r>
              <w:rPr>
                <w:sz w:val="17"/>
              </w:rPr>
              <w:t>Reply-To</w:t>
            </w:r>
          </w:p>
        </w:tc>
        <w:tc>
          <w:tcPr>
            <w:tcW w:type="dxa" w:w="7087"/>
            <w:vAlign w:val="top"/>
            <w:tcBorders>
              <w:top w:sz="3" w:val="single" w:color="D9E0E5"/>
              <w:left w:sz="3" w:val="single" w:color="D9E0E5"/>
              <w:bottom w:sz="3" w:val="single" w:color="D9E0E5"/>
              <w:right w:sz="3" w:val="single" w:color="D9E0E5"/>
            </w:tcBorders>
          </w:tcPr>
          <w:p>
            <w:pPr>
              <w:spacing w:after="20"/>
            </w:pPr>
            <w:r>
              <w:rPr>
                <w:sz w:val="17"/>
              </w:rPr>
              <w:t>konto-pruefung@example-invalid.tld</w:t>
            </w:r>
          </w:p>
        </w:tc>
      </w:tr>
      <w:tr>
        <w:tc>
          <w:tcPr>
            <w:tcW w:type="dxa" w:w="2268"/>
            <w:vAlign w:val="top"/>
            <w:shd w:fill="F5F7F8"/>
            <w:tcBorders>
              <w:top w:sz="3" w:val="single" w:color="D9E0E5"/>
              <w:left w:sz="3" w:val="single" w:color="D9E0E5"/>
              <w:bottom w:sz="3" w:val="single" w:color="D9E0E5"/>
              <w:right w:sz="3" w:val="single" w:color="D9E0E5"/>
            </w:tcBorders>
          </w:tcPr>
          <w:p>
            <w:pPr>
              <w:spacing w:after="20"/>
            </w:pPr>
            <w:r>
              <w:rPr>
                <w:sz w:val="17"/>
              </w:rPr>
              <w:t>Buttontext</w:t>
            </w:r>
          </w:p>
        </w:tc>
        <w:tc>
          <w:tcPr>
            <w:tcW w:type="dxa" w:w="7087"/>
            <w:vAlign w:val="top"/>
            <w:shd w:fill="F5F7F8"/>
            <w:tcBorders>
              <w:top w:sz="3" w:val="single" w:color="D9E0E5"/>
              <w:left w:sz="3" w:val="single" w:color="D9E0E5"/>
              <w:bottom w:sz="3" w:val="single" w:color="D9E0E5"/>
              <w:right w:sz="3" w:val="single" w:color="D9E0E5"/>
            </w:tcBorders>
          </w:tcPr>
          <w:p>
            <w:pPr>
              <w:spacing w:after="20"/>
            </w:pPr>
            <w:r>
              <w:rPr>
                <w:sz w:val="17"/>
              </w:rPr>
              <w:t>Zum Online-Banking</w:t>
            </w:r>
          </w:p>
        </w:tc>
      </w:tr>
      <w:tr>
        <w:tc>
          <w:tcPr>
            <w:tcW w:type="dxa" w:w="2268"/>
            <w:vAlign w:val="top"/>
            <w:tcBorders>
              <w:top w:sz="3" w:val="single" w:color="D9E0E5"/>
              <w:left w:sz="3" w:val="single" w:color="D9E0E5"/>
              <w:bottom w:sz="3" w:val="single" w:color="D9E0E5"/>
              <w:right w:sz="3" w:val="single" w:color="D9E0E5"/>
            </w:tcBorders>
          </w:tcPr>
          <w:p>
            <w:pPr>
              <w:spacing w:after="20"/>
            </w:pPr>
            <w:r>
              <w:rPr>
                <w:sz w:val="17"/>
              </w:rPr>
              <w:t>Tatsächliches Ziel</w:t>
            </w:r>
          </w:p>
        </w:tc>
        <w:tc>
          <w:tcPr>
            <w:tcW w:type="dxa" w:w="7087"/>
            <w:vAlign w:val="top"/>
            <w:tcBorders>
              <w:top w:sz="3" w:val="single" w:color="D9E0E5"/>
              <w:left w:sz="3" w:val="single" w:color="D9E0E5"/>
              <w:bottom w:sz="3" w:val="single" w:color="D9E0E5"/>
              <w:right w:sz="3" w:val="single" w:color="D9E0E5"/>
            </w:tcBorders>
          </w:tcPr>
          <w:p>
            <w:pPr>
              <w:spacing w:after="20"/>
            </w:pPr>
            <w:r>
              <w:rPr>
                <w:sz w:val="17"/>
              </w:rPr>
              <w:t>https://xn--.../login</w:t>
            </w:r>
          </w:p>
        </w:tc>
      </w:tr>
      <w:tr>
        <w:tc>
          <w:tcPr>
            <w:tcW w:type="dxa" w:w="2268"/>
            <w:vAlign w:val="top"/>
            <w:shd w:fill="F5F7F8"/>
            <w:tcBorders>
              <w:top w:sz="3" w:val="single" w:color="D9E0E5"/>
              <w:left w:sz="3" w:val="single" w:color="D9E0E5"/>
              <w:bottom w:sz="3" w:val="single" w:color="D9E0E5"/>
              <w:right w:sz="3" w:val="single" w:color="D9E0E5"/>
            </w:tcBorders>
          </w:tcPr>
          <w:p>
            <w:pPr>
              <w:spacing w:after="20"/>
            </w:pPr>
            <w:r>
              <w:rPr>
                <w:sz w:val="17"/>
              </w:rPr>
              <w:t>Markenprofil</w:t>
            </w:r>
          </w:p>
        </w:tc>
        <w:tc>
          <w:tcPr>
            <w:tcW w:type="dxa" w:w="7087"/>
            <w:vAlign w:val="top"/>
            <w:shd w:fill="F5F7F8"/>
            <w:tcBorders>
              <w:top w:sz="3" w:val="single" w:color="D9E0E5"/>
              <w:left w:sz="3" w:val="single" w:color="D9E0E5"/>
              <w:bottom w:sz="3" w:val="single" w:color="D9E0E5"/>
              <w:right w:sz="3" w:val="single" w:color="D9E0E5"/>
            </w:tcBorders>
          </w:tcPr>
          <w:p>
            <w:pPr>
              <w:spacing w:after="20"/>
            </w:pPr>
            <w:r>
              <w:rPr>
                <w:sz w:val="17"/>
              </w:rPr>
              <w:t>Zieldomain nicht in der lokalen Liste zulässiger Domains</w:t>
            </w:r>
          </w:p>
        </w:tc>
      </w:tr>
      <w:tr>
        <w:tc>
          <w:tcPr>
            <w:tcW w:type="dxa" w:w="2268"/>
            <w:vAlign w:val="top"/>
            <w:tcBorders>
              <w:top w:sz="3" w:val="single" w:color="D9E0E5"/>
              <w:left w:sz="3" w:val="single" w:color="D9E0E5"/>
              <w:bottom w:sz="3" w:val="single" w:color="D9E0E5"/>
              <w:right w:sz="3" w:val="single" w:color="D9E0E5"/>
            </w:tcBorders>
          </w:tcPr>
          <w:p>
            <w:pPr>
              <w:spacing w:after="20"/>
            </w:pPr>
            <w:r>
              <w:rPr>
                <w:sz w:val="17"/>
              </w:rPr>
              <w:t>Authentication-Results</w:t>
            </w:r>
          </w:p>
        </w:tc>
        <w:tc>
          <w:tcPr>
            <w:tcW w:type="dxa" w:w="7087"/>
            <w:vAlign w:val="top"/>
            <w:tcBorders>
              <w:top w:sz="3" w:val="single" w:color="D9E0E5"/>
              <w:left w:sz="3" w:val="single" w:color="D9E0E5"/>
              <w:bottom w:sz="3" w:val="single" w:color="D9E0E5"/>
              <w:right w:sz="3" w:val="single" w:color="D9E0E5"/>
            </w:tcBorders>
          </w:tcPr>
          <w:p>
            <w:pPr>
              <w:spacing w:after="20"/>
            </w:pPr>
            <w:r>
              <w:rPr>
                <w:sz w:val="17"/>
              </w:rPr>
              <w:t>DMARC fail; DKIM none; SPF neutral - sofern vom Server gemeldet</w:t>
            </w:r>
          </w:p>
        </w:tc>
      </w:tr>
      <w:tr>
        <w:tc>
          <w:tcPr>
            <w:tcW w:type="dxa" w:w="2268"/>
            <w:vAlign w:val="top"/>
            <w:shd w:fill="F5F7F8"/>
            <w:tcBorders>
              <w:top w:sz="3" w:val="single" w:color="D9E0E5"/>
              <w:left w:sz="3" w:val="single" w:color="D9E0E5"/>
              <w:bottom w:sz="3" w:val="single" w:color="D9E0E5"/>
              <w:right w:sz="3" w:val="single" w:color="D9E0E5"/>
            </w:tcBorders>
          </w:tcPr>
          <w:p>
            <w:pPr>
              <w:spacing w:after="20"/>
            </w:pPr>
            <w:r>
              <w:rPr>
                <w:sz w:val="17"/>
              </w:rPr>
              <w:t>Warnung</w:t>
            </w:r>
          </w:p>
        </w:tc>
        <w:tc>
          <w:tcPr>
            <w:tcW w:type="dxa" w:w="7087"/>
            <w:vAlign w:val="top"/>
            <w:shd w:fill="F5F7F8"/>
            <w:tcBorders>
              <w:top w:sz="3" w:val="single" w:color="D9E0E5"/>
              <w:left w:sz="3" w:val="single" w:color="D9E0E5"/>
              <w:bottom w:sz="3" w:val="single" w:color="D9E0E5"/>
              <w:right w:sz="3" w:val="single" w:color="D9E0E5"/>
            </w:tcBorders>
          </w:tcPr>
          <w:p>
            <w:pPr>
              <w:spacing w:after="20"/>
            </w:pPr>
            <w:r>
              <w:rPr>
                <w:sz w:val="17"/>
              </w:rPr>
              <w:t>Erhöht: mehrere voneinander unabhängige Indikatoren</w:t>
            </w:r>
          </w:p>
        </w:tc>
      </w:tr>
      <w:tr>
        <w:tc>
          <w:tcPr>
            <w:tcW w:type="dxa" w:w="2268"/>
            <w:vAlign w:val="top"/>
            <w:tcBorders>
              <w:top w:sz="3" w:val="single" w:color="D9E0E5"/>
              <w:left w:sz="3" w:val="single" w:color="D9E0E5"/>
              <w:bottom w:sz="3" w:val="single" w:color="D9E0E5"/>
              <w:right w:sz="3" w:val="single" w:color="D9E0E5"/>
            </w:tcBorders>
          </w:tcPr>
          <w:p>
            <w:pPr>
              <w:spacing w:after="20"/>
            </w:pPr>
            <w:r>
              <w:rPr>
                <w:sz w:val="17"/>
              </w:rPr>
              <w:t>Nutzerentscheidung</w:t>
            </w:r>
          </w:p>
        </w:tc>
        <w:tc>
          <w:tcPr>
            <w:tcW w:type="dxa" w:w="7087"/>
            <w:vAlign w:val="top"/>
            <w:tcBorders>
              <w:top w:sz="3" w:val="single" w:color="D9E0E5"/>
              <w:left w:sz="3" w:val="single" w:color="D9E0E5"/>
              <w:bottom w:sz="3" w:val="single" w:color="D9E0E5"/>
              <w:right w:sz="3" w:val="single" w:color="D9E0E5"/>
            </w:tcBorders>
          </w:tcPr>
          <w:p>
            <w:pPr>
              <w:spacing w:after="20"/>
            </w:pPr>
            <w:r>
              <w:rPr>
                <w:sz w:val="17"/>
              </w:rPr>
              <w:t>Abbrechen, URL kopieren, Details anzeigen, bewusst extern öffnen</w:t>
            </w:r>
          </w:p>
        </w:tc>
      </w:tr>
    </w:tbl>
    <w:p>
      <w:pPr>
        <w:widowControl w:val="1"/>
      </w:pPr>
    </w:p>
    <w:p>
      <w:pPr>
        <w:pStyle w:val="Heading2"/>
        <w:widowControl w:val="1"/>
      </w:pPr>
      <w:r>
        <w:t>7.4 Warnstufen</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01"/>
            <w:shd w:fill="12324A"/>
            <w:tcBorders>
              <w:top w:sz="3" w:val="single" w:color="D9E0E5"/>
              <w:left w:sz="3" w:val="single" w:color="D9E0E5"/>
              <w:bottom w:sz="3" w:val="single" w:color="D9E0E5"/>
              <w:right w:sz="3" w:val="single" w:color="D9E0E5"/>
            </w:tcBorders>
          </w:tcPr>
          <w:p>
            <w:r>
              <w:rPr>
                <w:b/>
                <w:color w:val="FFFFFF"/>
                <w:sz w:val="18"/>
              </w:rPr>
              <w:t>Stufe</w:t>
            </w:r>
          </w:p>
        </w:tc>
        <w:tc>
          <w:tcPr>
            <w:tcW w:type="dxa" w:w="4706"/>
            <w:shd w:fill="12324A"/>
            <w:tcBorders>
              <w:top w:sz="3" w:val="single" w:color="D9E0E5"/>
              <w:left w:sz="3" w:val="single" w:color="D9E0E5"/>
              <w:bottom w:sz="3" w:val="single" w:color="D9E0E5"/>
              <w:right w:sz="3" w:val="single" w:color="D9E0E5"/>
            </w:tcBorders>
          </w:tcPr>
          <w:p>
            <w:r>
              <w:rPr>
                <w:b/>
                <w:color w:val="FFFFFF"/>
                <w:sz w:val="18"/>
              </w:rPr>
              <w:t>Formulierung</w:t>
            </w:r>
          </w:p>
        </w:tc>
        <w:tc>
          <w:tcPr>
            <w:tcW w:type="dxa" w:w="2948"/>
            <w:shd w:fill="12324A"/>
            <w:tcBorders>
              <w:top w:sz="3" w:val="single" w:color="D9E0E5"/>
              <w:left w:sz="3" w:val="single" w:color="D9E0E5"/>
              <w:bottom w:sz="3" w:val="single" w:color="D9E0E5"/>
              <w:right w:sz="3" w:val="single" w:color="D9E0E5"/>
            </w:tcBorders>
          </w:tcPr>
          <w:p>
            <w:r>
              <w:rPr>
                <w:b/>
                <w:color w:val="FFFFFF"/>
                <w:sz w:val="18"/>
              </w:rPr>
              <w:t>Verhalten</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7"/>
              </w:rPr>
              <w:t>Keine Auffälligkeit erkannt</w:t>
            </w:r>
          </w:p>
        </w:tc>
        <w:tc>
          <w:tcPr>
            <w:tcW w:type="dxa" w:w="4706"/>
            <w:vAlign w:val="top"/>
            <w:tcBorders>
              <w:top w:sz="3" w:val="single" w:color="D9E0E5"/>
              <w:left w:sz="3" w:val="single" w:color="D9E0E5"/>
              <w:bottom w:sz="3" w:val="single" w:color="D9E0E5"/>
              <w:right w:sz="3" w:val="single" w:color="D9E0E5"/>
            </w:tcBorders>
          </w:tcPr>
          <w:p>
            <w:pPr>
              <w:spacing w:after="20"/>
            </w:pPr>
            <w:r>
              <w:rPr>
                <w:sz w:val="17"/>
              </w:rPr>
              <w:t>Die lokalen Prüfungen fanden keine bekannten Indikatoren. Dies ist keine Sicherheitsgarantie.</w:t>
            </w:r>
          </w:p>
        </w:tc>
        <w:tc>
          <w:tcPr>
            <w:tcW w:type="dxa" w:w="2948"/>
            <w:vAlign w:val="top"/>
            <w:tcBorders>
              <w:top w:sz="3" w:val="single" w:color="D9E0E5"/>
              <w:left w:sz="3" w:val="single" w:color="D9E0E5"/>
              <w:bottom w:sz="3" w:val="single" w:color="D9E0E5"/>
              <w:right w:sz="3" w:val="single" w:color="D9E0E5"/>
            </w:tcBorders>
          </w:tcPr>
          <w:p>
            <w:pPr>
              <w:spacing w:after="20"/>
            </w:pPr>
            <w:r>
              <w:rPr>
                <w:sz w:val="17"/>
              </w:rPr>
              <w:t>Normales Öffnen mit Zielvorschau</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7"/>
              </w:rPr>
              <w:t>Hinweis</w:t>
            </w:r>
          </w:p>
        </w:tc>
        <w:tc>
          <w:tcPr>
            <w:tcW w:type="dxa" w:w="4706"/>
            <w:vAlign w:val="top"/>
            <w:shd w:fill="F5F7F8"/>
            <w:tcBorders>
              <w:top w:sz="3" w:val="single" w:color="D9E0E5"/>
              <w:left w:sz="3" w:val="single" w:color="D9E0E5"/>
              <w:bottom w:sz="3" w:val="single" w:color="D9E0E5"/>
              <w:right w:sz="3" w:val="single" w:color="D9E0E5"/>
            </w:tcBorders>
          </w:tcPr>
          <w:p>
            <w:pPr>
              <w:spacing w:after="20"/>
            </w:pPr>
            <w:r>
              <w:rPr>
                <w:sz w:val="17"/>
              </w:rPr>
              <w:t>Ein schwacher oder erklärbarer Indikator liegt vor.</w:t>
            </w:r>
          </w:p>
        </w:tc>
        <w:tc>
          <w:tcPr>
            <w:tcW w:type="dxa" w:w="2948"/>
            <w:vAlign w:val="top"/>
            <w:shd w:fill="F5F7F8"/>
            <w:tcBorders>
              <w:top w:sz="3" w:val="single" w:color="D9E0E5"/>
              <w:left w:sz="3" w:val="single" w:color="D9E0E5"/>
              <w:bottom w:sz="3" w:val="single" w:color="D9E0E5"/>
              <w:right w:sz="3" w:val="single" w:color="D9E0E5"/>
            </w:tcBorders>
          </w:tcPr>
          <w:p>
            <w:pPr>
              <w:spacing w:after="20"/>
            </w:pPr>
            <w:r>
              <w:rPr>
                <w:sz w:val="17"/>
              </w:rPr>
              <w:t>Details verfügbar; keine dramatische Blockade</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7"/>
              </w:rPr>
              <w:t>Erhöht</w:t>
            </w:r>
          </w:p>
        </w:tc>
        <w:tc>
          <w:tcPr>
            <w:tcW w:type="dxa" w:w="4706"/>
            <w:vAlign w:val="top"/>
            <w:tcBorders>
              <w:top w:sz="3" w:val="single" w:color="D9E0E5"/>
              <w:left w:sz="3" w:val="single" w:color="D9E0E5"/>
              <w:bottom w:sz="3" w:val="single" w:color="D9E0E5"/>
              <w:right w:sz="3" w:val="single" w:color="D9E0E5"/>
            </w:tcBorders>
          </w:tcPr>
          <w:p>
            <w:pPr>
              <w:spacing w:after="20"/>
            </w:pPr>
            <w:r>
              <w:rPr>
                <w:sz w:val="17"/>
              </w:rPr>
              <w:t>Mehrere oder ein starker Indikator liegen vor.</w:t>
            </w:r>
          </w:p>
        </w:tc>
        <w:tc>
          <w:tcPr>
            <w:tcW w:type="dxa" w:w="2948"/>
            <w:vAlign w:val="top"/>
            <w:tcBorders>
              <w:top w:sz="3" w:val="single" w:color="D9E0E5"/>
              <w:left w:sz="3" w:val="single" w:color="D9E0E5"/>
              <w:bottom w:sz="3" w:val="single" w:color="D9E0E5"/>
              <w:right w:sz="3" w:val="single" w:color="D9E0E5"/>
            </w:tcBorders>
          </w:tcPr>
          <w:p>
            <w:pPr>
              <w:spacing w:after="20"/>
            </w:pPr>
            <w:r>
              <w:rPr>
                <w:sz w:val="17"/>
              </w:rPr>
              <w:t>Zwischendialog vor Linköffnung</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7"/>
              </w:rPr>
              <w:t>Hoch</w:t>
            </w:r>
          </w:p>
        </w:tc>
        <w:tc>
          <w:tcPr>
            <w:tcW w:type="dxa" w:w="4706"/>
            <w:vAlign w:val="top"/>
            <w:shd w:fill="F5F7F8"/>
            <w:tcBorders>
              <w:top w:sz="3" w:val="single" w:color="D9E0E5"/>
              <w:left w:sz="3" w:val="single" w:color="D9E0E5"/>
              <w:bottom w:sz="3" w:val="single" w:color="D9E0E5"/>
              <w:right w:sz="3" w:val="single" w:color="D9E0E5"/>
            </w:tcBorders>
          </w:tcPr>
          <w:p>
            <w:pPr>
              <w:spacing w:after="20"/>
            </w:pPr>
            <w:r>
              <w:rPr>
                <w:sz w:val="17"/>
              </w:rPr>
              <w:t>Kritische Kombination wie Homograph + Identitätsabweichung + riskanter Anhang.</w:t>
            </w:r>
          </w:p>
        </w:tc>
        <w:tc>
          <w:tcPr>
            <w:tcW w:type="dxa" w:w="2948"/>
            <w:vAlign w:val="top"/>
            <w:shd w:fill="F5F7F8"/>
            <w:tcBorders>
              <w:top w:sz="3" w:val="single" w:color="D9E0E5"/>
              <w:left w:sz="3" w:val="single" w:color="D9E0E5"/>
              <w:bottom w:sz="3" w:val="single" w:color="D9E0E5"/>
              <w:right w:sz="3" w:val="single" w:color="D9E0E5"/>
            </w:tcBorders>
          </w:tcPr>
          <w:p>
            <w:pPr>
              <w:spacing w:after="20"/>
            </w:pPr>
            <w:r>
              <w:rPr>
                <w:sz w:val="17"/>
              </w:rPr>
              <w:t>Deutliche Blockade; bewusste Mehrfachbestätigung oder administrativ konfigurierbare Sperre</w:t>
            </w:r>
          </w:p>
        </w:tc>
      </w:tr>
    </w:tbl>
    <w:p>
      <w:pPr>
        <w:widowControl w:val="1"/>
      </w:pPr>
    </w:p>
    <w:p>
      <w:pPr>
        <w:pStyle w:val="Heading2"/>
        <w:widowControl w:val="1"/>
      </w:pPr>
      <w:r>
        <w:t>7.5 Datenschutzprinzip</w:t>
      </w:r>
    </w:p>
    <w:p>
      <w:pPr>
        <w:pStyle w:val="BodyText"/>
        <w:widowControl w:val="1"/>
      </w:pPr>
      <w:r>
        <w:t>Die Standardanalyse lädt keine Zielseite und sendet keine URL an einen Drittanbieter. Dadurch vermeidet die Anwendung, dass bereits die Prüfung eines Links dem Angreifer oder einem externen Dienst die Existenz und Aktivität des Benutzers verrät. Optionale Online-Reputation kann später als ausdrücklich aktivierte Erweiterung geplant werden.</w:t>
      </w:r>
    </w:p>
    <w:p>
      <w:pPr>
        <w:pStyle w:val="Heading1"/>
        <w:widowControl w:val="1"/>
      </w:pPr>
      <w:r>
        <w:t>8. Nichtfunktionale Anforderungen</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474"/>
            <w:shd w:fill="12324A"/>
            <w:tcBorders>
              <w:top w:sz="3" w:val="single" w:color="D9E0E5"/>
              <w:left w:sz="3" w:val="single" w:color="D9E0E5"/>
              <w:bottom w:sz="3" w:val="single" w:color="D9E0E5"/>
              <w:right w:sz="3" w:val="single" w:color="D9E0E5"/>
            </w:tcBorders>
          </w:tcPr>
          <w:p>
            <w:r>
              <w:rPr>
                <w:b/>
                <w:color w:val="FFFFFF"/>
                <w:sz w:val="17"/>
              </w:rPr>
              <w:t>ID</w:t>
            </w:r>
          </w:p>
        </w:tc>
        <w:tc>
          <w:tcPr>
            <w:tcW w:type="dxa" w:w="6690"/>
            <w:shd w:fill="12324A"/>
            <w:tcBorders>
              <w:top w:sz="3" w:val="single" w:color="D9E0E5"/>
              <w:left w:sz="3" w:val="single" w:color="D9E0E5"/>
              <w:bottom w:sz="3" w:val="single" w:color="D9E0E5"/>
              <w:right w:sz="3" w:val="single" w:color="D9E0E5"/>
            </w:tcBorders>
          </w:tcPr>
          <w:p>
            <w:r>
              <w:rPr>
                <w:b/>
                <w:color w:val="FFFFFF"/>
                <w:sz w:val="17"/>
              </w:rPr>
              <w:t>Anforderung</w:t>
            </w:r>
          </w:p>
        </w:tc>
        <w:tc>
          <w:tcPr>
            <w:tcW w:type="dxa" w:w="1134"/>
            <w:shd w:fill="12324A"/>
            <w:tcBorders>
              <w:top w:sz="3" w:val="single" w:color="D9E0E5"/>
              <w:left w:sz="3" w:val="single" w:color="D9E0E5"/>
              <w:bottom w:sz="3" w:val="single" w:color="D9E0E5"/>
              <w:right w:sz="3" w:val="single" w:color="D9E0E5"/>
            </w:tcBorders>
          </w:tcPr>
          <w:p>
            <w:r>
              <w:rPr>
                <w:b/>
                <w:color w:val="FFFFFF"/>
                <w:sz w:val="17"/>
              </w:rPr>
              <w:t>Priorität</w:t>
            </w:r>
          </w:p>
        </w:tc>
      </w:tr>
      <w:tr>
        <w:tc>
          <w:tcPr>
            <w:tcW w:type="dxa" w:w="1474"/>
            <w:vAlign w:val="top"/>
            <w:tcBorders>
              <w:top w:sz="3" w:val="single" w:color="D9E0E5"/>
              <w:left w:sz="3" w:val="single" w:color="D9E0E5"/>
              <w:bottom w:sz="3" w:val="single" w:color="D9E0E5"/>
              <w:right w:sz="3" w:val="single" w:color="D9E0E5"/>
            </w:tcBorders>
          </w:tcPr>
          <w:p>
            <w:pPr>
              <w:spacing w:after="20"/>
            </w:pPr>
            <w:r>
              <w:rPr>
                <w:sz w:val="16"/>
              </w:rPr>
              <w:t>NF-ZUV-001</w:t>
            </w:r>
          </w:p>
        </w:tc>
        <w:tc>
          <w:tcPr>
            <w:tcW w:type="dxa" w:w="6690"/>
            <w:vAlign w:val="top"/>
            <w:tcBorders>
              <w:top w:sz="3" w:val="single" w:color="D9E0E5"/>
              <w:left w:sz="3" w:val="single" w:color="D9E0E5"/>
              <w:bottom w:sz="3" w:val="single" w:color="D9E0E5"/>
              <w:right w:sz="3" w:val="single" w:color="D9E0E5"/>
            </w:tcBorders>
          </w:tcPr>
          <w:p>
            <w:pPr>
              <w:spacing w:after="20"/>
            </w:pPr>
            <w:r>
              <w:rPr>
                <w:sz w:val="16"/>
              </w:rPr>
              <w:t>Ein Absturz oder Verbindungsabbruch darf keine als vollständig markierte, aber unvollständige Nachricht erzeugen.</w:t>
            </w:r>
          </w:p>
        </w:tc>
        <w:tc>
          <w:tcPr>
            <w:tcW w:type="dxa" w:w="1134"/>
            <w:vAlign w:val="top"/>
            <w:tcBorders>
              <w:top w:sz="3" w:val="single" w:color="D9E0E5"/>
              <w:left w:sz="3" w:val="single" w:color="D9E0E5"/>
              <w:bottom w:sz="3" w:val="single" w:color="D9E0E5"/>
              <w:right w:sz="3" w:val="single" w:color="D9E0E5"/>
            </w:tcBorders>
          </w:tcPr>
          <w:p>
            <w:pPr>
              <w:spacing w:after="20"/>
            </w:pPr>
            <w:r>
              <w:rPr>
                <w:sz w:val="16"/>
              </w:rPr>
              <w:t>MUSS</w:t>
            </w:r>
          </w:p>
        </w:tc>
      </w:tr>
      <w:tr>
        <w:tc>
          <w:tcPr>
            <w:tcW w:type="dxa" w:w="1474"/>
            <w:vAlign w:val="top"/>
            <w:shd w:fill="F5F7F8"/>
            <w:tcBorders>
              <w:top w:sz="3" w:val="single" w:color="D9E0E5"/>
              <w:left w:sz="3" w:val="single" w:color="D9E0E5"/>
              <w:bottom w:sz="3" w:val="single" w:color="D9E0E5"/>
              <w:right w:sz="3" w:val="single" w:color="D9E0E5"/>
            </w:tcBorders>
          </w:tcPr>
          <w:p>
            <w:pPr>
              <w:spacing w:after="20"/>
            </w:pPr>
            <w:r>
              <w:rPr>
                <w:sz w:val="16"/>
              </w:rPr>
              <w:t>NF-ZUV-002</w:t>
            </w:r>
          </w:p>
        </w:tc>
        <w:tc>
          <w:tcPr>
            <w:tcW w:type="dxa" w:w="6690"/>
            <w:vAlign w:val="top"/>
            <w:shd w:fill="F5F7F8"/>
            <w:tcBorders>
              <w:top w:sz="3" w:val="single" w:color="D9E0E5"/>
              <w:left w:sz="3" w:val="single" w:color="D9E0E5"/>
              <w:bottom w:sz="3" w:val="single" w:color="D9E0E5"/>
              <w:right w:sz="3" w:val="single" w:color="D9E0E5"/>
            </w:tcBorders>
          </w:tcPr>
          <w:p>
            <w:pPr>
              <w:spacing w:after="20"/>
            </w:pPr>
            <w:r>
              <w:rPr>
                <w:sz w:val="16"/>
              </w:rPr>
              <w:t>Wiederholte Abruf-, Import- und Uploadvorgänge müssen idempotent geplant sein.</w:t>
            </w:r>
          </w:p>
        </w:tc>
        <w:tc>
          <w:tcPr>
            <w:tcW w:type="dxa" w:w="1134"/>
            <w:vAlign w:val="top"/>
            <w:shd w:fill="F5F7F8"/>
            <w:tcBorders>
              <w:top w:sz="3" w:val="single" w:color="D9E0E5"/>
              <w:left w:sz="3" w:val="single" w:color="D9E0E5"/>
              <w:bottom w:sz="3" w:val="single" w:color="D9E0E5"/>
              <w:right w:sz="3" w:val="single" w:color="D9E0E5"/>
            </w:tcBorders>
          </w:tcPr>
          <w:p>
            <w:pPr>
              <w:spacing w:after="20"/>
            </w:pPr>
            <w:r>
              <w:rPr>
                <w:sz w:val="16"/>
              </w:rPr>
              <w:t>MUSS</w:t>
            </w:r>
          </w:p>
        </w:tc>
      </w:tr>
      <w:tr>
        <w:tc>
          <w:tcPr>
            <w:tcW w:type="dxa" w:w="1474"/>
            <w:vAlign w:val="top"/>
            <w:tcBorders>
              <w:top w:sz="3" w:val="single" w:color="D9E0E5"/>
              <w:left w:sz="3" w:val="single" w:color="D9E0E5"/>
              <w:bottom w:sz="3" w:val="single" w:color="D9E0E5"/>
              <w:right w:sz="3" w:val="single" w:color="D9E0E5"/>
            </w:tcBorders>
          </w:tcPr>
          <w:p>
            <w:pPr>
              <w:spacing w:after="20"/>
            </w:pPr>
            <w:r>
              <w:rPr>
                <w:sz w:val="16"/>
              </w:rPr>
              <w:t>NF-ZUV-003</w:t>
            </w:r>
          </w:p>
        </w:tc>
        <w:tc>
          <w:tcPr>
            <w:tcW w:type="dxa" w:w="6690"/>
            <w:vAlign w:val="top"/>
            <w:tcBorders>
              <w:top w:sz="3" w:val="single" w:color="D9E0E5"/>
              <w:left w:sz="3" w:val="single" w:color="D9E0E5"/>
              <w:bottom w:sz="3" w:val="single" w:color="D9E0E5"/>
              <w:right w:sz="3" w:val="single" w:color="D9E0E5"/>
            </w:tcBorders>
          </w:tcPr>
          <w:p>
            <w:pPr>
              <w:spacing w:after="20"/>
            </w:pPr>
            <w:r>
              <w:rPr>
                <w:sz w:val="16"/>
              </w:rPr>
              <w:t>Ein Fehler bei einer Nachricht darf andere unabhängige Nachrichten nicht unnötig blockieren.</w:t>
            </w:r>
          </w:p>
        </w:tc>
        <w:tc>
          <w:tcPr>
            <w:tcW w:type="dxa" w:w="1134"/>
            <w:vAlign w:val="top"/>
            <w:tcBorders>
              <w:top w:sz="3" w:val="single" w:color="D9E0E5"/>
              <w:left w:sz="3" w:val="single" w:color="D9E0E5"/>
              <w:bottom w:sz="3" w:val="single" w:color="D9E0E5"/>
              <w:right w:sz="3" w:val="single" w:color="D9E0E5"/>
            </w:tcBorders>
          </w:tcPr>
          <w:p>
            <w:pPr>
              <w:spacing w:after="20"/>
            </w:pPr>
            <w:r>
              <w:rPr>
                <w:sz w:val="16"/>
              </w:rPr>
              <w:t>MUSS</w:t>
            </w:r>
          </w:p>
        </w:tc>
      </w:tr>
      <w:tr>
        <w:tc>
          <w:tcPr>
            <w:tcW w:type="dxa" w:w="1474"/>
            <w:vAlign w:val="top"/>
            <w:shd w:fill="F5F7F8"/>
            <w:tcBorders>
              <w:top w:sz="3" w:val="single" w:color="D9E0E5"/>
              <w:left w:sz="3" w:val="single" w:color="D9E0E5"/>
              <w:bottom w:sz="3" w:val="single" w:color="D9E0E5"/>
              <w:right w:sz="3" w:val="single" w:color="D9E0E5"/>
            </w:tcBorders>
          </w:tcPr>
          <w:p>
            <w:pPr>
              <w:spacing w:after="20"/>
            </w:pPr>
            <w:r>
              <w:rPr>
                <w:sz w:val="16"/>
              </w:rPr>
              <w:t>NF-PER-001</w:t>
            </w:r>
          </w:p>
        </w:tc>
        <w:tc>
          <w:tcPr>
            <w:tcW w:type="dxa" w:w="6690"/>
            <w:vAlign w:val="top"/>
            <w:shd w:fill="F5F7F8"/>
            <w:tcBorders>
              <w:top w:sz="3" w:val="single" w:color="D9E0E5"/>
              <w:left w:sz="3" w:val="single" w:color="D9E0E5"/>
              <w:bottom w:sz="3" w:val="single" w:color="D9E0E5"/>
              <w:right w:sz="3" w:val="single" w:color="D9E0E5"/>
            </w:tcBorders>
          </w:tcPr>
          <w:p>
            <w:pPr>
              <w:spacing w:after="20"/>
            </w:pPr>
            <w:r>
              <w:rPr>
                <w:sz w:val="16"/>
              </w:rPr>
              <w:t>Die Anwendung soll einen lokalen Bestand von mindestens 100.000 Nachrichten verwalten können.</w:t>
            </w:r>
          </w:p>
        </w:tc>
        <w:tc>
          <w:tcPr>
            <w:tcW w:type="dxa" w:w="1134"/>
            <w:vAlign w:val="top"/>
            <w:shd w:fill="F5F7F8"/>
            <w:tcBorders>
              <w:top w:sz="3" w:val="single" w:color="D9E0E5"/>
              <w:left w:sz="3" w:val="single" w:color="D9E0E5"/>
              <w:bottom w:sz="3" w:val="single" w:color="D9E0E5"/>
              <w:right w:sz="3" w:val="single" w:color="D9E0E5"/>
            </w:tcBorders>
          </w:tcPr>
          <w:p>
            <w:pPr>
              <w:spacing w:after="20"/>
            </w:pPr>
            <w:r>
              <w:rPr>
                <w:sz w:val="16"/>
              </w:rPr>
              <w:t>MUSS</w:t>
            </w:r>
          </w:p>
        </w:tc>
      </w:tr>
      <w:tr>
        <w:tc>
          <w:tcPr>
            <w:tcW w:type="dxa" w:w="1474"/>
            <w:vAlign w:val="top"/>
            <w:tcBorders>
              <w:top w:sz="3" w:val="single" w:color="D9E0E5"/>
              <w:left w:sz="3" w:val="single" w:color="D9E0E5"/>
              <w:bottom w:sz="3" w:val="single" w:color="D9E0E5"/>
              <w:right w:sz="3" w:val="single" w:color="D9E0E5"/>
            </w:tcBorders>
          </w:tcPr>
          <w:p>
            <w:pPr>
              <w:spacing w:after="20"/>
            </w:pPr>
            <w:r>
              <w:rPr>
                <w:sz w:val="16"/>
              </w:rPr>
              <w:t>NF-PER-002</w:t>
            </w:r>
          </w:p>
        </w:tc>
        <w:tc>
          <w:tcPr>
            <w:tcW w:type="dxa" w:w="6690"/>
            <w:vAlign w:val="top"/>
            <w:tcBorders>
              <w:top w:sz="3" w:val="single" w:color="D9E0E5"/>
              <w:left w:sz="3" w:val="single" w:color="D9E0E5"/>
              <w:bottom w:sz="3" w:val="single" w:color="D9E0E5"/>
              <w:right w:sz="3" w:val="single" w:color="D9E0E5"/>
            </w:tcBorders>
          </w:tcPr>
          <w:p>
            <w:pPr>
              <w:spacing w:after="20"/>
            </w:pPr>
            <w:r>
              <w:rPr>
                <w:sz w:val="16"/>
              </w:rPr>
              <w:t>Nachrichtenlisten und Suchergebnisse müssen ohne vollständiges Laden aller Bodies reagieren.</w:t>
            </w:r>
          </w:p>
        </w:tc>
        <w:tc>
          <w:tcPr>
            <w:tcW w:type="dxa" w:w="1134"/>
            <w:vAlign w:val="top"/>
            <w:tcBorders>
              <w:top w:sz="3" w:val="single" w:color="D9E0E5"/>
              <w:left w:sz="3" w:val="single" w:color="D9E0E5"/>
              <w:bottom w:sz="3" w:val="single" w:color="D9E0E5"/>
              <w:right w:sz="3" w:val="single" w:color="D9E0E5"/>
            </w:tcBorders>
          </w:tcPr>
          <w:p>
            <w:pPr>
              <w:spacing w:after="20"/>
            </w:pPr>
            <w:r>
              <w:rPr>
                <w:sz w:val="16"/>
              </w:rPr>
              <w:t>MUSS</w:t>
            </w:r>
          </w:p>
        </w:tc>
      </w:tr>
      <w:tr>
        <w:tc>
          <w:tcPr>
            <w:tcW w:type="dxa" w:w="1474"/>
            <w:vAlign w:val="top"/>
            <w:shd w:fill="F5F7F8"/>
            <w:tcBorders>
              <w:top w:sz="3" w:val="single" w:color="D9E0E5"/>
              <w:left w:sz="3" w:val="single" w:color="D9E0E5"/>
              <w:bottom w:sz="3" w:val="single" w:color="D9E0E5"/>
              <w:right w:sz="3" w:val="single" w:color="D9E0E5"/>
            </w:tcBorders>
          </w:tcPr>
          <w:p>
            <w:pPr>
              <w:spacing w:after="20"/>
            </w:pPr>
            <w:r>
              <w:rPr>
                <w:sz w:val="16"/>
              </w:rPr>
              <w:t>NF-PER-003</w:t>
            </w:r>
          </w:p>
        </w:tc>
        <w:tc>
          <w:tcPr>
            <w:tcW w:type="dxa" w:w="6690"/>
            <w:vAlign w:val="top"/>
            <w:shd w:fill="F5F7F8"/>
            <w:tcBorders>
              <w:top w:sz="3" w:val="single" w:color="D9E0E5"/>
              <w:left w:sz="3" w:val="single" w:color="D9E0E5"/>
              <w:bottom w:sz="3" w:val="single" w:color="D9E0E5"/>
              <w:right w:sz="3" w:val="single" w:color="D9E0E5"/>
            </w:tcBorders>
          </w:tcPr>
          <w:p>
            <w:pPr>
              <w:spacing w:after="20"/>
            </w:pPr>
            <w:r>
              <w:rPr>
                <w:sz w:val="16"/>
              </w:rPr>
              <w:t>Hashberechnung und Download müssen streambasiert erfolgen, sodass große Nachrichten nicht vollständig im RAM liegen müssen.</w:t>
            </w:r>
          </w:p>
        </w:tc>
        <w:tc>
          <w:tcPr>
            <w:tcW w:type="dxa" w:w="1134"/>
            <w:vAlign w:val="top"/>
            <w:shd w:fill="F5F7F8"/>
            <w:tcBorders>
              <w:top w:sz="3" w:val="single" w:color="D9E0E5"/>
              <w:left w:sz="3" w:val="single" w:color="D9E0E5"/>
              <w:bottom w:sz="3" w:val="single" w:color="D9E0E5"/>
              <w:right w:sz="3" w:val="single" w:color="D9E0E5"/>
            </w:tcBorders>
          </w:tcPr>
          <w:p>
            <w:pPr>
              <w:spacing w:after="20"/>
            </w:pPr>
            <w:r>
              <w:rPr>
                <w:sz w:val="16"/>
              </w:rPr>
              <w:t>MUSS</w:t>
            </w:r>
          </w:p>
        </w:tc>
      </w:tr>
      <w:tr>
        <w:tc>
          <w:tcPr>
            <w:tcW w:type="dxa" w:w="1474"/>
            <w:vAlign w:val="top"/>
            <w:tcBorders>
              <w:top w:sz="3" w:val="single" w:color="D9E0E5"/>
              <w:left w:sz="3" w:val="single" w:color="D9E0E5"/>
              <w:bottom w:sz="3" w:val="single" w:color="D9E0E5"/>
              <w:right w:sz="3" w:val="single" w:color="D9E0E5"/>
            </w:tcBorders>
          </w:tcPr>
          <w:p>
            <w:pPr>
              <w:spacing w:after="20"/>
            </w:pPr>
            <w:r>
              <w:rPr>
                <w:sz w:val="16"/>
              </w:rPr>
              <w:t>NF-SEC-001</w:t>
            </w:r>
          </w:p>
        </w:tc>
        <w:tc>
          <w:tcPr>
            <w:tcW w:type="dxa" w:w="6690"/>
            <w:vAlign w:val="top"/>
            <w:tcBorders>
              <w:top w:sz="3" w:val="single" w:color="D9E0E5"/>
              <w:left w:sz="3" w:val="single" w:color="D9E0E5"/>
              <w:bottom w:sz="3" w:val="single" w:color="D9E0E5"/>
              <w:right w:sz="3" w:val="single" w:color="D9E0E5"/>
            </w:tcBorders>
          </w:tcPr>
          <w:p>
            <w:pPr>
              <w:spacing w:after="20"/>
            </w:pPr>
            <w:r>
              <w:rPr>
                <w:sz w:val="16"/>
              </w:rPr>
              <w:t>Alle Netzverbindungen müssen moderne TLS-Verfahren und reguläre Zertifikatsprüfung verwenden.</w:t>
            </w:r>
          </w:p>
        </w:tc>
        <w:tc>
          <w:tcPr>
            <w:tcW w:type="dxa" w:w="1134"/>
            <w:vAlign w:val="top"/>
            <w:tcBorders>
              <w:top w:sz="3" w:val="single" w:color="D9E0E5"/>
              <w:left w:sz="3" w:val="single" w:color="D9E0E5"/>
              <w:bottom w:sz="3" w:val="single" w:color="D9E0E5"/>
              <w:right w:sz="3" w:val="single" w:color="D9E0E5"/>
            </w:tcBorders>
          </w:tcPr>
          <w:p>
            <w:pPr>
              <w:spacing w:after="20"/>
            </w:pPr>
            <w:r>
              <w:rPr>
                <w:sz w:val="16"/>
              </w:rPr>
              <w:t>MUSS</w:t>
            </w:r>
          </w:p>
        </w:tc>
      </w:tr>
      <w:tr>
        <w:tc>
          <w:tcPr>
            <w:tcW w:type="dxa" w:w="1474"/>
            <w:vAlign w:val="top"/>
            <w:shd w:fill="F5F7F8"/>
            <w:tcBorders>
              <w:top w:sz="3" w:val="single" w:color="D9E0E5"/>
              <w:left w:sz="3" w:val="single" w:color="D9E0E5"/>
              <w:bottom w:sz="3" w:val="single" w:color="D9E0E5"/>
              <w:right w:sz="3" w:val="single" w:color="D9E0E5"/>
            </w:tcBorders>
          </w:tcPr>
          <w:p>
            <w:pPr>
              <w:spacing w:after="20"/>
            </w:pPr>
            <w:r>
              <w:rPr>
                <w:sz w:val="16"/>
              </w:rPr>
              <w:t>NF-SEC-002</w:t>
            </w:r>
          </w:p>
        </w:tc>
        <w:tc>
          <w:tcPr>
            <w:tcW w:type="dxa" w:w="6690"/>
            <w:vAlign w:val="top"/>
            <w:shd w:fill="F5F7F8"/>
            <w:tcBorders>
              <w:top w:sz="3" w:val="single" w:color="D9E0E5"/>
              <w:left w:sz="3" w:val="single" w:color="D9E0E5"/>
              <w:bottom w:sz="3" w:val="single" w:color="D9E0E5"/>
              <w:right w:sz="3" w:val="single" w:color="D9E0E5"/>
            </w:tcBorders>
          </w:tcPr>
          <w:p>
            <w:pPr>
              <w:spacing w:after="20"/>
            </w:pPr>
            <w:r>
              <w:rPr>
                <w:sz w:val="16"/>
              </w:rPr>
              <w:t>HTML-Inhalte sind grundsätzlich als nicht vertrauenswürdig zu behandeln.</w:t>
            </w:r>
          </w:p>
        </w:tc>
        <w:tc>
          <w:tcPr>
            <w:tcW w:type="dxa" w:w="1134"/>
            <w:vAlign w:val="top"/>
            <w:shd w:fill="F5F7F8"/>
            <w:tcBorders>
              <w:top w:sz="3" w:val="single" w:color="D9E0E5"/>
              <w:left w:sz="3" w:val="single" w:color="D9E0E5"/>
              <w:bottom w:sz="3" w:val="single" w:color="D9E0E5"/>
              <w:right w:sz="3" w:val="single" w:color="D9E0E5"/>
            </w:tcBorders>
          </w:tcPr>
          <w:p>
            <w:pPr>
              <w:spacing w:after="20"/>
            </w:pPr>
            <w:r>
              <w:rPr>
                <w:sz w:val="16"/>
              </w:rPr>
              <w:t>MUSS</w:t>
            </w:r>
          </w:p>
        </w:tc>
      </w:tr>
      <w:tr>
        <w:tc>
          <w:tcPr>
            <w:tcW w:type="dxa" w:w="1474"/>
            <w:vAlign w:val="top"/>
            <w:tcBorders>
              <w:top w:sz="3" w:val="single" w:color="D9E0E5"/>
              <w:left w:sz="3" w:val="single" w:color="D9E0E5"/>
              <w:bottom w:sz="3" w:val="single" w:color="D9E0E5"/>
              <w:right w:sz="3" w:val="single" w:color="D9E0E5"/>
            </w:tcBorders>
          </w:tcPr>
          <w:p>
            <w:pPr>
              <w:spacing w:after="20"/>
            </w:pPr>
            <w:r>
              <w:rPr>
                <w:sz w:val="16"/>
              </w:rPr>
              <w:t>NF-SEC-003</w:t>
            </w:r>
          </w:p>
        </w:tc>
        <w:tc>
          <w:tcPr>
            <w:tcW w:type="dxa" w:w="6690"/>
            <w:vAlign w:val="top"/>
            <w:tcBorders>
              <w:top w:sz="3" w:val="single" w:color="D9E0E5"/>
              <w:left w:sz="3" w:val="single" w:color="D9E0E5"/>
              <w:bottom w:sz="3" w:val="single" w:color="D9E0E5"/>
              <w:right w:sz="3" w:val="single" w:color="D9E0E5"/>
            </w:tcBorders>
          </w:tcPr>
          <w:p>
            <w:pPr>
              <w:spacing w:after="20"/>
            </w:pPr>
            <w:r>
              <w:rPr>
                <w:sz w:val="16"/>
              </w:rPr>
              <w:t>Sicherheitswarnungen müssen erklärbar, protokollierbar und ohne versteckte Cloudabhängigkeit sein.</w:t>
            </w:r>
          </w:p>
        </w:tc>
        <w:tc>
          <w:tcPr>
            <w:tcW w:type="dxa" w:w="1134"/>
            <w:vAlign w:val="top"/>
            <w:tcBorders>
              <w:top w:sz="3" w:val="single" w:color="D9E0E5"/>
              <w:left w:sz="3" w:val="single" w:color="D9E0E5"/>
              <w:bottom w:sz="3" w:val="single" w:color="D9E0E5"/>
              <w:right w:sz="3" w:val="single" w:color="D9E0E5"/>
            </w:tcBorders>
          </w:tcPr>
          <w:p>
            <w:pPr>
              <w:spacing w:after="20"/>
            </w:pPr>
            <w:r>
              <w:rPr>
                <w:sz w:val="16"/>
              </w:rPr>
              <w:t>MUSS</w:t>
            </w:r>
          </w:p>
        </w:tc>
      </w:tr>
      <w:tr>
        <w:tc>
          <w:tcPr>
            <w:tcW w:type="dxa" w:w="1474"/>
            <w:vAlign w:val="top"/>
            <w:shd w:fill="F5F7F8"/>
            <w:tcBorders>
              <w:top w:sz="3" w:val="single" w:color="D9E0E5"/>
              <w:left w:sz="3" w:val="single" w:color="D9E0E5"/>
              <w:bottom w:sz="3" w:val="single" w:color="D9E0E5"/>
              <w:right w:sz="3" w:val="single" w:color="D9E0E5"/>
            </w:tcBorders>
          </w:tcPr>
          <w:p>
            <w:pPr>
              <w:spacing w:after="20"/>
            </w:pPr>
            <w:r>
              <w:rPr>
                <w:sz w:val="16"/>
              </w:rPr>
              <w:t>NF-DSG-001</w:t>
            </w:r>
          </w:p>
        </w:tc>
        <w:tc>
          <w:tcPr>
            <w:tcW w:type="dxa" w:w="6690"/>
            <w:vAlign w:val="top"/>
            <w:shd w:fill="F5F7F8"/>
            <w:tcBorders>
              <w:top w:sz="3" w:val="single" w:color="D9E0E5"/>
              <w:left w:sz="3" w:val="single" w:color="D9E0E5"/>
              <w:bottom w:sz="3" w:val="single" w:color="D9E0E5"/>
              <w:right w:sz="3" w:val="single" w:color="D9E0E5"/>
            </w:tcBorders>
          </w:tcPr>
          <w:p>
            <w:pPr>
              <w:spacing w:after="20"/>
            </w:pPr>
            <w:r>
              <w:rPr>
                <w:sz w:val="16"/>
              </w:rPr>
              <w:t>Mailinhalte und Analyseergebnisse bleiben standardmäßig lokal.</w:t>
            </w:r>
          </w:p>
        </w:tc>
        <w:tc>
          <w:tcPr>
            <w:tcW w:type="dxa" w:w="1134"/>
            <w:vAlign w:val="top"/>
            <w:shd w:fill="F5F7F8"/>
            <w:tcBorders>
              <w:top w:sz="3" w:val="single" w:color="D9E0E5"/>
              <w:left w:sz="3" w:val="single" w:color="D9E0E5"/>
              <w:bottom w:sz="3" w:val="single" w:color="D9E0E5"/>
              <w:right w:sz="3" w:val="single" w:color="D9E0E5"/>
            </w:tcBorders>
          </w:tcPr>
          <w:p>
            <w:pPr>
              <w:spacing w:after="20"/>
            </w:pPr>
            <w:r>
              <w:rPr>
                <w:sz w:val="16"/>
              </w:rPr>
              <w:t>MUSS</w:t>
            </w:r>
          </w:p>
        </w:tc>
      </w:tr>
      <w:tr>
        <w:tc>
          <w:tcPr>
            <w:tcW w:type="dxa" w:w="1474"/>
            <w:vAlign w:val="top"/>
            <w:tcBorders>
              <w:top w:sz="3" w:val="single" w:color="D9E0E5"/>
              <w:left w:sz="3" w:val="single" w:color="D9E0E5"/>
              <w:bottom w:sz="3" w:val="single" w:color="D9E0E5"/>
              <w:right w:sz="3" w:val="single" w:color="D9E0E5"/>
            </w:tcBorders>
          </w:tcPr>
          <w:p>
            <w:pPr>
              <w:spacing w:after="20"/>
            </w:pPr>
            <w:r>
              <w:rPr>
                <w:sz w:val="16"/>
              </w:rPr>
              <w:t>NF-DSG-002</w:t>
            </w:r>
          </w:p>
        </w:tc>
        <w:tc>
          <w:tcPr>
            <w:tcW w:type="dxa" w:w="6690"/>
            <w:vAlign w:val="top"/>
            <w:tcBorders>
              <w:top w:sz="3" w:val="single" w:color="D9E0E5"/>
              <w:left w:sz="3" w:val="single" w:color="D9E0E5"/>
              <w:bottom w:sz="3" w:val="single" w:color="D9E0E5"/>
              <w:right w:sz="3" w:val="single" w:color="D9E0E5"/>
            </w:tcBorders>
          </w:tcPr>
          <w:p>
            <w:pPr>
              <w:spacing w:after="20"/>
            </w:pPr>
            <w:r>
              <w:rPr>
                <w:sz w:val="16"/>
              </w:rPr>
              <w:t>Export- und Diagnosefunktionen müssen eine Vorschau und Pseudonymisierung ermöglichen.</w:t>
            </w:r>
          </w:p>
        </w:tc>
        <w:tc>
          <w:tcPr>
            <w:tcW w:type="dxa" w:w="1134"/>
            <w:vAlign w:val="top"/>
            <w:tcBorders>
              <w:top w:sz="3" w:val="single" w:color="D9E0E5"/>
              <w:left w:sz="3" w:val="single" w:color="D9E0E5"/>
              <w:bottom w:sz="3" w:val="single" w:color="D9E0E5"/>
              <w:right w:sz="3" w:val="single" w:color="D9E0E5"/>
            </w:tcBorders>
          </w:tcPr>
          <w:p>
            <w:pPr>
              <w:spacing w:after="20"/>
            </w:pPr>
            <w:r>
              <w:rPr>
                <w:sz w:val="16"/>
              </w:rPr>
              <w:t>SOLL</w:t>
            </w:r>
          </w:p>
        </w:tc>
      </w:tr>
      <w:tr>
        <w:tc>
          <w:tcPr>
            <w:tcW w:type="dxa" w:w="1474"/>
            <w:vAlign w:val="top"/>
            <w:shd w:fill="F5F7F8"/>
            <w:tcBorders>
              <w:top w:sz="3" w:val="single" w:color="D9E0E5"/>
              <w:left w:sz="3" w:val="single" w:color="D9E0E5"/>
              <w:bottom w:sz="3" w:val="single" w:color="D9E0E5"/>
              <w:right w:sz="3" w:val="single" w:color="D9E0E5"/>
            </w:tcBorders>
          </w:tcPr>
          <w:p>
            <w:pPr>
              <w:spacing w:after="20"/>
            </w:pPr>
            <w:r>
              <w:rPr>
                <w:sz w:val="16"/>
              </w:rPr>
              <w:t>NF-BED-001</w:t>
            </w:r>
          </w:p>
        </w:tc>
        <w:tc>
          <w:tcPr>
            <w:tcW w:type="dxa" w:w="6690"/>
            <w:vAlign w:val="top"/>
            <w:shd w:fill="F5F7F8"/>
            <w:tcBorders>
              <w:top w:sz="3" w:val="single" w:color="D9E0E5"/>
              <w:left w:sz="3" w:val="single" w:color="D9E0E5"/>
              <w:bottom w:sz="3" w:val="single" w:color="D9E0E5"/>
              <w:right w:sz="3" w:val="single" w:color="D9E0E5"/>
            </w:tcBorders>
          </w:tcPr>
          <w:p>
            <w:pPr>
              <w:spacing w:after="20"/>
            </w:pPr>
            <w:r>
              <w:rPr>
                <w:sz w:val="16"/>
              </w:rPr>
              <w:t>Kernabläufe müssen per Tastatur bedienbar und bei 150 % Skalierung nutzbar sein.</w:t>
            </w:r>
          </w:p>
        </w:tc>
        <w:tc>
          <w:tcPr>
            <w:tcW w:type="dxa" w:w="1134"/>
            <w:vAlign w:val="top"/>
            <w:shd w:fill="F5F7F8"/>
            <w:tcBorders>
              <w:top w:sz="3" w:val="single" w:color="D9E0E5"/>
              <w:left w:sz="3" w:val="single" w:color="D9E0E5"/>
              <w:bottom w:sz="3" w:val="single" w:color="D9E0E5"/>
              <w:right w:sz="3" w:val="single" w:color="D9E0E5"/>
            </w:tcBorders>
          </w:tcPr>
          <w:p>
            <w:pPr>
              <w:spacing w:after="20"/>
            </w:pPr>
            <w:r>
              <w:rPr>
                <w:sz w:val="16"/>
              </w:rPr>
              <w:t>MUSS</w:t>
            </w:r>
          </w:p>
        </w:tc>
      </w:tr>
      <w:tr>
        <w:tc>
          <w:tcPr>
            <w:tcW w:type="dxa" w:w="1474"/>
            <w:vAlign w:val="top"/>
            <w:tcBorders>
              <w:top w:sz="3" w:val="single" w:color="D9E0E5"/>
              <w:left w:sz="3" w:val="single" w:color="D9E0E5"/>
              <w:bottom w:sz="3" w:val="single" w:color="D9E0E5"/>
              <w:right w:sz="3" w:val="single" w:color="D9E0E5"/>
            </w:tcBorders>
          </w:tcPr>
          <w:p>
            <w:pPr>
              <w:spacing w:after="20"/>
            </w:pPr>
            <w:r>
              <w:rPr>
                <w:sz w:val="16"/>
              </w:rPr>
              <w:t>NF-BED-002</w:t>
            </w:r>
          </w:p>
        </w:tc>
        <w:tc>
          <w:tcPr>
            <w:tcW w:type="dxa" w:w="6690"/>
            <w:vAlign w:val="top"/>
            <w:tcBorders>
              <w:top w:sz="3" w:val="single" w:color="D9E0E5"/>
              <w:left w:sz="3" w:val="single" w:color="D9E0E5"/>
              <w:bottom w:sz="3" w:val="single" w:color="D9E0E5"/>
              <w:right w:sz="3" w:val="single" w:color="D9E0E5"/>
            </w:tcBorders>
          </w:tcPr>
          <w:p>
            <w:pPr>
              <w:spacing w:after="20"/>
            </w:pPr>
            <w:r>
              <w:rPr>
                <w:sz w:val="16"/>
              </w:rPr>
              <w:t>Fehlermeldungen müssen Handlungsoptionen nennen und dürfen nicht nur technische Ausnahmebezeichnungen zeigen.</w:t>
            </w:r>
          </w:p>
        </w:tc>
        <w:tc>
          <w:tcPr>
            <w:tcW w:type="dxa" w:w="1134"/>
            <w:vAlign w:val="top"/>
            <w:tcBorders>
              <w:top w:sz="3" w:val="single" w:color="D9E0E5"/>
              <w:left w:sz="3" w:val="single" w:color="D9E0E5"/>
              <w:bottom w:sz="3" w:val="single" w:color="D9E0E5"/>
              <w:right w:sz="3" w:val="single" w:color="D9E0E5"/>
            </w:tcBorders>
          </w:tcPr>
          <w:p>
            <w:pPr>
              <w:spacing w:after="20"/>
            </w:pPr>
            <w:r>
              <w:rPr>
                <w:sz w:val="16"/>
              </w:rPr>
              <w:t>MUSS</w:t>
            </w:r>
          </w:p>
        </w:tc>
      </w:tr>
      <w:tr>
        <w:tc>
          <w:tcPr>
            <w:tcW w:type="dxa" w:w="1474"/>
            <w:vAlign w:val="top"/>
            <w:shd w:fill="F5F7F8"/>
            <w:tcBorders>
              <w:top w:sz="3" w:val="single" w:color="D9E0E5"/>
              <w:left w:sz="3" w:val="single" w:color="D9E0E5"/>
              <w:bottom w:sz="3" w:val="single" w:color="D9E0E5"/>
              <w:right w:sz="3" w:val="single" w:color="D9E0E5"/>
            </w:tcBorders>
          </w:tcPr>
          <w:p>
            <w:pPr>
              <w:spacing w:after="20"/>
            </w:pPr>
            <w:r>
              <w:rPr>
                <w:sz w:val="16"/>
              </w:rPr>
              <w:t>NF-WAR-001</w:t>
            </w:r>
          </w:p>
        </w:tc>
        <w:tc>
          <w:tcPr>
            <w:tcW w:type="dxa" w:w="6690"/>
            <w:vAlign w:val="top"/>
            <w:shd w:fill="F5F7F8"/>
            <w:tcBorders>
              <w:top w:sz="3" w:val="single" w:color="D9E0E5"/>
              <w:left w:sz="3" w:val="single" w:color="D9E0E5"/>
              <w:bottom w:sz="3" w:val="single" w:color="D9E0E5"/>
              <w:right w:sz="3" w:val="single" w:color="D9E0E5"/>
            </w:tcBorders>
          </w:tcPr>
          <w:p>
            <w:pPr>
              <w:spacing w:after="20"/>
            </w:pPr>
            <w:r>
              <w:rPr>
                <w:sz w:val="16"/>
              </w:rPr>
              <w:t>Öffentliche Typen und Methoden müssen verständliche XML-Dokumentationskommentare erhalten.</w:t>
            </w:r>
          </w:p>
        </w:tc>
        <w:tc>
          <w:tcPr>
            <w:tcW w:type="dxa" w:w="1134"/>
            <w:vAlign w:val="top"/>
            <w:shd w:fill="F5F7F8"/>
            <w:tcBorders>
              <w:top w:sz="3" w:val="single" w:color="D9E0E5"/>
              <w:left w:sz="3" w:val="single" w:color="D9E0E5"/>
              <w:bottom w:sz="3" w:val="single" w:color="D9E0E5"/>
              <w:right w:sz="3" w:val="single" w:color="D9E0E5"/>
            </w:tcBorders>
          </w:tcPr>
          <w:p>
            <w:pPr>
              <w:spacing w:after="20"/>
            </w:pPr>
            <w:r>
              <w:rPr>
                <w:sz w:val="16"/>
              </w:rPr>
              <w:t>MUSS</w:t>
            </w:r>
          </w:p>
        </w:tc>
      </w:tr>
      <w:tr>
        <w:tc>
          <w:tcPr>
            <w:tcW w:type="dxa" w:w="1474"/>
            <w:vAlign w:val="top"/>
            <w:tcBorders>
              <w:top w:sz="3" w:val="single" w:color="D9E0E5"/>
              <w:left w:sz="3" w:val="single" w:color="D9E0E5"/>
              <w:bottom w:sz="3" w:val="single" w:color="D9E0E5"/>
              <w:right w:sz="3" w:val="single" w:color="D9E0E5"/>
            </w:tcBorders>
          </w:tcPr>
          <w:p>
            <w:pPr>
              <w:spacing w:after="20"/>
            </w:pPr>
            <w:r>
              <w:rPr>
                <w:sz w:val="16"/>
              </w:rPr>
              <w:t>NF-WAR-002</w:t>
            </w:r>
          </w:p>
        </w:tc>
        <w:tc>
          <w:tcPr>
            <w:tcW w:type="dxa" w:w="6690"/>
            <w:vAlign w:val="top"/>
            <w:tcBorders>
              <w:top w:sz="3" w:val="single" w:color="D9E0E5"/>
              <w:left w:sz="3" w:val="single" w:color="D9E0E5"/>
              <w:bottom w:sz="3" w:val="single" w:color="D9E0E5"/>
              <w:right w:sz="3" w:val="single" w:color="D9E0E5"/>
            </w:tcBorders>
          </w:tcPr>
          <w:p>
            <w:pPr>
              <w:spacing w:after="20"/>
            </w:pPr>
            <w:r>
              <w:rPr>
                <w:sz w:val="16"/>
              </w:rPr>
              <w:t>Komplexe Entscheidungen müssen das Warum im Code oder in ADRs dokumentieren.</w:t>
            </w:r>
          </w:p>
        </w:tc>
        <w:tc>
          <w:tcPr>
            <w:tcW w:type="dxa" w:w="1134"/>
            <w:vAlign w:val="top"/>
            <w:tcBorders>
              <w:top w:sz="3" w:val="single" w:color="D9E0E5"/>
              <w:left w:sz="3" w:val="single" w:color="D9E0E5"/>
              <w:bottom w:sz="3" w:val="single" w:color="D9E0E5"/>
              <w:right w:sz="3" w:val="single" w:color="D9E0E5"/>
            </w:tcBorders>
          </w:tcPr>
          <w:p>
            <w:pPr>
              <w:spacing w:after="20"/>
            </w:pPr>
            <w:r>
              <w:rPr>
                <w:sz w:val="16"/>
              </w:rPr>
              <w:t>MUSS</w:t>
            </w:r>
          </w:p>
        </w:tc>
      </w:tr>
      <w:tr>
        <w:tc>
          <w:tcPr>
            <w:tcW w:type="dxa" w:w="1474"/>
            <w:vAlign w:val="top"/>
            <w:shd w:fill="F5F7F8"/>
            <w:tcBorders>
              <w:top w:sz="3" w:val="single" w:color="D9E0E5"/>
              <w:left w:sz="3" w:val="single" w:color="D9E0E5"/>
              <w:bottom w:sz="3" w:val="single" w:color="D9E0E5"/>
              <w:right w:sz="3" w:val="single" w:color="D9E0E5"/>
            </w:tcBorders>
          </w:tcPr>
          <w:p>
            <w:pPr>
              <w:spacing w:after="20"/>
            </w:pPr>
            <w:r>
              <w:rPr>
                <w:sz w:val="16"/>
              </w:rPr>
              <w:t>NF-TST-001</w:t>
            </w:r>
          </w:p>
        </w:tc>
        <w:tc>
          <w:tcPr>
            <w:tcW w:type="dxa" w:w="6690"/>
            <w:vAlign w:val="top"/>
            <w:shd w:fill="F5F7F8"/>
            <w:tcBorders>
              <w:top w:sz="3" w:val="single" w:color="D9E0E5"/>
              <w:left w:sz="3" w:val="single" w:color="D9E0E5"/>
              <w:bottom w:sz="3" w:val="single" w:color="D9E0E5"/>
              <w:right w:sz="3" w:val="single" w:color="D9E0E5"/>
            </w:tcBorders>
          </w:tcPr>
          <w:p>
            <w:pPr>
              <w:spacing w:after="20"/>
            </w:pPr>
            <w:r>
              <w:rPr>
                <w:sz w:val="16"/>
              </w:rPr>
              <w:t>Domain-, Application-, Persistence-, Mail-, Analysis- und Architekturregeln müssen automatisiert testbar sein.</w:t>
            </w:r>
          </w:p>
        </w:tc>
        <w:tc>
          <w:tcPr>
            <w:tcW w:type="dxa" w:w="1134"/>
            <w:vAlign w:val="top"/>
            <w:shd w:fill="F5F7F8"/>
            <w:tcBorders>
              <w:top w:sz="3" w:val="single" w:color="D9E0E5"/>
              <w:left w:sz="3" w:val="single" w:color="D9E0E5"/>
              <w:bottom w:sz="3" w:val="single" w:color="D9E0E5"/>
              <w:right w:sz="3" w:val="single" w:color="D9E0E5"/>
            </w:tcBorders>
          </w:tcPr>
          <w:p>
            <w:pPr>
              <w:spacing w:after="20"/>
            </w:pPr>
            <w:r>
              <w:rPr>
                <w:sz w:val="16"/>
              </w:rPr>
              <w:t>MUSS</w:t>
            </w:r>
          </w:p>
        </w:tc>
      </w:tr>
      <w:tr>
        <w:tc>
          <w:tcPr>
            <w:tcW w:type="dxa" w:w="1474"/>
            <w:vAlign w:val="top"/>
            <w:tcBorders>
              <w:top w:sz="3" w:val="single" w:color="D9E0E5"/>
              <w:left w:sz="3" w:val="single" w:color="D9E0E5"/>
              <w:bottom w:sz="3" w:val="single" w:color="D9E0E5"/>
              <w:right w:sz="3" w:val="single" w:color="D9E0E5"/>
            </w:tcBorders>
          </w:tcPr>
          <w:p>
            <w:pPr>
              <w:spacing w:after="20"/>
            </w:pPr>
            <w:r>
              <w:rPr>
                <w:sz w:val="16"/>
              </w:rPr>
              <w:t>NF-TST-002</w:t>
            </w:r>
          </w:p>
        </w:tc>
        <w:tc>
          <w:tcPr>
            <w:tcW w:type="dxa" w:w="6690"/>
            <w:vAlign w:val="top"/>
            <w:tcBorders>
              <w:top w:sz="3" w:val="single" w:color="D9E0E5"/>
              <w:left w:sz="3" w:val="single" w:color="D9E0E5"/>
              <w:bottom w:sz="3" w:val="single" w:color="D9E0E5"/>
              <w:right w:sz="3" w:val="single" w:color="D9E0E5"/>
            </w:tcBorders>
          </w:tcPr>
          <w:p>
            <w:pPr>
              <w:spacing w:after="20"/>
            </w:pPr>
            <w:r>
              <w:rPr>
                <w:sz w:val="16"/>
              </w:rPr>
              <w:t>Protokolltests gegen kontrollierte Testserver dürfen keine produktiven Postfächer voraussetzen.</w:t>
            </w:r>
          </w:p>
        </w:tc>
        <w:tc>
          <w:tcPr>
            <w:tcW w:type="dxa" w:w="1134"/>
            <w:vAlign w:val="top"/>
            <w:tcBorders>
              <w:top w:sz="3" w:val="single" w:color="D9E0E5"/>
              <w:left w:sz="3" w:val="single" w:color="D9E0E5"/>
              <w:bottom w:sz="3" w:val="single" w:color="D9E0E5"/>
              <w:right w:sz="3" w:val="single" w:color="D9E0E5"/>
            </w:tcBorders>
          </w:tcPr>
          <w:p>
            <w:pPr>
              <w:spacing w:after="20"/>
            </w:pPr>
            <w:r>
              <w:rPr>
                <w:sz w:val="16"/>
              </w:rPr>
              <w:t>MUSS</w:t>
            </w:r>
          </w:p>
        </w:tc>
      </w:tr>
      <w:tr>
        <w:tc>
          <w:tcPr>
            <w:tcW w:type="dxa" w:w="1474"/>
            <w:vAlign w:val="top"/>
            <w:shd w:fill="F5F7F8"/>
            <w:tcBorders>
              <w:top w:sz="3" w:val="single" w:color="D9E0E5"/>
              <w:left w:sz="3" w:val="single" w:color="D9E0E5"/>
              <w:bottom w:sz="3" w:val="single" w:color="D9E0E5"/>
              <w:right w:sz="3" w:val="single" w:color="D9E0E5"/>
            </w:tcBorders>
          </w:tcPr>
          <w:p>
            <w:pPr>
              <w:spacing w:after="20"/>
            </w:pPr>
            <w:r>
              <w:rPr>
                <w:sz w:val="16"/>
              </w:rPr>
              <w:t>NF-PORT-001</w:t>
            </w:r>
          </w:p>
        </w:tc>
        <w:tc>
          <w:tcPr>
            <w:tcW w:type="dxa" w:w="6690"/>
            <w:vAlign w:val="top"/>
            <w:shd w:fill="F5F7F8"/>
            <w:tcBorders>
              <w:top w:sz="3" w:val="single" w:color="D9E0E5"/>
              <w:left w:sz="3" w:val="single" w:color="D9E0E5"/>
              <w:bottom w:sz="3" w:val="single" w:color="D9E0E5"/>
              <w:right w:sz="3" w:val="single" w:color="D9E0E5"/>
            </w:tcBorders>
          </w:tcPr>
          <w:p>
            <w:pPr>
              <w:spacing w:after="20"/>
            </w:pPr>
            <w:r>
              <w:rPr>
                <w:sz w:val="16"/>
              </w:rPr>
              <w:t>Domain, Application, Mail Engine, Persistence, Security, Extension Model und Presentation Core dürfen keine WinForms-Abhängigkeit besitzen.</w:t>
            </w:r>
          </w:p>
        </w:tc>
        <w:tc>
          <w:tcPr>
            <w:tcW w:type="dxa" w:w="1134"/>
            <w:vAlign w:val="top"/>
            <w:shd w:fill="F5F7F8"/>
            <w:tcBorders>
              <w:top w:sz="3" w:val="single" w:color="D9E0E5"/>
              <w:left w:sz="3" w:val="single" w:color="D9E0E5"/>
              <w:bottom w:sz="3" w:val="single" w:color="D9E0E5"/>
              <w:right w:sz="3" w:val="single" w:color="D9E0E5"/>
            </w:tcBorders>
          </w:tcPr>
          <w:p>
            <w:pPr>
              <w:spacing w:after="20"/>
            </w:pPr>
            <w:r>
              <w:rPr>
                <w:sz w:val="16"/>
              </w:rPr>
              <w:t>MUSS</w:t>
            </w:r>
          </w:p>
        </w:tc>
      </w:tr>
      <w:tr>
        <w:tc>
          <w:tcPr>
            <w:tcW w:type="dxa" w:w="1474"/>
            <w:vAlign w:val="top"/>
            <w:tcBorders>
              <w:top w:sz="3" w:val="single" w:color="D9E0E5"/>
              <w:left w:sz="3" w:val="single" w:color="D9E0E5"/>
              <w:bottom w:sz="3" w:val="single" w:color="D9E0E5"/>
              <w:right w:sz="3" w:val="single" w:color="D9E0E5"/>
            </w:tcBorders>
          </w:tcPr>
          <w:p>
            <w:pPr>
              <w:spacing w:after="20"/>
            </w:pPr>
            <w:r>
              <w:rPr>
                <w:sz w:val="16"/>
              </w:rPr>
              <w:t>NF-INT-001</w:t>
            </w:r>
          </w:p>
        </w:tc>
        <w:tc>
          <w:tcPr>
            <w:tcW w:type="dxa" w:w="6690"/>
            <w:vAlign w:val="top"/>
            <w:tcBorders>
              <w:top w:sz="3" w:val="single" w:color="D9E0E5"/>
              <w:left w:sz="3" w:val="single" w:color="D9E0E5"/>
              <w:bottom w:sz="3" w:val="single" w:color="D9E0E5"/>
              <w:right w:sz="3" w:val="single" w:color="D9E0E5"/>
            </w:tcBorders>
          </w:tcPr>
          <w:p>
            <w:pPr>
              <w:spacing w:after="20"/>
            </w:pPr>
            <w:r>
              <w:rPr>
                <w:sz w:val="16"/>
              </w:rPr>
              <w:t>Standardformate EML, MIME, POP3, SMTP, IMAP APPEND und SQLite müssen interoperabel genutzt werden.</w:t>
            </w:r>
          </w:p>
        </w:tc>
        <w:tc>
          <w:tcPr>
            <w:tcW w:type="dxa" w:w="1134"/>
            <w:vAlign w:val="top"/>
            <w:tcBorders>
              <w:top w:sz="3" w:val="single" w:color="D9E0E5"/>
              <w:left w:sz="3" w:val="single" w:color="D9E0E5"/>
              <w:bottom w:sz="3" w:val="single" w:color="D9E0E5"/>
              <w:right w:sz="3" w:val="single" w:color="D9E0E5"/>
            </w:tcBorders>
          </w:tcPr>
          <w:p>
            <w:pPr>
              <w:spacing w:after="20"/>
            </w:pPr>
            <w:r>
              <w:rPr>
                <w:sz w:val="16"/>
              </w:rPr>
              <w:t>MUSS</w:t>
            </w:r>
          </w:p>
        </w:tc>
      </w:tr>
      <w:tr>
        <w:tc>
          <w:tcPr>
            <w:tcW w:type="dxa" w:w="1474"/>
            <w:vAlign w:val="top"/>
            <w:shd w:fill="F5F7F8"/>
            <w:tcBorders>
              <w:top w:sz="3" w:val="single" w:color="D9E0E5"/>
              <w:left w:sz="3" w:val="single" w:color="D9E0E5"/>
              <w:bottom w:sz="3" w:val="single" w:color="D9E0E5"/>
              <w:right w:sz="3" w:val="single" w:color="D9E0E5"/>
            </w:tcBorders>
          </w:tcPr>
          <w:p>
            <w:pPr>
              <w:spacing w:after="20"/>
            </w:pPr>
            <w:r>
              <w:rPr>
                <w:sz w:val="16"/>
              </w:rPr>
              <w:t>NF-DOC-001</w:t>
            </w:r>
          </w:p>
        </w:tc>
        <w:tc>
          <w:tcPr>
            <w:tcW w:type="dxa" w:w="6690"/>
            <w:vAlign w:val="top"/>
            <w:shd w:fill="F5F7F8"/>
            <w:tcBorders>
              <w:top w:sz="3" w:val="single" w:color="D9E0E5"/>
              <w:left w:sz="3" w:val="single" w:color="D9E0E5"/>
              <w:bottom w:sz="3" w:val="single" w:color="D9E0E5"/>
              <w:right w:sz="3" w:val="single" w:color="D9E0E5"/>
            </w:tcBorders>
          </w:tcPr>
          <w:p>
            <w:pPr>
              <w:spacing w:after="20"/>
            </w:pPr>
            <w:r>
              <w:rPr>
                <w:sz w:val="16"/>
              </w:rPr>
              <w:t>Installation, Entwicklung, Betrieb, Backup, Wiederherstellung und Tests müssen dokumentiert sein.</w:t>
            </w:r>
          </w:p>
        </w:tc>
        <w:tc>
          <w:tcPr>
            <w:tcW w:type="dxa" w:w="1134"/>
            <w:vAlign w:val="top"/>
            <w:shd w:fill="F5F7F8"/>
            <w:tcBorders>
              <w:top w:sz="3" w:val="single" w:color="D9E0E5"/>
              <w:left w:sz="3" w:val="single" w:color="D9E0E5"/>
              <w:bottom w:sz="3" w:val="single" w:color="D9E0E5"/>
              <w:right w:sz="3" w:val="single" w:color="D9E0E5"/>
            </w:tcBorders>
          </w:tcPr>
          <w:p>
            <w:pPr>
              <w:spacing w:after="20"/>
            </w:pPr>
            <w:r>
              <w:rPr>
                <w:sz w:val="16"/>
              </w:rPr>
              <w:t>MUSS</w:t>
            </w:r>
          </w:p>
        </w:tc>
      </w:tr>
    </w:tbl>
    <w:p>
      <w:pPr>
        <w:widowControl w:val="1"/>
      </w:pPr>
    </w:p>
    <w:p>
      <w:pPr>
        <w:pStyle w:val="Heading1"/>
        <w:widowControl w:val="1"/>
      </w:pPr>
      <w:r>
        <w:t>9. Daten- und Informationsanforderungen</w:t>
      </w:r>
    </w:p>
    <w:p>
      <w:pPr>
        <w:pStyle w:val="Heading2"/>
        <w:widowControl w:val="1"/>
      </w:pPr>
      <w:r>
        <w:t>9.1 Grundsätze</w:t>
      </w:r>
    </w:p>
    <w:p>
      <w:pPr>
        <w:pStyle w:val="ListBullet"/>
        <w:widowControl w:val="1"/>
      </w:pPr>
      <w:r>
        <w:t>Rohmail ist die unveränderte Quelle der Wahrheit.</w:t>
      </w:r>
    </w:p>
    <w:p>
      <w:pPr>
        <w:pStyle w:val="ListBullet"/>
        <w:widowControl w:val="1"/>
      </w:pPr>
      <w:r>
        <w:t>Parsed Message, normalisierter Text, Linkanalyse und Warnungen sind abgeleitete Daten.</w:t>
      </w:r>
    </w:p>
    <w:p>
      <w:pPr>
        <w:pStyle w:val="ListBullet"/>
        <w:widowControl w:val="1"/>
      </w:pPr>
      <w:r>
        <w:t>Jede abgeleitete Information besitzt Herkunft, Version und Zeitstempel.</w:t>
      </w:r>
    </w:p>
    <w:p>
      <w:pPr>
        <w:pStyle w:val="ListBullet"/>
        <w:widowControl w:val="1"/>
      </w:pPr>
      <w:r>
        <w:t>Provider-IDs sind externe Referenzen; interne IDs bleiben der Primäranker.</w:t>
      </w:r>
    </w:p>
    <w:p>
      <w:pPr>
        <w:pStyle w:val="ListBullet"/>
        <w:widowControl w:val="1"/>
      </w:pPr>
      <w:r>
        <w:t>UI-Zustand und Themes sind von fachlichen Daten getrennt.</w:t>
      </w:r>
    </w:p>
    <w:p>
      <w:pPr>
        <w:pStyle w:val="ListBullet"/>
        <w:widowControl w:val="1"/>
      </w:pPr>
      <w:r>
        <w:t>Secrets werden nicht in SQLite oder normalen JSON-Konfigurationen gespeichert.</w:t>
      </w:r>
    </w:p>
    <w:p>
      <w:pPr>
        <w:pStyle w:val="Heading2"/>
        <w:widowControl w:val="1"/>
      </w:pPr>
      <w:r>
        <w:t>9.2 Fachliche Kernobjekte</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984"/>
            <w:shd w:fill="12324A"/>
            <w:tcBorders>
              <w:top w:sz="3" w:val="single" w:color="D9E0E5"/>
              <w:left w:sz="3" w:val="single" w:color="D9E0E5"/>
              <w:bottom w:sz="3" w:val="single" w:color="D9E0E5"/>
              <w:right w:sz="3" w:val="single" w:color="D9E0E5"/>
            </w:tcBorders>
          </w:tcPr>
          <w:p>
            <w:r>
              <w:rPr>
                <w:b/>
                <w:color w:val="FFFFFF"/>
                <w:sz w:val="18"/>
              </w:rPr>
              <w:t>Objekt</w:t>
            </w:r>
          </w:p>
        </w:tc>
        <w:tc>
          <w:tcPr>
            <w:tcW w:type="dxa" w:w="2551"/>
            <w:shd w:fill="12324A"/>
            <w:tcBorders>
              <w:top w:sz="3" w:val="single" w:color="D9E0E5"/>
              <w:left w:sz="3" w:val="single" w:color="D9E0E5"/>
              <w:bottom w:sz="3" w:val="single" w:color="D9E0E5"/>
              <w:right w:sz="3" w:val="single" w:color="D9E0E5"/>
            </w:tcBorders>
          </w:tcPr>
          <w:p>
            <w:r>
              <w:rPr>
                <w:b/>
                <w:color w:val="FFFFFF"/>
                <w:sz w:val="18"/>
              </w:rPr>
              <w:t>Zweck</w:t>
            </w:r>
          </w:p>
        </w:tc>
        <w:tc>
          <w:tcPr>
            <w:tcW w:type="dxa" w:w="4819"/>
            <w:shd w:fill="12324A"/>
            <w:tcBorders>
              <w:top w:sz="3" w:val="single" w:color="D9E0E5"/>
              <w:left w:sz="3" w:val="single" w:color="D9E0E5"/>
              <w:bottom w:sz="3" w:val="single" w:color="D9E0E5"/>
              <w:right w:sz="3" w:val="single" w:color="D9E0E5"/>
            </w:tcBorders>
          </w:tcPr>
          <w:p>
            <w:r>
              <w:rPr>
                <w:b/>
                <w:color w:val="FFFFFF"/>
                <w:sz w:val="18"/>
              </w:rPr>
              <w:t>Wesentliche Daten</w:t>
            </w:r>
          </w:p>
        </w:tc>
      </w:tr>
      <w:tr>
        <w:tc>
          <w:tcPr>
            <w:tcW w:type="dxa" w:w="1984"/>
            <w:vAlign w:val="top"/>
            <w:tcBorders>
              <w:top w:sz="3" w:val="single" w:color="D9E0E5"/>
              <w:left w:sz="3" w:val="single" w:color="D9E0E5"/>
              <w:bottom w:sz="3" w:val="single" w:color="D9E0E5"/>
              <w:right w:sz="3" w:val="single" w:color="D9E0E5"/>
            </w:tcBorders>
          </w:tcPr>
          <w:p>
            <w:pPr>
              <w:spacing w:after="20"/>
            </w:pPr>
            <w:r>
              <w:rPr>
                <w:sz w:val="17"/>
              </w:rPr>
              <w:t>MailAccount</w:t>
            </w:r>
          </w:p>
        </w:tc>
        <w:tc>
          <w:tcPr>
            <w:tcW w:type="dxa" w:w="2551"/>
            <w:vAlign w:val="top"/>
            <w:tcBorders>
              <w:top w:sz="3" w:val="single" w:color="D9E0E5"/>
              <w:left w:sz="3" w:val="single" w:color="D9E0E5"/>
              <w:bottom w:sz="3" w:val="single" w:color="D9E0E5"/>
              <w:right w:sz="3" w:val="single" w:color="D9E0E5"/>
            </w:tcBorders>
          </w:tcPr>
          <w:p>
            <w:pPr>
              <w:spacing w:after="20"/>
            </w:pPr>
            <w:r>
              <w:rPr>
                <w:sz w:val="17"/>
              </w:rPr>
              <w:t>Kontokonfiguration ohne Secret</w:t>
            </w:r>
          </w:p>
        </w:tc>
        <w:tc>
          <w:tcPr>
            <w:tcW w:type="dxa" w:w="4819"/>
            <w:vAlign w:val="top"/>
            <w:tcBorders>
              <w:top w:sz="3" w:val="single" w:color="D9E0E5"/>
              <w:left w:sz="3" w:val="single" w:color="D9E0E5"/>
              <w:bottom w:sz="3" w:val="single" w:color="D9E0E5"/>
              <w:right w:sz="3" w:val="single" w:color="D9E0E5"/>
            </w:tcBorders>
          </w:tcPr>
          <w:p>
            <w:pPr>
              <w:spacing w:after="20"/>
            </w:pPr>
            <w:r>
              <w:rPr>
                <w:sz w:val="17"/>
              </w:rPr>
              <w:t>Provider, Server, Ports, Sicherheit, Identitäten, Status</w:t>
            </w:r>
          </w:p>
        </w:tc>
      </w:tr>
      <w:tr>
        <w:tc>
          <w:tcPr>
            <w:tcW w:type="dxa" w:w="1984"/>
            <w:vAlign w:val="top"/>
            <w:shd w:fill="F5F7F8"/>
            <w:tcBorders>
              <w:top w:sz="3" w:val="single" w:color="D9E0E5"/>
              <w:left w:sz="3" w:val="single" w:color="D9E0E5"/>
              <w:bottom w:sz="3" w:val="single" w:color="D9E0E5"/>
              <w:right w:sz="3" w:val="single" w:color="D9E0E5"/>
            </w:tcBorders>
          </w:tcPr>
          <w:p>
            <w:pPr>
              <w:spacing w:after="20"/>
            </w:pPr>
            <w:r>
              <w:rPr>
                <w:sz w:val="17"/>
              </w:rPr>
              <w:t>RawMessage</w:t>
            </w:r>
          </w:p>
        </w:tc>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Unveränderte lokale Quelldatei</w:t>
            </w:r>
          </w:p>
        </w:tc>
        <w:tc>
          <w:tcPr>
            <w:tcW w:type="dxa" w:w="4819"/>
            <w:vAlign w:val="top"/>
            <w:shd w:fill="F5F7F8"/>
            <w:tcBorders>
              <w:top w:sz="3" w:val="single" w:color="D9E0E5"/>
              <w:left w:sz="3" w:val="single" w:color="D9E0E5"/>
              <w:bottom w:sz="3" w:val="single" w:color="D9E0E5"/>
              <w:right w:sz="3" w:val="single" w:color="D9E0E5"/>
            </w:tcBorders>
          </w:tcPr>
          <w:p>
            <w:pPr>
              <w:spacing w:after="20"/>
            </w:pPr>
            <w:r>
              <w:rPr>
                <w:sz w:val="17"/>
              </w:rPr>
              <w:t>interne ID, Konto, UIDL, Hash, Größe, Pfad, Provenienz</w:t>
            </w:r>
          </w:p>
        </w:tc>
      </w:tr>
      <w:tr>
        <w:tc>
          <w:tcPr>
            <w:tcW w:type="dxa" w:w="1984"/>
            <w:vAlign w:val="top"/>
            <w:tcBorders>
              <w:top w:sz="3" w:val="single" w:color="D9E0E5"/>
              <w:left w:sz="3" w:val="single" w:color="D9E0E5"/>
              <w:bottom w:sz="3" w:val="single" w:color="D9E0E5"/>
              <w:right w:sz="3" w:val="single" w:color="D9E0E5"/>
            </w:tcBorders>
          </w:tcPr>
          <w:p>
            <w:pPr>
              <w:spacing w:after="20"/>
            </w:pPr>
            <w:r>
              <w:rPr>
                <w:sz w:val="17"/>
              </w:rPr>
              <w:t>ParsedMessage</w:t>
            </w:r>
          </w:p>
        </w:tc>
        <w:tc>
          <w:tcPr>
            <w:tcW w:type="dxa" w:w="2551"/>
            <w:vAlign w:val="top"/>
            <w:tcBorders>
              <w:top w:sz="3" w:val="single" w:color="D9E0E5"/>
              <w:left w:sz="3" w:val="single" w:color="D9E0E5"/>
              <w:bottom w:sz="3" w:val="single" w:color="D9E0E5"/>
              <w:right w:sz="3" w:val="single" w:color="D9E0E5"/>
            </w:tcBorders>
          </w:tcPr>
          <w:p>
            <w:pPr>
              <w:spacing w:after="20"/>
            </w:pPr>
            <w:r>
              <w:rPr>
                <w:sz w:val="17"/>
              </w:rPr>
              <w:t>Fachlich nutzbare Sicht</w:t>
            </w:r>
          </w:p>
        </w:tc>
        <w:tc>
          <w:tcPr>
            <w:tcW w:type="dxa" w:w="4819"/>
            <w:vAlign w:val="top"/>
            <w:tcBorders>
              <w:top w:sz="3" w:val="single" w:color="D9E0E5"/>
              <w:left w:sz="3" w:val="single" w:color="D9E0E5"/>
              <w:bottom w:sz="3" w:val="single" w:color="D9E0E5"/>
              <w:right w:sz="3" w:val="single" w:color="D9E0E5"/>
            </w:tcBorders>
          </w:tcPr>
          <w:p>
            <w:pPr>
              <w:spacing w:after="20"/>
            </w:pPr>
            <w:r>
              <w:rPr>
                <w:sz w:val="17"/>
              </w:rPr>
              <w:t>Header, Adressen, Betreff, Text, HTML, Anhänge, Threaddaten</w:t>
            </w:r>
          </w:p>
        </w:tc>
      </w:tr>
      <w:tr>
        <w:tc>
          <w:tcPr>
            <w:tcW w:type="dxa" w:w="1984"/>
            <w:vAlign w:val="top"/>
            <w:shd w:fill="F5F7F8"/>
            <w:tcBorders>
              <w:top w:sz="3" w:val="single" w:color="D9E0E5"/>
              <w:left w:sz="3" w:val="single" w:color="D9E0E5"/>
              <w:bottom w:sz="3" w:val="single" w:color="D9E0E5"/>
              <w:right w:sz="3" w:val="single" w:color="D9E0E5"/>
            </w:tcBorders>
          </w:tcPr>
          <w:p>
            <w:pPr>
              <w:spacing w:after="20"/>
            </w:pPr>
            <w:r>
              <w:rPr>
                <w:sz w:val="17"/>
              </w:rPr>
              <w:t>LinkObservation</w:t>
            </w:r>
          </w:p>
        </w:tc>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Ein extrahiertes Link- oder Buttonziel</w:t>
            </w:r>
          </w:p>
        </w:tc>
        <w:tc>
          <w:tcPr>
            <w:tcW w:type="dxa" w:w="4819"/>
            <w:vAlign w:val="top"/>
            <w:shd w:fill="F5F7F8"/>
            <w:tcBorders>
              <w:top w:sz="3" w:val="single" w:color="D9E0E5"/>
              <w:left w:sz="3" w:val="single" w:color="D9E0E5"/>
              <w:bottom w:sz="3" w:val="single" w:color="D9E0E5"/>
              <w:right w:sz="3" w:val="single" w:color="D9E0E5"/>
            </w:tcBorders>
          </w:tcPr>
          <w:p>
            <w:pPr>
              <w:spacing w:after="20"/>
            </w:pPr>
            <w:r>
              <w:rPr>
                <w:sz w:val="17"/>
              </w:rPr>
              <w:t>sichtbarer Text, Original-URL, normalisierte URL, Domain, Quelle</w:t>
            </w:r>
          </w:p>
        </w:tc>
      </w:tr>
      <w:tr>
        <w:tc>
          <w:tcPr>
            <w:tcW w:type="dxa" w:w="1984"/>
            <w:vAlign w:val="top"/>
            <w:tcBorders>
              <w:top w:sz="3" w:val="single" w:color="D9E0E5"/>
              <w:left w:sz="3" w:val="single" w:color="D9E0E5"/>
              <w:bottom w:sz="3" w:val="single" w:color="D9E0E5"/>
              <w:right w:sz="3" w:val="single" w:color="D9E0E5"/>
            </w:tcBorders>
          </w:tcPr>
          <w:p>
            <w:pPr>
              <w:spacing w:after="20"/>
            </w:pPr>
            <w:r>
              <w:rPr>
                <w:sz w:val="17"/>
              </w:rPr>
              <w:t>AnalysisRun</w:t>
            </w:r>
          </w:p>
        </w:tc>
        <w:tc>
          <w:tcPr>
            <w:tcW w:type="dxa" w:w="2551"/>
            <w:vAlign w:val="top"/>
            <w:tcBorders>
              <w:top w:sz="3" w:val="single" w:color="D9E0E5"/>
              <w:left w:sz="3" w:val="single" w:color="D9E0E5"/>
              <w:bottom w:sz="3" w:val="single" w:color="D9E0E5"/>
              <w:right w:sz="3" w:val="single" w:color="D9E0E5"/>
            </w:tcBorders>
          </w:tcPr>
          <w:p>
            <w:pPr>
              <w:spacing w:after="20"/>
            </w:pPr>
            <w:r>
              <w:rPr>
                <w:sz w:val="17"/>
              </w:rPr>
              <w:t>Versionierter Analyselauf</w:t>
            </w:r>
          </w:p>
        </w:tc>
        <w:tc>
          <w:tcPr>
            <w:tcW w:type="dxa" w:w="4819"/>
            <w:vAlign w:val="top"/>
            <w:tcBorders>
              <w:top w:sz="3" w:val="single" w:color="D9E0E5"/>
              <w:left w:sz="3" w:val="single" w:color="D9E0E5"/>
              <w:bottom w:sz="3" w:val="single" w:color="D9E0E5"/>
              <w:right w:sz="3" w:val="single" w:color="D9E0E5"/>
            </w:tcBorders>
          </w:tcPr>
          <w:p>
            <w:pPr>
              <w:spacing w:after="20"/>
            </w:pPr>
            <w:r>
              <w:rPr>
                <w:sz w:val="17"/>
              </w:rPr>
              <w:t>Analyzer-ID/-Version, InputHash, Parameter, Status, Ergebnis</w:t>
            </w:r>
          </w:p>
        </w:tc>
      </w:tr>
      <w:tr>
        <w:tc>
          <w:tcPr>
            <w:tcW w:type="dxa" w:w="1984"/>
            <w:vAlign w:val="top"/>
            <w:shd w:fill="F5F7F8"/>
            <w:tcBorders>
              <w:top w:sz="3" w:val="single" w:color="D9E0E5"/>
              <w:left w:sz="3" w:val="single" w:color="D9E0E5"/>
              <w:bottom w:sz="3" w:val="single" w:color="D9E0E5"/>
              <w:right w:sz="3" w:val="single" w:color="D9E0E5"/>
            </w:tcBorders>
          </w:tcPr>
          <w:p>
            <w:pPr>
              <w:spacing w:after="20"/>
            </w:pPr>
            <w:r>
              <w:rPr>
                <w:sz w:val="17"/>
              </w:rPr>
              <w:t>WarningFinding</w:t>
            </w:r>
          </w:p>
        </w:tc>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Ein erklärter Einzelindikator</w:t>
            </w:r>
          </w:p>
        </w:tc>
        <w:tc>
          <w:tcPr>
            <w:tcW w:type="dxa" w:w="4819"/>
            <w:vAlign w:val="top"/>
            <w:shd w:fill="F5F7F8"/>
            <w:tcBorders>
              <w:top w:sz="3" w:val="single" w:color="D9E0E5"/>
              <w:left w:sz="3" w:val="single" w:color="D9E0E5"/>
              <w:bottom w:sz="3" w:val="single" w:color="D9E0E5"/>
              <w:right w:sz="3" w:val="single" w:color="D9E0E5"/>
            </w:tcBorders>
          </w:tcPr>
          <w:p>
            <w:pPr>
              <w:spacing w:after="20"/>
            </w:pPr>
            <w:r>
              <w:rPr>
                <w:sz w:val="17"/>
              </w:rPr>
              <w:t>Regel-ID, Schwere, Evidenz, Beschreibung, Empfehlung</w:t>
            </w:r>
          </w:p>
        </w:tc>
      </w:tr>
      <w:tr>
        <w:tc>
          <w:tcPr>
            <w:tcW w:type="dxa" w:w="1984"/>
            <w:vAlign w:val="top"/>
            <w:tcBorders>
              <w:top w:sz="3" w:val="single" w:color="D9E0E5"/>
              <w:left w:sz="3" w:val="single" w:color="D9E0E5"/>
              <w:bottom w:sz="3" w:val="single" w:color="D9E0E5"/>
              <w:right w:sz="3" w:val="single" w:color="D9E0E5"/>
            </w:tcBorders>
          </w:tcPr>
          <w:p>
            <w:pPr>
              <w:spacing w:after="20"/>
            </w:pPr>
            <w:r>
              <w:rPr>
                <w:sz w:val="17"/>
              </w:rPr>
              <w:t>BrandTrustProfile</w:t>
            </w:r>
          </w:p>
        </w:tc>
        <w:tc>
          <w:tcPr>
            <w:tcW w:type="dxa" w:w="2551"/>
            <w:vAlign w:val="top"/>
            <w:tcBorders>
              <w:top w:sz="3" w:val="single" w:color="D9E0E5"/>
              <w:left w:sz="3" w:val="single" w:color="D9E0E5"/>
              <w:bottom w:sz="3" w:val="single" w:color="D9E0E5"/>
              <w:right w:sz="3" w:val="single" w:color="D9E0E5"/>
            </w:tcBorders>
          </w:tcPr>
          <w:p>
            <w:pPr>
              <w:spacing w:after="20"/>
            </w:pPr>
            <w:r>
              <w:rPr>
                <w:sz w:val="17"/>
              </w:rPr>
              <w:t>Lokales Vertrauensprofil</w:t>
            </w:r>
          </w:p>
        </w:tc>
        <w:tc>
          <w:tcPr>
            <w:tcW w:type="dxa" w:w="4819"/>
            <w:vAlign w:val="top"/>
            <w:tcBorders>
              <w:top w:sz="3" w:val="single" w:color="D9E0E5"/>
              <w:left w:sz="3" w:val="single" w:color="D9E0E5"/>
              <w:bottom w:sz="3" w:val="single" w:color="D9E0E5"/>
              <w:right w:sz="3" w:val="single" w:color="D9E0E5"/>
            </w:tcBorders>
          </w:tcPr>
          <w:p>
            <w:pPr>
              <w:spacing w:after="20"/>
            </w:pPr>
            <w:r>
              <w:rPr>
                <w:sz w:val="17"/>
              </w:rPr>
              <w:t>Name, zulässige Domains, Dienstleister, Gültigkeit, Version</w:t>
            </w:r>
          </w:p>
        </w:tc>
      </w:tr>
      <w:tr>
        <w:tc>
          <w:tcPr>
            <w:tcW w:type="dxa" w:w="1984"/>
            <w:vAlign w:val="top"/>
            <w:shd w:fill="F5F7F8"/>
            <w:tcBorders>
              <w:top w:sz="3" w:val="single" w:color="D9E0E5"/>
              <w:left w:sz="3" w:val="single" w:color="D9E0E5"/>
              <w:bottom w:sz="3" w:val="single" w:color="D9E0E5"/>
              <w:right w:sz="3" w:val="single" w:color="D9E0E5"/>
            </w:tcBorders>
          </w:tcPr>
          <w:p>
            <w:pPr>
              <w:spacing w:after="20"/>
            </w:pPr>
            <w:r>
              <w:rPr>
                <w:sz w:val="17"/>
              </w:rPr>
              <w:t>FetchRun</w:t>
            </w:r>
          </w:p>
        </w:tc>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Abrufbericht</w:t>
            </w:r>
          </w:p>
        </w:tc>
        <w:tc>
          <w:tcPr>
            <w:tcW w:type="dxa" w:w="4819"/>
            <w:vAlign w:val="top"/>
            <w:shd w:fill="F5F7F8"/>
            <w:tcBorders>
              <w:top w:sz="3" w:val="single" w:color="D9E0E5"/>
              <w:left w:sz="3" w:val="single" w:color="D9E0E5"/>
              <w:bottom w:sz="3" w:val="single" w:color="D9E0E5"/>
              <w:right w:sz="3" w:val="single" w:color="D9E0E5"/>
            </w:tcBorders>
          </w:tcPr>
          <w:p>
            <w:pPr>
              <w:spacing w:after="20"/>
            </w:pPr>
            <w:r>
              <w:rPr>
                <w:sz w:val="17"/>
              </w:rPr>
              <w:t>Modus, Konto, Anzahl, Bytes, neu, bekannt, Fehler, Dauer</w:t>
            </w:r>
          </w:p>
        </w:tc>
      </w:tr>
      <w:tr>
        <w:tc>
          <w:tcPr>
            <w:tcW w:type="dxa" w:w="1984"/>
            <w:vAlign w:val="top"/>
            <w:tcBorders>
              <w:top w:sz="3" w:val="single" w:color="D9E0E5"/>
              <w:left w:sz="3" w:val="single" w:color="D9E0E5"/>
              <w:bottom w:sz="3" w:val="single" w:color="D9E0E5"/>
              <w:right w:sz="3" w:val="single" w:color="D9E0E5"/>
            </w:tcBorders>
          </w:tcPr>
          <w:p>
            <w:pPr>
              <w:spacing w:after="20"/>
            </w:pPr>
            <w:r>
              <w:rPr>
                <w:sz w:val="17"/>
              </w:rPr>
              <w:t>OutboxItem</w:t>
            </w:r>
          </w:p>
        </w:tc>
        <w:tc>
          <w:tcPr>
            <w:tcW w:type="dxa" w:w="2551"/>
            <w:vAlign w:val="top"/>
            <w:tcBorders>
              <w:top w:sz="3" w:val="single" w:color="D9E0E5"/>
              <w:left w:sz="3" w:val="single" w:color="D9E0E5"/>
              <w:bottom w:sz="3" w:val="single" w:color="D9E0E5"/>
              <w:right w:sz="3" w:val="single" w:color="D9E0E5"/>
            </w:tcBorders>
          </w:tcPr>
          <w:p>
            <w:pPr>
              <w:spacing w:after="20"/>
            </w:pPr>
            <w:r>
              <w:rPr>
                <w:sz w:val="17"/>
              </w:rPr>
              <w:t>Versandauftrag</w:t>
            </w:r>
          </w:p>
        </w:tc>
        <w:tc>
          <w:tcPr>
            <w:tcW w:type="dxa" w:w="4819"/>
            <w:vAlign w:val="top"/>
            <w:tcBorders>
              <w:top w:sz="3" w:val="single" w:color="D9E0E5"/>
              <w:left w:sz="3" w:val="single" w:color="D9E0E5"/>
              <w:bottom w:sz="3" w:val="single" w:color="D9E0E5"/>
              <w:right w:sz="3" w:val="single" w:color="D9E0E5"/>
            </w:tcBorders>
          </w:tcPr>
          <w:p>
            <w:pPr>
              <w:spacing w:after="20"/>
            </w:pPr>
            <w:r>
              <w:rPr>
                <w:sz w:val="17"/>
              </w:rPr>
              <w:t>MIME-Referenz, SMTP-Status, Retry, Fehler</w:t>
            </w:r>
          </w:p>
        </w:tc>
      </w:tr>
      <w:tr>
        <w:tc>
          <w:tcPr>
            <w:tcW w:type="dxa" w:w="1984"/>
            <w:vAlign w:val="top"/>
            <w:shd w:fill="F5F7F8"/>
            <w:tcBorders>
              <w:top w:sz="3" w:val="single" w:color="D9E0E5"/>
              <w:left w:sz="3" w:val="single" w:color="D9E0E5"/>
              <w:bottom w:sz="3" w:val="single" w:color="D9E0E5"/>
              <w:right w:sz="3" w:val="single" w:color="D9E0E5"/>
            </w:tcBorders>
          </w:tcPr>
          <w:p>
            <w:pPr>
              <w:spacing w:after="20"/>
            </w:pPr>
            <w:r>
              <w:rPr>
                <w:sz w:val="17"/>
              </w:rPr>
              <w:t>SentUpload</w:t>
            </w:r>
          </w:p>
        </w:tc>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IMAP-Uploadstatus</w:t>
            </w:r>
          </w:p>
        </w:tc>
        <w:tc>
          <w:tcPr>
            <w:tcW w:type="dxa" w:w="4819"/>
            <w:vAlign w:val="top"/>
            <w:shd w:fill="F5F7F8"/>
            <w:tcBorders>
              <w:top w:sz="3" w:val="single" w:color="D9E0E5"/>
              <w:left w:sz="3" w:val="single" w:color="D9E0E5"/>
              <w:bottom w:sz="3" w:val="single" w:color="D9E0E5"/>
              <w:right w:sz="3" w:val="single" w:color="D9E0E5"/>
            </w:tcBorders>
          </w:tcPr>
          <w:p>
            <w:pPr>
              <w:spacing w:after="20"/>
            </w:pPr>
            <w:r>
              <w:rPr>
                <w:sz w:val="17"/>
              </w:rPr>
              <w:t>Zielordner, UID, Status, letzter Versuch, Fehler</w:t>
            </w:r>
          </w:p>
        </w:tc>
      </w:tr>
      <w:tr>
        <w:tc>
          <w:tcPr>
            <w:tcW w:type="dxa" w:w="1984"/>
            <w:vAlign w:val="top"/>
            <w:tcBorders>
              <w:top w:sz="3" w:val="single" w:color="D9E0E5"/>
              <w:left w:sz="3" w:val="single" w:color="D9E0E5"/>
              <w:bottom w:sz="3" w:val="single" w:color="D9E0E5"/>
              <w:right w:sz="3" w:val="single" w:color="D9E0E5"/>
            </w:tcBorders>
          </w:tcPr>
          <w:p>
            <w:pPr>
              <w:spacing w:after="20"/>
            </w:pPr>
            <w:r>
              <w:rPr>
                <w:sz w:val="17"/>
              </w:rPr>
              <w:t>Dataset</w:t>
            </w:r>
          </w:p>
        </w:tc>
        <w:tc>
          <w:tcPr>
            <w:tcW w:type="dxa" w:w="2551"/>
            <w:vAlign w:val="top"/>
            <w:tcBorders>
              <w:top w:sz="3" w:val="single" w:color="D9E0E5"/>
              <w:left w:sz="3" w:val="single" w:color="D9E0E5"/>
              <w:bottom w:sz="3" w:val="single" w:color="D9E0E5"/>
              <w:right w:sz="3" w:val="single" w:color="D9E0E5"/>
            </w:tcBorders>
          </w:tcPr>
          <w:p>
            <w:pPr>
              <w:spacing w:after="20"/>
            </w:pPr>
            <w:r>
              <w:rPr>
                <w:sz w:val="17"/>
              </w:rPr>
              <w:t>Wissenschaftliche Auswahl</w:t>
            </w:r>
          </w:p>
        </w:tc>
        <w:tc>
          <w:tcPr>
            <w:tcW w:type="dxa" w:w="4819"/>
            <w:vAlign w:val="top"/>
            <w:tcBorders>
              <w:top w:sz="3" w:val="single" w:color="D9E0E5"/>
              <w:left w:sz="3" w:val="single" w:color="D9E0E5"/>
              <w:bottom w:sz="3" w:val="single" w:color="D9E0E5"/>
              <w:right w:sz="3" w:val="single" w:color="D9E0E5"/>
            </w:tcBorders>
          </w:tcPr>
          <w:p>
            <w:pPr>
              <w:spacing w:after="20"/>
            </w:pPr>
            <w:r>
              <w:rPr>
                <w:sz w:val="17"/>
              </w:rPr>
              <w:t>Kriterien, Version, Mitglieder, Manifest, Pseudonymisierung</w:t>
            </w:r>
          </w:p>
        </w:tc>
      </w:tr>
    </w:tbl>
    <w:p>
      <w:pPr>
        <w:widowControl w:val="1"/>
      </w:pPr>
    </w:p>
    <w:p>
      <w:pPr>
        <w:pStyle w:val="Heading2"/>
        <w:widowControl w:val="1"/>
      </w:pPr>
      <w:r>
        <w:t>9.3 Aufbewahrung und Löschung</w:t>
      </w:r>
    </w:p>
    <w:p>
      <w:pPr>
        <w:pStyle w:val="BodyText"/>
        <w:widowControl w:val="1"/>
      </w:pPr>
      <w:r>
        <w:t>Version 1.0 muss Löschvorgänge konservativ behandeln. Servermails werden standardmäßig nicht gelöscht. Lokale Löschung muss zwischen Ansicht entfernen, Papierkorb, endgültigem Löschen und Entfernen einer temporären Duplikatkopie unterscheiden. Endgültige lokale Löschung soll erst nach verständlicher Bestätigung und unter Berücksichtigung vorhandener Backups erfolgen.</w:t>
      </w:r>
    </w:p>
    <w:p>
      <w:pPr>
        <w:pStyle w:val="Heading1"/>
        <w:widowControl w:val="1"/>
      </w:pPr>
      <w:r>
        <w:t>10. Oberflächen- und Bedienkonzept</w:t>
      </w:r>
    </w:p>
    <w:p>
      <w:pPr>
        <w:pStyle w:val="Heading2"/>
        <w:widowControl w:val="1"/>
      </w:pPr>
      <w:r>
        <w:t>10.1 Grundlayout</w:t>
      </w:r>
    </w:p>
    <w:p>
      <w:pPr>
        <w:pStyle w:val="BodyText"/>
        <w:widowControl w:val="1"/>
      </w:pPr>
      <w:r>
        <w:t>Die erste produktive Oberfläche wird mit Windows Forms umgesetzt. Das bevorzugte Grundlayout ist eine ruhige Drei-Spalten-Ansicht: Konten und Ordner links, Nachrichtenliste in der Mitte, Lesebereich rechts. Analyse- und Scientific-Funktionen erscheinen als Tabs, Seitenpanel oder eigener Workspace und dürfen den normalen Mailbetrieb nicht überladen.</w:t>
      </w:r>
    </w:p>
    <w:p>
      <w:pPr>
        <w:pStyle w:val="Heading2"/>
        <w:widowControl w:val="1"/>
      </w:pPr>
      <w:r>
        <w:t>10.2 Workspaces</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01"/>
            <w:shd w:fill="12324A"/>
            <w:tcBorders>
              <w:top w:sz="3" w:val="single" w:color="D9E0E5"/>
              <w:left w:sz="3" w:val="single" w:color="D9E0E5"/>
              <w:bottom w:sz="3" w:val="single" w:color="D9E0E5"/>
              <w:right w:sz="3" w:val="single" w:color="D9E0E5"/>
            </w:tcBorders>
          </w:tcPr>
          <w:p>
            <w:r>
              <w:rPr>
                <w:b/>
                <w:color w:val="FFFFFF"/>
                <w:sz w:val="18"/>
              </w:rPr>
              <w:t>Workspace</w:t>
            </w:r>
          </w:p>
        </w:tc>
        <w:tc>
          <w:tcPr>
            <w:tcW w:type="dxa" w:w="2835"/>
            <w:shd w:fill="12324A"/>
            <w:tcBorders>
              <w:top w:sz="3" w:val="single" w:color="D9E0E5"/>
              <w:left w:sz="3" w:val="single" w:color="D9E0E5"/>
              <w:bottom w:sz="3" w:val="single" w:color="D9E0E5"/>
              <w:right w:sz="3" w:val="single" w:color="D9E0E5"/>
            </w:tcBorders>
          </w:tcPr>
          <w:p>
            <w:r>
              <w:rPr>
                <w:b/>
                <w:color w:val="FFFFFF"/>
                <w:sz w:val="18"/>
              </w:rPr>
              <w:t>Fokus</w:t>
            </w:r>
          </w:p>
        </w:tc>
        <w:tc>
          <w:tcPr>
            <w:tcW w:type="dxa" w:w="4819"/>
            <w:shd w:fill="12324A"/>
            <w:tcBorders>
              <w:top w:sz="3" w:val="single" w:color="D9E0E5"/>
              <w:left w:sz="3" w:val="single" w:color="D9E0E5"/>
              <w:bottom w:sz="3" w:val="single" w:color="D9E0E5"/>
              <w:right w:sz="3" w:val="single" w:color="D9E0E5"/>
            </w:tcBorders>
          </w:tcPr>
          <w:p>
            <w:r>
              <w:rPr>
                <w:b/>
                <w:color w:val="FFFFFF"/>
                <w:sz w:val="18"/>
              </w:rPr>
              <w:t>Typische Elemente</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7"/>
              </w:rPr>
              <w:t>Mail</w:t>
            </w:r>
          </w:p>
        </w:tc>
        <w:tc>
          <w:tcPr>
            <w:tcW w:type="dxa" w:w="2835"/>
            <w:vAlign w:val="top"/>
            <w:tcBorders>
              <w:top w:sz="3" w:val="single" w:color="D9E0E5"/>
              <w:left w:sz="3" w:val="single" w:color="D9E0E5"/>
              <w:bottom w:sz="3" w:val="single" w:color="D9E0E5"/>
              <w:right w:sz="3" w:val="single" w:color="D9E0E5"/>
            </w:tcBorders>
          </w:tcPr>
          <w:p>
            <w:pPr>
              <w:spacing w:after="20"/>
            </w:pPr>
            <w:r>
              <w:rPr>
                <w:sz w:val="17"/>
              </w:rPr>
              <w:t>Lesen und Schreiben</w:t>
            </w:r>
          </w:p>
        </w:tc>
        <w:tc>
          <w:tcPr>
            <w:tcW w:type="dxa" w:w="4819"/>
            <w:vAlign w:val="top"/>
            <w:tcBorders>
              <w:top w:sz="3" w:val="single" w:color="D9E0E5"/>
              <w:left w:sz="3" w:val="single" w:color="D9E0E5"/>
              <w:bottom w:sz="3" w:val="single" w:color="D9E0E5"/>
              <w:right w:sz="3" w:val="single" w:color="D9E0E5"/>
            </w:tcBorders>
          </w:tcPr>
          <w:p>
            <w:pPr>
              <w:spacing w:after="20"/>
            </w:pPr>
            <w:r>
              <w:rPr>
                <w:sz w:val="17"/>
              </w:rPr>
              <w:t>Ordner, Liste, Nachricht, Antworten, Anhänge</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7"/>
              </w:rPr>
              <w:t>Analyse</w:t>
            </w:r>
          </w:p>
        </w:tc>
        <w:tc>
          <w:tcPr>
            <w:tcW w:type="dxa" w:w="2835"/>
            <w:vAlign w:val="top"/>
            <w:shd w:fill="F5F7F8"/>
            <w:tcBorders>
              <w:top w:sz="3" w:val="single" w:color="D9E0E5"/>
              <w:left w:sz="3" w:val="single" w:color="D9E0E5"/>
              <w:bottom w:sz="3" w:val="single" w:color="D9E0E5"/>
              <w:right w:sz="3" w:val="single" w:color="D9E0E5"/>
            </w:tcBorders>
          </w:tcPr>
          <w:p>
            <w:pPr>
              <w:spacing w:after="20"/>
            </w:pPr>
            <w:r>
              <w:rPr>
                <w:sz w:val="17"/>
              </w:rPr>
              <w:t>Sicherheits- und Technikprüfung</w:t>
            </w:r>
          </w:p>
        </w:tc>
        <w:tc>
          <w:tcPr>
            <w:tcW w:type="dxa" w:w="4819"/>
            <w:vAlign w:val="top"/>
            <w:shd w:fill="F5F7F8"/>
            <w:tcBorders>
              <w:top w:sz="3" w:val="single" w:color="D9E0E5"/>
              <w:left w:sz="3" w:val="single" w:color="D9E0E5"/>
              <w:bottom w:sz="3" w:val="single" w:color="D9E0E5"/>
              <w:right w:sz="3" w:val="single" w:color="D9E0E5"/>
            </w:tcBorders>
          </w:tcPr>
          <w:p>
            <w:pPr>
              <w:spacing w:after="20"/>
            </w:pPr>
            <w:r>
              <w:rPr>
                <w:sz w:val="17"/>
              </w:rPr>
              <w:t>Warnstufe, Links, Domains, Header, MIME, Anhänge</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7"/>
              </w:rPr>
              <w:t>Diagnose</w:t>
            </w:r>
          </w:p>
        </w:tc>
        <w:tc>
          <w:tcPr>
            <w:tcW w:type="dxa" w:w="2835"/>
            <w:vAlign w:val="top"/>
            <w:tcBorders>
              <w:top w:sz="3" w:val="single" w:color="D9E0E5"/>
              <w:left w:sz="3" w:val="single" w:color="D9E0E5"/>
              <w:bottom w:sz="3" w:val="single" w:color="D9E0E5"/>
              <w:right w:sz="3" w:val="single" w:color="D9E0E5"/>
            </w:tcBorders>
          </w:tcPr>
          <w:p>
            <w:pPr>
              <w:spacing w:after="20"/>
            </w:pPr>
            <w:r>
              <w:rPr>
                <w:sz w:val="17"/>
              </w:rPr>
              <w:t>Verbindung und Betrieb</w:t>
            </w:r>
          </w:p>
        </w:tc>
        <w:tc>
          <w:tcPr>
            <w:tcW w:type="dxa" w:w="4819"/>
            <w:vAlign w:val="top"/>
            <w:tcBorders>
              <w:top w:sz="3" w:val="single" w:color="D9E0E5"/>
              <w:left w:sz="3" w:val="single" w:color="D9E0E5"/>
              <w:bottom w:sz="3" w:val="single" w:color="D9E0E5"/>
              <w:right w:sz="3" w:val="single" w:color="D9E0E5"/>
            </w:tcBorders>
          </w:tcPr>
          <w:p>
            <w:pPr>
              <w:spacing w:after="20"/>
            </w:pPr>
            <w:r>
              <w:rPr>
                <w:sz w:val="17"/>
              </w:rPr>
              <w:t>DNS, TCP, TLS, Authentifizierung, Abruf-/Uploadwarteschlangen</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7"/>
              </w:rPr>
              <w:t>Scientific</w:t>
            </w:r>
          </w:p>
        </w:tc>
        <w:tc>
          <w:tcPr>
            <w:tcW w:type="dxa" w:w="2835"/>
            <w:vAlign w:val="top"/>
            <w:shd w:fill="F5F7F8"/>
            <w:tcBorders>
              <w:top w:sz="3" w:val="single" w:color="D9E0E5"/>
              <w:left w:sz="3" w:val="single" w:color="D9E0E5"/>
              <w:bottom w:sz="3" w:val="single" w:color="D9E0E5"/>
              <w:right w:sz="3" w:val="single" w:color="D9E0E5"/>
            </w:tcBorders>
          </w:tcPr>
          <w:p>
            <w:pPr>
              <w:spacing w:after="20"/>
            </w:pPr>
            <w:r>
              <w:rPr>
                <w:sz w:val="17"/>
              </w:rPr>
              <w:t>Reproduzierbare Untersuchung</w:t>
            </w:r>
          </w:p>
        </w:tc>
        <w:tc>
          <w:tcPr>
            <w:tcW w:type="dxa" w:w="4819"/>
            <w:vAlign w:val="top"/>
            <w:shd w:fill="F5F7F8"/>
            <w:tcBorders>
              <w:top w:sz="3" w:val="single" w:color="D9E0E5"/>
              <w:left w:sz="3" w:val="single" w:color="D9E0E5"/>
              <w:bottom w:sz="3" w:val="single" w:color="D9E0E5"/>
              <w:right w:sz="3" w:val="single" w:color="D9E0E5"/>
            </w:tcBorders>
          </w:tcPr>
          <w:p>
            <w:pPr>
              <w:spacing w:after="20"/>
            </w:pPr>
            <w:r>
              <w:rPr>
                <w:sz w:val="17"/>
              </w:rPr>
              <w:t>Provenienz, Analysis Runs, Datensatz, Bericht, Export</w:t>
            </w:r>
          </w:p>
        </w:tc>
      </w:tr>
    </w:tbl>
    <w:p>
      <w:pPr>
        <w:widowControl w:val="1"/>
      </w:pPr>
    </w:p>
    <w:p>
      <w:pPr>
        <w:pStyle w:val="Heading2"/>
        <w:widowControl w:val="1"/>
      </w:pPr>
      <w:r>
        <w:t>10.3 Layout- und Theme-Vorbereitung</w:t>
      </w:r>
    </w:p>
    <w:p>
      <w:pPr>
        <w:pStyle w:val="BodyText"/>
        <w:widowControl w:val="1"/>
      </w:pPr>
      <w:r>
        <w:t>Die früheren visuellen Entwürfe - unter anderem technische, futuristische, Solaris-inspirierte sowie Science-Fiction-nahe Oberflächen - sollen als Gestaltungsstudien erhalten bleiben. Version 1.0 muss jedoch zunächst ein sachliches Standardtheme liefern. Layout, Theme, Informationsdichte und Workspace werden getrennt modelliert, damit spätere Vorlagen die Funktion nicht verändern.</w:t>
      </w:r>
    </w:p>
    <w:p>
      <w:pPr>
        <w:pStyle w:val="Heading2"/>
        <w:widowControl w:val="1"/>
      </w:pPr>
      <w:r>
        <w:t>10.4 Partial-Class-Regeln</w:t>
      </w:r>
    </w:p>
    <w:p>
      <w:pPr>
        <w:pStyle w:val="ListBullet"/>
        <w:widowControl w:val="1"/>
      </w:pPr>
      <w:r>
        <w:t>Designer-Dateien werden ausschließlich vom WinForms-Designer verwaltet.</w:t>
      </w:r>
    </w:p>
    <w:p>
      <w:pPr>
        <w:pStyle w:val="ListBullet"/>
        <w:widowControl w:val="1"/>
      </w:pPr>
      <w:r>
        <w:t>Fachlogik, SQL, Mailprotokolle und Hashing sind in Forms verboten.</w:t>
      </w:r>
    </w:p>
    <w:p>
      <w:pPr>
        <w:pStyle w:val="ListBullet"/>
        <w:widowControl w:val="1"/>
      </w:pPr>
      <w:r>
        <w:t>Eventhandler delegieren an ViewModels, Presenter oder Application Services.</w:t>
      </w:r>
    </w:p>
    <w:p>
      <w:pPr>
        <w:pStyle w:val="ListBullet"/>
        <w:widowControl w:val="1"/>
      </w:pPr>
      <w:r>
        <w:t>Größere Oberflächenbereiche werden als UserControls gekapselt.</w:t>
      </w:r>
    </w:p>
    <w:p>
      <w:pPr>
        <w:pStyle w:val="ListBullet"/>
        <w:widowControl w:val="1"/>
      </w:pPr>
      <w:r>
        <w:t>Zusätzliche Partial-Dateien werden nur nach klarer Verantwortung verwendet, etwa Events, Binding oder Presentation.</w:t>
      </w:r>
    </w:p>
    <w:p>
      <w:pPr>
        <w:pStyle w:val="Heading1"/>
        <w:widowControl w:val="1"/>
      </w:pPr>
      <w:r>
        <w:t>11. Externe Schnittstellen und Protokolle</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01"/>
            <w:shd w:fill="12324A"/>
            <w:tcBorders>
              <w:top w:sz="3" w:val="single" w:color="D9E0E5"/>
              <w:left w:sz="3" w:val="single" w:color="D9E0E5"/>
              <w:bottom w:sz="3" w:val="single" w:color="D9E0E5"/>
              <w:right w:sz="3" w:val="single" w:color="D9E0E5"/>
            </w:tcBorders>
          </w:tcPr>
          <w:p>
            <w:r>
              <w:rPr>
                <w:b/>
                <w:color w:val="FFFFFF"/>
                <w:sz w:val="18"/>
              </w:rPr>
              <w:t>Schnittstelle</w:t>
            </w:r>
          </w:p>
        </w:tc>
        <w:tc>
          <w:tcPr>
            <w:tcW w:type="dxa" w:w="3969"/>
            <w:shd w:fill="12324A"/>
            <w:tcBorders>
              <w:top w:sz="3" w:val="single" w:color="D9E0E5"/>
              <w:left w:sz="3" w:val="single" w:color="D9E0E5"/>
              <w:bottom w:sz="3" w:val="single" w:color="D9E0E5"/>
              <w:right w:sz="3" w:val="single" w:color="D9E0E5"/>
            </w:tcBorders>
          </w:tcPr>
          <w:p>
            <w:r>
              <w:rPr>
                <w:b/>
                <w:color w:val="FFFFFF"/>
                <w:sz w:val="18"/>
              </w:rPr>
              <w:t>V1-Anforderung</w:t>
            </w:r>
          </w:p>
        </w:tc>
        <w:tc>
          <w:tcPr>
            <w:tcW w:type="dxa" w:w="3685"/>
            <w:shd w:fill="12324A"/>
            <w:tcBorders>
              <w:top w:sz="3" w:val="single" w:color="D9E0E5"/>
              <w:left w:sz="3" w:val="single" w:color="D9E0E5"/>
              <w:bottom w:sz="3" w:val="single" w:color="D9E0E5"/>
              <w:right w:sz="3" w:val="single" w:color="D9E0E5"/>
            </w:tcBorders>
          </w:tcPr>
          <w:p>
            <w:r>
              <w:rPr>
                <w:b/>
                <w:color w:val="FFFFFF"/>
                <w:sz w:val="18"/>
              </w:rPr>
              <w:t>Besonderheiten</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7"/>
              </w:rPr>
              <w:t>POP3</w:t>
            </w:r>
          </w:p>
        </w:tc>
        <w:tc>
          <w:tcPr>
            <w:tcW w:type="dxa" w:w="3969"/>
            <w:vAlign w:val="top"/>
            <w:tcBorders>
              <w:top w:sz="3" w:val="single" w:color="D9E0E5"/>
              <w:left w:sz="3" w:val="single" w:color="D9E0E5"/>
              <w:bottom w:sz="3" w:val="single" w:color="D9E0E5"/>
              <w:right w:sz="3" w:val="single" w:color="D9E0E5"/>
            </w:tcBorders>
          </w:tcPr>
          <w:p>
            <w:pPr>
              <w:spacing w:after="20"/>
            </w:pPr>
            <w:r>
              <w:rPr>
                <w:sz w:val="17"/>
              </w:rPr>
              <w:t>Abruf neuer und aller sichtbaren Nachrichten</w:t>
            </w:r>
          </w:p>
        </w:tc>
        <w:tc>
          <w:tcPr>
            <w:tcW w:type="dxa" w:w="3685"/>
            <w:vAlign w:val="top"/>
            <w:tcBorders>
              <w:top w:sz="3" w:val="single" w:color="D9E0E5"/>
              <w:left w:sz="3" w:val="single" w:color="D9E0E5"/>
              <w:bottom w:sz="3" w:val="single" w:color="D9E0E5"/>
              <w:right w:sz="3" w:val="single" w:color="D9E0E5"/>
            </w:tcBorders>
          </w:tcPr>
          <w:p>
            <w:pPr>
              <w:spacing w:after="20"/>
            </w:pPr>
            <w:r>
              <w:rPr>
                <w:sz w:val="17"/>
              </w:rPr>
              <w:t>UIDL für Schnellpfad; Hash für belastbare lokale Deduplizierung</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7"/>
              </w:rPr>
              <w:t>SMTP</w:t>
            </w:r>
          </w:p>
        </w:tc>
        <w:tc>
          <w:tcPr>
            <w:tcW w:type="dxa" w:w="3969"/>
            <w:vAlign w:val="top"/>
            <w:shd w:fill="F5F7F8"/>
            <w:tcBorders>
              <w:top w:sz="3" w:val="single" w:color="D9E0E5"/>
              <w:left w:sz="3" w:val="single" w:color="D9E0E5"/>
              <w:bottom w:sz="3" w:val="single" w:color="D9E0E5"/>
              <w:right w:sz="3" w:val="single" w:color="D9E0E5"/>
            </w:tcBorders>
          </w:tcPr>
          <w:p>
            <w:pPr>
              <w:spacing w:after="20"/>
            </w:pPr>
            <w:r>
              <w:rPr>
                <w:sz w:val="17"/>
              </w:rPr>
              <w:t>Versand vollständiger MIME-Nachrichten</w:t>
            </w:r>
          </w:p>
        </w:tc>
        <w:tc>
          <w:tcPr>
            <w:tcW w:type="dxa" w:w="3685"/>
            <w:vAlign w:val="top"/>
            <w:shd w:fill="F5F7F8"/>
            <w:tcBorders>
              <w:top w:sz="3" w:val="single" w:color="D9E0E5"/>
              <w:left w:sz="3" w:val="single" w:color="D9E0E5"/>
              <w:bottom w:sz="3" w:val="single" w:color="D9E0E5"/>
              <w:right w:sz="3" w:val="single" w:color="D9E0E5"/>
            </w:tcBorders>
          </w:tcPr>
          <w:p>
            <w:pPr>
              <w:spacing w:after="20"/>
            </w:pPr>
            <w:r>
              <w:rPr>
                <w:sz w:val="17"/>
              </w:rPr>
              <w:t>TLS/STARTTLS, eindeutige Outboxzustände, kein blindes Retry bei unklarem Ergebnis</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7"/>
              </w:rPr>
              <w:t>IMAP</w:t>
            </w:r>
          </w:p>
        </w:tc>
        <w:tc>
          <w:tcPr>
            <w:tcW w:type="dxa" w:w="3969"/>
            <w:vAlign w:val="top"/>
            <w:tcBorders>
              <w:top w:sz="3" w:val="single" w:color="D9E0E5"/>
              <w:left w:sz="3" w:val="single" w:color="D9E0E5"/>
              <w:bottom w:sz="3" w:val="single" w:color="D9E0E5"/>
              <w:right w:sz="3" w:val="single" w:color="D9E0E5"/>
            </w:tcBorders>
          </w:tcPr>
          <w:p>
            <w:pPr>
              <w:spacing w:after="20"/>
            </w:pPr>
            <w:r>
              <w:rPr>
                <w:sz w:val="17"/>
              </w:rPr>
              <w:t>Nur ergänzender Upload in Gesendet und Ordnerermittlung</w:t>
            </w:r>
          </w:p>
        </w:tc>
        <w:tc>
          <w:tcPr>
            <w:tcW w:type="dxa" w:w="3685"/>
            <w:vAlign w:val="top"/>
            <w:tcBorders>
              <w:top w:sz="3" w:val="single" w:color="D9E0E5"/>
              <w:left w:sz="3" w:val="single" w:color="D9E0E5"/>
              <w:bottom w:sz="3" w:val="single" w:color="D9E0E5"/>
              <w:right w:sz="3" w:val="single" w:color="D9E0E5"/>
            </w:tcBorders>
          </w:tcPr>
          <w:p>
            <w:pPr>
              <w:spacing w:after="20"/>
            </w:pPr>
            <w:r>
              <w:rPr>
                <w:sz w:val="17"/>
              </w:rPr>
              <w:t>Kein vollständiger Eingangssync in V1</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7"/>
              </w:rPr>
              <w:t>MIME/EML</w:t>
            </w:r>
          </w:p>
        </w:tc>
        <w:tc>
          <w:tcPr>
            <w:tcW w:type="dxa" w:w="3969"/>
            <w:vAlign w:val="top"/>
            <w:shd w:fill="F5F7F8"/>
            <w:tcBorders>
              <w:top w:sz="3" w:val="single" w:color="D9E0E5"/>
              <w:left w:sz="3" w:val="single" w:color="D9E0E5"/>
              <w:bottom w:sz="3" w:val="single" w:color="D9E0E5"/>
              <w:right w:sz="3" w:val="single" w:color="D9E0E5"/>
            </w:tcBorders>
          </w:tcPr>
          <w:p>
            <w:pPr>
              <w:spacing w:after="20"/>
            </w:pPr>
            <w:r>
              <w:rPr>
                <w:sz w:val="17"/>
              </w:rPr>
              <w:t>Import, Export, Parsing, Rohdaten</w:t>
            </w:r>
          </w:p>
        </w:tc>
        <w:tc>
          <w:tcPr>
            <w:tcW w:type="dxa" w:w="3685"/>
            <w:vAlign w:val="top"/>
            <w:shd w:fill="F5F7F8"/>
            <w:tcBorders>
              <w:top w:sz="3" w:val="single" w:color="D9E0E5"/>
              <w:left w:sz="3" w:val="single" w:color="D9E0E5"/>
              <w:bottom w:sz="3" w:val="single" w:color="D9E0E5"/>
              <w:right w:sz="3" w:val="single" w:color="D9E0E5"/>
            </w:tcBorders>
          </w:tcPr>
          <w:p>
            <w:pPr>
              <w:spacing w:after="20"/>
            </w:pPr>
            <w:r>
              <w:rPr>
                <w:sz w:val="17"/>
              </w:rPr>
              <w:t>Originalbytes erhalten; abgeleitete Ansichten getrennt</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7"/>
              </w:rPr>
              <w:t>SQLite</w:t>
            </w:r>
          </w:p>
        </w:tc>
        <w:tc>
          <w:tcPr>
            <w:tcW w:type="dxa" w:w="3969"/>
            <w:vAlign w:val="top"/>
            <w:tcBorders>
              <w:top w:sz="3" w:val="single" w:color="D9E0E5"/>
              <w:left w:sz="3" w:val="single" w:color="D9E0E5"/>
              <w:bottom w:sz="3" w:val="single" w:color="D9E0E5"/>
              <w:right w:sz="3" w:val="single" w:color="D9E0E5"/>
            </w:tcBorders>
          </w:tcPr>
          <w:p>
            <w:pPr>
              <w:spacing w:after="20"/>
            </w:pPr>
            <w:r>
              <w:rPr>
                <w:sz w:val="17"/>
              </w:rPr>
              <w:t>Metadaten, Zustände, Indizes, Analyse</w:t>
            </w:r>
          </w:p>
        </w:tc>
        <w:tc>
          <w:tcPr>
            <w:tcW w:type="dxa" w:w="3685"/>
            <w:vAlign w:val="top"/>
            <w:tcBorders>
              <w:top w:sz="3" w:val="single" w:color="D9E0E5"/>
              <w:left w:sz="3" w:val="single" w:color="D9E0E5"/>
              <w:bottom w:sz="3" w:val="single" w:color="D9E0E5"/>
              <w:right w:sz="3" w:val="single" w:color="D9E0E5"/>
            </w:tcBorders>
          </w:tcPr>
          <w:p>
            <w:pPr>
              <w:spacing w:after="20"/>
            </w:pPr>
            <w:r>
              <w:rPr>
                <w:sz w:val="17"/>
              </w:rPr>
              <w:t>Migrationen, Transaktionen, Integritätsprüfung</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7"/>
              </w:rPr>
              <w:t>Windows Secret Store</w:t>
            </w:r>
          </w:p>
        </w:tc>
        <w:tc>
          <w:tcPr>
            <w:tcW w:type="dxa" w:w="3969"/>
            <w:vAlign w:val="top"/>
            <w:shd w:fill="F5F7F8"/>
            <w:tcBorders>
              <w:top w:sz="3" w:val="single" w:color="D9E0E5"/>
              <w:left w:sz="3" w:val="single" w:color="D9E0E5"/>
              <w:bottom w:sz="3" w:val="single" w:color="D9E0E5"/>
              <w:right w:sz="3" w:val="single" w:color="D9E0E5"/>
            </w:tcBorders>
          </w:tcPr>
          <w:p>
            <w:pPr>
              <w:spacing w:after="20"/>
            </w:pPr>
            <w:r>
              <w:rPr>
                <w:sz w:val="17"/>
              </w:rPr>
              <w:t>Passwörter und Tokens</w:t>
            </w:r>
          </w:p>
        </w:tc>
        <w:tc>
          <w:tcPr>
            <w:tcW w:type="dxa" w:w="3685"/>
            <w:vAlign w:val="top"/>
            <w:shd w:fill="F5F7F8"/>
            <w:tcBorders>
              <w:top w:sz="3" w:val="single" w:color="D9E0E5"/>
              <w:left w:sz="3" w:val="single" w:color="D9E0E5"/>
              <w:bottom w:sz="3" w:val="single" w:color="D9E0E5"/>
              <w:right w:sz="3" w:val="single" w:color="D9E0E5"/>
            </w:tcBorders>
          </w:tcPr>
          <w:p>
            <w:pPr>
              <w:spacing w:after="20"/>
            </w:pPr>
            <w:r>
              <w:rPr>
                <w:sz w:val="17"/>
              </w:rPr>
              <w:t>Keine Secrets in DB, Logs oder Exporten</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7"/>
              </w:rPr>
              <w:t>Browser/OS</w:t>
            </w:r>
          </w:p>
        </w:tc>
        <w:tc>
          <w:tcPr>
            <w:tcW w:type="dxa" w:w="3969"/>
            <w:vAlign w:val="top"/>
            <w:tcBorders>
              <w:top w:sz="3" w:val="single" w:color="D9E0E5"/>
              <w:left w:sz="3" w:val="single" w:color="D9E0E5"/>
              <w:bottom w:sz="3" w:val="single" w:color="D9E0E5"/>
              <w:right w:sz="3" w:val="single" w:color="D9E0E5"/>
            </w:tcBorders>
          </w:tcPr>
          <w:p>
            <w:pPr>
              <w:spacing w:after="20"/>
            </w:pPr>
            <w:r>
              <w:rPr>
                <w:sz w:val="17"/>
              </w:rPr>
              <w:t>Öffnen freigegebener Links und Dateien</w:t>
            </w:r>
          </w:p>
        </w:tc>
        <w:tc>
          <w:tcPr>
            <w:tcW w:type="dxa" w:w="3685"/>
            <w:vAlign w:val="top"/>
            <w:tcBorders>
              <w:top w:sz="3" w:val="single" w:color="D9E0E5"/>
              <w:left w:sz="3" w:val="single" w:color="D9E0E5"/>
              <w:bottom w:sz="3" w:val="single" w:color="D9E0E5"/>
              <w:right w:sz="3" w:val="single" w:color="D9E0E5"/>
            </w:tcBorders>
          </w:tcPr>
          <w:p>
            <w:pPr>
              <w:spacing w:after="20"/>
            </w:pPr>
            <w:r>
              <w:rPr>
                <w:sz w:val="17"/>
              </w:rPr>
              <w:t>Vorherige Warn- und Sicherheitsprüfung; keine automatische Navigation</w:t>
            </w:r>
          </w:p>
        </w:tc>
      </w:tr>
    </w:tbl>
    <w:p>
      <w:pPr>
        <w:widowControl w:val="1"/>
      </w:pPr>
    </w:p>
    <w:p>
      <w:pPr>
        <w:pStyle w:val="Heading1"/>
        <w:widowControl w:val="1"/>
      </w:pPr>
      <w:r>
        <w:t>12. Fehler-, Status- und Wiederanlaufkonzept</w:t>
      </w:r>
    </w:p>
    <w:p>
      <w:pPr>
        <w:pStyle w:val="Heading2"/>
        <w:widowControl w:val="1"/>
      </w:pPr>
      <w:r>
        <w:t>12.1 Statusmodelle</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2551"/>
            <w:shd w:fill="12324A"/>
            <w:tcBorders>
              <w:top w:sz="3" w:val="single" w:color="D9E0E5"/>
              <w:left w:sz="3" w:val="single" w:color="D9E0E5"/>
              <w:bottom w:sz="3" w:val="single" w:color="D9E0E5"/>
              <w:right w:sz="3" w:val="single" w:color="D9E0E5"/>
            </w:tcBorders>
          </w:tcPr>
          <w:p>
            <w:r>
              <w:rPr>
                <w:b/>
                <w:color w:val="FFFFFF"/>
                <w:sz w:val="18"/>
              </w:rPr>
              <w:t>Bereich</w:t>
            </w:r>
          </w:p>
        </w:tc>
        <w:tc>
          <w:tcPr>
            <w:tcW w:type="dxa" w:w="6803"/>
            <w:shd w:fill="12324A"/>
            <w:tcBorders>
              <w:top w:sz="3" w:val="single" w:color="D9E0E5"/>
              <w:left w:sz="3" w:val="single" w:color="D9E0E5"/>
              <w:bottom w:sz="3" w:val="single" w:color="D9E0E5"/>
              <w:right w:sz="3" w:val="single" w:color="D9E0E5"/>
            </w:tcBorders>
          </w:tcPr>
          <w:p>
            <w:r>
              <w:rPr>
                <w:b/>
                <w:color w:val="FFFFFF"/>
                <w:sz w:val="18"/>
              </w:rPr>
              <w:t>Beispielzustände</w:t>
            </w:r>
          </w:p>
        </w:tc>
      </w:tr>
      <w:tr>
        <w:tc>
          <w:tcPr>
            <w:tcW w:type="dxa" w:w="2551"/>
            <w:vAlign w:val="top"/>
            <w:tcBorders>
              <w:top w:sz="3" w:val="single" w:color="D9E0E5"/>
              <w:left w:sz="3" w:val="single" w:color="D9E0E5"/>
              <w:bottom w:sz="3" w:val="single" w:color="D9E0E5"/>
              <w:right w:sz="3" w:val="single" w:color="D9E0E5"/>
            </w:tcBorders>
          </w:tcPr>
          <w:p>
            <w:pPr>
              <w:spacing w:after="20"/>
            </w:pPr>
            <w:r>
              <w:rPr>
                <w:sz w:val="17"/>
              </w:rPr>
              <w:t>Nachricht</w:t>
            </w:r>
          </w:p>
        </w:tc>
        <w:tc>
          <w:tcPr>
            <w:tcW w:type="dxa" w:w="6803"/>
            <w:vAlign w:val="top"/>
            <w:tcBorders>
              <w:top w:sz="3" w:val="single" w:color="D9E0E5"/>
              <w:left w:sz="3" w:val="single" w:color="D9E0E5"/>
              <w:bottom w:sz="3" w:val="single" w:color="D9E0E5"/>
              <w:right w:sz="3" w:val="single" w:color="D9E0E5"/>
            </w:tcBorders>
          </w:tcPr>
          <w:p>
            <w:pPr>
              <w:spacing w:after="20"/>
            </w:pPr>
            <w:r>
              <w:rPr>
                <w:sz w:val="17"/>
              </w:rPr>
              <w:t>Discovered, Fetching, RawStored, Parsed, Analyzed, ProcessingFailed, RequiresReview</w:t>
            </w:r>
          </w:p>
        </w:tc>
      </w:tr>
      <w:tr>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Abruflauf</w:t>
            </w:r>
          </w:p>
        </w:tc>
        <w:tc>
          <w:tcPr>
            <w:tcW w:type="dxa" w:w="6803"/>
            <w:vAlign w:val="top"/>
            <w:shd w:fill="F5F7F8"/>
            <w:tcBorders>
              <w:top w:sz="3" w:val="single" w:color="D9E0E5"/>
              <w:left w:sz="3" w:val="single" w:color="D9E0E5"/>
              <w:bottom w:sz="3" w:val="single" w:color="D9E0E5"/>
              <w:right w:sz="3" w:val="single" w:color="D9E0E5"/>
            </w:tcBorders>
          </w:tcPr>
          <w:p>
            <w:pPr>
              <w:spacing w:after="20"/>
            </w:pPr>
            <w:r>
              <w:rPr>
                <w:sz w:val="17"/>
              </w:rPr>
              <w:t>Planned, Running, Cancelling, Completed, CompletedWithErrors, Failed</w:t>
            </w:r>
          </w:p>
        </w:tc>
      </w:tr>
      <w:tr>
        <w:tc>
          <w:tcPr>
            <w:tcW w:type="dxa" w:w="2551"/>
            <w:vAlign w:val="top"/>
            <w:tcBorders>
              <w:top w:sz="3" w:val="single" w:color="D9E0E5"/>
              <w:left w:sz="3" w:val="single" w:color="D9E0E5"/>
              <w:bottom w:sz="3" w:val="single" w:color="D9E0E5"/>
              <w:right w:sz="3" w:val="single" w:color="D9E0E5"/>
            </w:tcBorders>
          </w:tcPr>
          <w:p>
            <w:pPr>
              <w:spacing w:after="20"/>
            </w:pPr>
            <w:r>
              <w:rPr>
                <w:sz w:val="17"/>
              </w:rPr>
              <w:t>SMTP</w:t>
            </w:r>
          </w:p>
        </w:tc>
        <w:tc>
          <w:tcPr>
            <w:tcW w:type="dxa" w:w="6803"/>
            <w:vAlign w:val="top"/>
            <w:tcBorders>
              <w:top w:sz="3" w:val="single" w:color="D9E0E5"/>
              <w:left w:sz="3" w:val="single" w:color="D9E0E5"/>
              <w:bottom w:sz="3" w:val="single" w:color="D9E0E5"/>
              <w:right w:sz="3" w:val="single" w:color="D9E0E5"/>
            </w:tcBorders>
          </w:tcPr>
          <w:p>
            <w:pPr>
              <w:spacing w:after="20"/>
            </w:pPr>
            <w:r>
              <w:rPr>
                <w:sz w:val="17"/>
              </w:rPr>
              <w:t>Pending, Sending, Sent, SendUncertain, RetryRequired, FailedPermanent</w:t>
            </w:r>
          </w:p>
        </w:tc>
      </w:tr>
      <w:tr>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IMAP-Gesendet-Upload</w:t>
            </w:r>
          </w:p>
        </w:tc>
        <w:tc>
          <w:tcPr>
            <w:tcW w:type="dxa" w:w="6803"/>
            <w:vAlign w:val="top"/>
            <w:shd w:fill="F5F7F8"/>
            <w:tcBorders>
              <w:top w:sz="3" w:val="single" w:color="D9E0E5"/>
              <w:left w:sz="3" w:val="single" w:color="D9E0E5"/>
              <w:bottom w:sz="3" w:val="single" w:color="D9E0E5"/>
              <w:right w:sz="3" w:val="single" w:color="D9E0E5"/>
            </w:tcBorders>
          </w:tcPr>
          <w:p>
            <w:pPr>
              <w:spacing w:after="20"/>
            </w:pPr>
            <w:r>
              <w:rPr>
                <w:sz w:val="17"/>
              </w:rPr>
              <w:t>Pending, Uploading, Uploaded, UploadUncertain, RetryRequired, FailedPermanent</w:t>
            </w:r>
          </w:p>
        </w:tc>
      </w:tr>
      <w:tr>
        <w:tc>
          <w:tcPr>
            <w:tcW w:type="dxa" w:w="2551"/>
            <w:vAlign w:val="top"/>
            <w:tcBorders>
              <w:top w:sz="3" w:val="single" w:color="D9E0E5"/>
              <w:left w:sz="3" w:val="single" w:color="D9E0E5"/>
              <w:bottom w:sz="3" w:val="single" w:color="D9E0E5"/>
              <w:right w:sz="3" w:val="single" w:color="D9E0E5"/>
            </w:tcBorders>
          </w:tcPr>
          <w:p>
            <w:pPr>
              <w:spacing w:after="20"/>
            </w:pPr>
            <w:r>
              <w:rPr>
                <w:sz w:val="17"/>
              </w:rPr>
              <w:t>Analyse</w:t>
            </w:r>
          </w:p>
        </w:tc>
        <w:tc>
          <w:tcPr>
            <w:tcW w:type="dxa" w:w="6803"/>
            <w:vAlign w:val="top"/>
            <w:tcBorders>
              <w:top w:sz="3" w:val="single" w:color="D9E0E5"/>
              <w:left w:sz="3" w:val="single" w:color="D9E0E5"/>
              <w:bottom w:sz="3" w:val="single" w:color="D9E0E5"/>
              <w:right w:sz="3" w:val="single" w:color="D9E0E5"/>
            </w:tcBorders>
          </w:tcPr>
          <w:p>
            <w:pPr>
              <w:spacing w:after="20"/>
            </w:pPr>
            <w:r>
              <w:rPr>
                <w:sz w:val="17"/>
              </w:rPr>
              <w:t>Queued, Running, Completed, CompletedWithWarnings, Failed, Superseded</w:t>
            </w:r>
          </w:p>
        </w:tc>
      </w:tr>
    </w:tbl>
    <w:p>
      <w:pPr>
        <w:widowControl w:val="1"/>
      </w:pPr>
    </w:p>
    <w:p>
      <w:pPr>
        <w:pStyle w:val="Heading2"/>
        <w:widowControl w:val="1"/>
      </w:pPr>
      <w:r>
        <w:t>12.2 Benutzerverständliche Fehlerbilder</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81"/>
            <w:shd w:fill="12324A"/>
            <w:tcBorders>
              <w:top w:sz="3" w:val="single" w:color="D9E0E5"/>
              <w:left w:sz="3" w:val="single" w:color="D9E0E5"/>
              <w:bottom w:sz="3" w:val="single" w:color="D9E0E5"/>
              <w:right w:sz="3" w:val="single" w:color="D9E0E5"/>
            </w:tcBorders>
          </w:tcPr>
          <w:p>
            <w:r>
              <w:rPr>
                <w:b/>
                <w:color w:val="FFFFFF"/>
                <w:sz w:val="18"/>
              </w:rPr>
              <w:t>Technisches Problem</w:t>
            </w:r>
          </w:p>
        </w:tc>
        <w:tc>
          <w:tcPr>
            <w:tcW w:type="dxa" w:w="4422"/>
            <w:shd w:fill="12324A"/>
            <w:tcBorders>
              <w:top w:sz="3" w:val="single" w:color="D9E0E5"/>
              <w:left w:sz="3" w:val="single" w:color="D9E0E5"/>
              <w:bottom w:sz="3" w:val="single" w:color="D9E0E5"/>
              <w:right w:sz="3" w:val="single" w:color="D9E0E5"/>
            </w:tcBorders>
          </w:tcPr>
          <w:p>
            <w:r>
              <w:rPr>
                <w:b/>
                <w:color w:val="FFFFFF"/>
                <w:sz w:val="18"/>
              </w:rPr>
              <w:t>Benutzeranzeige</w:t>
            </w:r>
          </w:p>
        </w:tc>
        <w:tc>
          <w:tcPr>
            <w:tcW w:type="dxa" w:w="2551"/>
            <w:shd w:fill="12324A"/>
            <w:tcBorders>
              <w:top w:sz="3" w:val="single" w:color="D9E0E5"/>
              <w:left w:sz="3" w:val="single" w:color="D9E0E5"/>
              <w:bottom w:sz="3" w:val="single" w:color="D9E0E5"/>
              <w:right w:sz="3" w:val="single" w:color="D9E0E5"/>
            </w:tcBorders>
          </w:tcPr>
          <w:p>
            <w:r>
              <w:rPr>
                <w:b/>
                <w:color w:val="FFFFFF"/>
                <w:sz w:val="18"/>
              </w:rPr>
              <w:t>Handlungsoption</w:t>
            </w:r>
          </w:p>
        </w:tc>
      </w:tr>
      <w:tr>
        <w:tc>
          <w:tcPr>
            <w:tcW w:type="dxa" w:w="2381"/>
            <w:vAlign w:val="top"/>
            <w:tcBorders>
              <w:top w:sz="3" w:val="single" w:color="D9E0E5"/>
              <w:left w:sz="3" w:val="single" w:color="D9E0E5"/>
              <w:bottom w:sz="3" w:val="single" w:color="D9E0E5"/>
              <w:right w:sz="3" w:val="single" w:color="D9E0E5"/>
            </w:tcBorders>
          </w:tcPr>
          <w:p>
            <w:pPr>
              <w:spacing w:after="20"/>
            </w:pPr>
            <w:r>
              <w:rPr>
                <w:sz w:val="17"/>
              </w:rPr>
              <w:t>DNS-Fehler</w:t>
            </w:r>
          </w:p>
        </w:tc>
        <w:tc>
          <w:tcPr>
            <w:tcW w:type="dxa" w:w="4422"/>
            <w:vAlign w:val="top"/>
            <w:tcBorders>
              <w:top w:sz="3" w:val="single" w:color="D9E0E5"/>
              <w:left w:sz="3" w:val="single" w:color="D9E0E5"/>
              <w:bottom w:sz="3" w:val="single" w:color="D9E0E5"/>
              <w:right w:sz="3" w:val="single" w:color="D9E0E5"/>
            </w:tcBorders>
          </w:tcPr>
          <w:p>
            <w:pPr>
              <w:spacing w:after="20"/>
            </w:pPr>
            <w:r>
              <w:rPr>
                <w:sz w:val="17"/>
              </w:rPr>
              <w:t>Servername konnte nicht aufgelöst werden.</w:t>
            </w:r>
          </w:p>
        </w:tc>
        <w:tc>
          <w:tcPr>
            <w:tcW w:type="dxa" w:w="2551"/>
            <w:vAlign w:val="top"/>
            <w:tcBorders>
              <w:top w:sz="3" w:val="single" w:color="D9E0E5"/>
              <w:left w:sz="3" w:val="single" w:color="D9E0E5"/>
              <w:bottom w:sz="3" w:val="single" w:color="D9E0E5"/>
              <w:right w:sz="3" w:val="single" w:color="D9E0E5"/>
            </w:tcBorders>
          </w:tcPr>
          <w:p>
            <w:pPr>
              <w:spacing w:after="20"/>
            </w:pPr>
            <w:r>
              <w:rPr>
                <w:sz w:val="17"/>
              </w:rPr>
              <w:t>Serveradresse prüfen; Diagnose öffnen</w:t>
            </w:r>
          </w:p>
        </w:tc>
      </w:tr>
      <w:tr>
        <w:tc>
          <w:tcPr>
            <w:tcW w:type="dxa" w:w="2381"/>
            <w:vAlign w:val="top"/>
            <w:shd w:fill="F5F7F8"/>
            <w:tcBorders>
              <w:top w:sz="3" w:val="single" w:color="D9E0E5"/>
              <w:left w:sz="3" w:val="single" w:color="D9E0E5"/>
              <w:bottom w:sz="3" w:val="single" w:color="D9E0E5"/>
              <w:right w:sz="3" w:val="single" w:color="D9E0E5"/>
            </w:tcBorders>
          </w:tcPr>
          <w:p>
            <w:pPr>
              <w:spacing w:after="20"/>
            </w:pPr>
            <w:r>
              <w:rPr>
                <w:sz w:val="17"/>
              </w:rPr>
              <w:t>TLS-Zertifikat ungültig</w:t>
            </w:r>
          </w:p>
        </w:tc>
        <w:tc>
          <w:tcPr>
            <w:tcW w:type="dxa" w:w="4422"/>
            <w:vAlign w:val="top"/>
            <w:shd w:fill="F5F7F8"/>
            <w:tcBorders>
              <w:top w:sz="3" w:val="single" w:color="D9E0E5"/>
              <w:left w:sz="3" w:val="single" w:color="D9E0E5"/>
              <w:bottom w:sz="3" w:val="single" w:color="D9E0E5"/>
              <w:right w:sz="3" w:val="single" w:color="D9E0E5"/>
            </w:tcBorders>
          </w:tcPr>
          <w:p>
            <w:pPr>
              <w:spacing w:after="20"/>
            </w:pPr>
            <w:r>
              <w:rPr>
                <w:sz w:val="17"/>
              </w:rPr>
              <w:t>Die Identität des Mailservers konnte nicht sicher bestätigt werden.</w:t>
            </w:r>
          </w:p>
        </w:tc>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Details anzeigen; keine stille Fortsetzung</w:t>
            </w:r>
          </w:p>
        </w:tc>
      </w:tr>
      <w:tr>
        <w:tc>
          <w:tcPr>
            <w:tcW w:type="dxa" w:w="2381"/>
            <w:vAlign w:val="top"/>
            <w:tcBorders>
              <w:top w:sz="3" w:val="single" w:color="D9E0E5"/>
              <w:left w:sz="3" w:val="single" w:color="D9E0E5"/>
              <w:bottom w:sz="3" w:val="single" w:color="D9E0E5"/>
              <w:right w:sz="3" w:val="single" w:color="D9E0E5"/>
            </w:tcBorders>
          </w:tcPr>
          <w:p>
            <w:pPr>
              <w:spacing w:after="20"/>
            </w:pPr>
            <w:r>
              <w:rPr>
                <w:sz w:val="17"/>
              </w:rPr>
              <w:t>Authentifizierung fehlgeschlagen</w:t>
            </w:r>
          </w:p>
        </w:tc>
        <w:tc>
          <w:tcPr>
            <w:tcW w:type="dxa" w:w="4422"/>
            <w:vAlign w:val="top"/>
            <w:tcBorders>
              <w:top w:sz="3" w:val="single" w:color="D9E0E5"/>
              <w:left w:sz="3" w:val="single" w:color="D9E0E5"/>
              <w:bottom w:sz="3" w:val="single" w:color="D9E0E5"/>
              <w:right w:sz="3" w:val="single" w:color="D9E0E5"/>
            </w:tcBorders>
          </w:tcPr>
          <w:p>
            <w:pPr>
              <w:spacing w:after="20"/>
            </w:pPr>
            <w:r>
              <w:rPr>
                <w:sz w:val="17"/>
              </w:rPr>
              <w:t>Anmeldung abgelehnt. Bei GMX ggf. POP3/IMAP aktivieren oder App-Passwort prüfen.</w:t>
            </w:r>
          </w:p>
        </w:tc>
        <w:tc>
          <w:tcPr>
            <w:tcW w:type="dxa" w:w="2551"/>
            <w:vAlign w:val="top"/>
            <w:tcBorders>
              <w:top w:sz="3" w:val="single" w:color="D9E0E5"/>
              <w:left w:sz="3" w:val="single" w:color="D9E0E5"/>
              <w:bottom w:sz="3" w:val="single" w:color="D9E0E5"/>
              <w:right w:sz="3" w:val="single" w:color="D9E0E5"/>
            </w:tcBorders>
          </w:tcPr>
          <w:p>
            <w:pPr>
              <w:spacing w:after="20"/>
            </w:pPr>
            <w:r>
              <w:rPr>
                <w:sz w:val="17"/>
              </w:rPr>
              <w:t>Kontoeinstellungen öffnen</w:t>
            </w:r>
          </w:p>
        </w:tc>
      </w:tr>
      <w:tr>
        <w:tc>
          <w:tcPr>
            <w:tcW w:type="dxa" w:w="2381"/>
            <w:vAlign w:val="top"/>
            <w:shd w:fill="F5F7F8"/>
            <w:tcBorders>
              <w:top w:sz="3" w:val="single" w:color="D9E0E5"/>
              <w:left w:sz="3" w:val="single" w:color="D9E0E5"/>
              <w:bottom w:sz="3" w:val="single" w:color="D9E0E5"/>
              <w:right w:sz="3" w:val="single" w:color="D9E0E5"/>
            </w:tcBorders>
          </w:tcPr>
          <w:p>
            <w:pPr>
              <w:spacing w:after="20"/>
            </w:pPr>
            <w:r>
              <w:rPr>
                <w:sz w:val="17"/>
              </w:rPr>
              <w:t>Einzelne Mail fehlerhaft</w:t>
            </w:r>
          </w:p>
        </w:tc>
        <w:tc>
          <w:tcPr>
            <w:tcW w:type="dxa" w:w="4422"/>
            <w:vAlign w:val="top"/>
            <w:shd w:fill="F5F7F8"/>
            <w:tcBorders>
              <w:top w:sz="3" w:val="single" w:color="D9E0E5"/>
              <w:left w:sz="3" w:val="single" w:color="D9E0E5"/>
              <w:bottom w:sz="3" w:val="single" w:color="D9E0E5"/>
              <w:right w:sz="3" w:val="single" w:color="D9E0E5"/>
            </w:tcBorders>
          </w:tcPr>
          <w:p>
            <w:pPr>
              <w:spacing w:after="20"/>
            </w:pPr>
            <w:r>
              <w:rPr>
                <w:sz w:val="17"/>
              </w:rPr>
              <w:t>Die Mail wurde geladen, konnte aber nicht vollständig geparst werden.</w:t>
            </w:r>
          </w:p>
        </w:tc>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Rohdaten öffnen; Analyse wiederholen</w:t>
            </w:r>
          </w:p>
        </w:tc>
      </w:tr>
      <w:tr>
        <w:tc>
          <w:tcPr>
            <w:tcW w:type="dxa" w:w="2381"/>
            <w:vAlign w:val="top"/>
            <w:tcBorders>
              <w:top w:sz="3" w:val="single" w:color="D9E0E5"/>
              <w:left w:sz="3" w:val="single" w:color="D9E0E5"/>
              <w:bottom w:sz="3" w:val="single" w:color="D9E0E5"/>
              <w:right w:sz="3" w:val="single" w:color="D9E0E5"/>
            </w:tcBorders>
          </w:tcPr>
          <w:p>
            <w:pPr>
              <w:spacing w:after="20"/>
            </w:pPr>
            <w:r>
              <w:rPr>
                <w:sz w:val="17"/>
              </w:rPr>
              <w:t>SMTP unklar</w:t>
            </w:r>
          </w:p>
        </w:tc>
        <w:tc>
          <w:tcPr>
            <w:tcW w:type="dxa" w:w="4422"/>
            <w:vAlign w:val="top"/>
            <w:tcBorders>
              <w:top w:sz="3" w:val="single" w:color="D9E0E5"/>
              <w:left w:sz="3" w:val="single" w:color="D9E0E5"/>
              <w:bottom w:sz="3" w:val="single" w:color="D9E0E5"/>
              <w:right w:sz="3" w:val="single" w:color="D9E0E5"/>
            </w:tcBorders>
          </w:tcPr>
          <w:p>
            <w:pPr>
              <w:spacing w:after="20"/>
            </w:pPr>
            <w:r>
              <w:rPr>
                <w:sz w:val="17"/>
              </w:rPr>
              <w:t>Die Verbindung brach während der Übergabe ab; Versandstatus ist unklar.</w:t>
            </w:r>
          </w:p>
        </w:tc>
        <w:tc>
          <w:tcPr>
            <w:tcW w:type="dxa" w:w="2551"/>
            <w:vAlign w:val="top"/>
            <w:tcBorders>
              <w:top w:sz="3" w:val="single" w:color="D9E0E5"/>
              <w:left w:sz="3" w:val="single" w:color="D9E0E5"/>
              <w:bottom w:sz="3" w:val="single" w:color="D9E0E5"/>
              <w:right w:sz="3" w:val="single" w:color="D9E0E5"/>
            </w:tcBorders>
          </w:tcPr>
          <w:p>
            <w:pPr>
              <w:spacing w:after="20"/>
            </w:pPr>
            <w:r>
              <w:rPr>
                <w:sz w:val="17"/>
              </w:rPr>
              <w:t>Nicht blind erneut senden; Details/Prüfung</w:t>
            </w:r>
          </w:p>
        </w:tc>
      </w:tr>
      <w:tr>
        <w:tc>
          <w:tcPr>
            <w:tcW w:type="dxa" w:w="2381"/>
            <w:vAlign w:val="top"/>
            <w:shd w:fill="F5F7F8"/>
            <w:tcBorders>
              <w:top w:sz="3" w:val="single" w:color="D9E0E5"/>
              <w:left w:sz="3" w:val="single" w:color="D9E0E5"/>
              <w:bottom w:sz="3" w:val="single" w:color="D9E0E5"/>
              <w:right w:sz="3" w:val="single" w:color="D9E0E5"/>
            </w:tcBorders>
          </w:tcPr>
          <w:p>
            <w:pPr>
              <w:spacing w:after="20"/>
            </w:pPr>
            <w:r>
              <w:rPr>
                <w:sz w:val="17"/>
              </w:rPr>
              <w:t>IMAP APPEND fehlgeschlagen</w:t>
            </w:r>
          </w:p>
        </w:tc>
        <w:tc>
          <w:tcPr>
            <w:tcW w:type="dxa" w:w="4422"/>
            <w:vAlign w:val="top"/>
            <w:shd w:fill="F5F7F8"/>
            <w:tcBorders>
              <w:top w:sz="3" w:val="single" w:color="D9E0E5"/>
              <w:left w:sz="3" w:val="single" w:color="D9E0E5"/>
              <w:bottom w:sz="3" w:val="single" w:color="D9E0E5"/>
              <w:right w:sz="3" w:val="single" w:color="D9E0E5"/>
            </w:tcBorders>
          </w:tcPr>
          <w:p>
            <w:pPr>
              <w:spacing w:after="20"/>
            </w:pPr>
            <w:r>
              <w:rPr>
                <w:sz w:val="17"/>
              </w:rPr>
              <w:t>Mail wurde versendet, aber noch nicht in „Gesendet“ hochgeladen.</w:t>
            </w:r>
          </w:p>
        </w:tc>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Upload erneut versuchen</w:t>
            </w:r>
          </w:p>
        </w:tc>
      </w:tr>
      <w:tr>
        <w:tc>
          <w:tcPr>
            <w:tcW w:type="dxa" w:w="2381"/>
            <w:vAlign w:val="top"/>
            <w:tcBorders>
              <w:top w:sz="3" w:val="single" w:color="D9E0E5"/>
              <w:left w:sz="3" w:val="single" w:color="D9E0E5"/>
              <w:bottom w:sz="3" w:val="single" w:color="D9E0E5"/>
              <w:right w:sz="3" w:val="single" w:color="D9E0E5"/>
            </w:tcBorders>
          </w:tcPr>
          <w:p>
            <w:pPr>
              <w:spacing w:after="20"/>
            </w:pPr>
            <w:r>
              <w:rPr>
                <w:sz w:val="17"/>
              </w:rPr>
              <w:t>Datenbankfehler</w:t>
            </w:r>
          </w:p>
        </w:tc>
        <w:tc>
          <w:tcPr>
            <w:tcW w:type="dxa" w:w="4422"/>
            <w:vAlign w:val="top"/>
            <w:tcBorders>
              <w:top w:sz="3" w:val="single" w:color="D9E0E5"/>
              <w:left w:sz="3" w:val="single" w:color="D9E0E5"/>
              <w:bottom w:sz="3" w:val="single" w:color="D9E0E5"/>
              <w:right w:sz="3" w:val="single" w:color="D9E0E5"/>
            </w:tcBorders>
          </w:tcPr>
          <w:p>
            <w:pPr>
              <w:spacing w:after="20"/>
            </w:pPr>
            <w:r>
              <w:rPr>
                <w:sz w:val="17"/>
              </w:rPr>
              <w:t>Der lokale Katalog konnte nicht sicher aktualisiert werden.</w:t>
            </w:r>
          </w:p>
        </w:tc>
        <w:tc>
          <w:tcPr>
            <w:tcW w:type="dxa" w:w="2551"/>
            <w:vAlign w:val="top"/>
            <w:tcBorders>
              <w:top w:sz="3" w:val="single" w:color="D9E0E5"/>
              <w:left w:sz="3" w:val="single" w:color="D9E0E5"/>
              <w:bottom w:sz="3" w:val="single" w:color="D9E0E5"/>
              <w:right w:sz="3" w:val="single" w:color="D9E0E5"/>
            </w:tcBorders>
          </w:tcPr>
          <w:p>
            <w:pPr>
              <w:spacing w:after="20"/>
            </w:pPr>
            <w:r>
              <w:rPr>
                <w:sz w:val="17"/>
              </w:rPr>
              <w:t>Backup/Integritätsprüfung; keine verdeckte Datenänderung</w:t>
            </w:r>
          </w:p>
        </w:tc>
      </w:tr>
    </w:tbl>
    <w:p>
      <w:pPr>
        <w:widowControl w:val="1"/>
      </w:pPr>
    </w:p>
    <w:p>
      <w:pPr>
        <w:pStyle w:val="Heading1"/>
        <w:widowControl w:val="1"/>
      </w:pPr>
      <w:r>
        <w:t>13. Abnahmeumfang für Version 1.0</w:t>
      </w:r>
    </w:p>
    <w:p>
      <w:pPr>
        <w:pStyle w:val="BodyText"/>
        <w:widowControl w:val="1"/>
      </w:pPr>
      <w:r>
        <w:t>Version 1.0 gilt fachlich als abnahmefähig, wenn alle MUSS-Anforderungen erfüllt, dokumentiert und durch geeignete automatisierte oder manuelle Tests nachgewiesen sind. Kritische Sicherheits- und Datenintegritätsanforderungen dürfen nicht durch offene bekannte Fehler eingeschränkt sein.</w:t>
      </w:r>
    </w:p>
    <w:p>
      <w:pPr>
        <w:pStyle w:val="Heading2"/>
        <w:widowControl w:val="1"/>
      </w:pPr>
      <w:r>
        <w:t>13.1 Kernabnahmeszenarien</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1304"/>
            <w:shd w:fill="12324A"/>
            <w:tcBorders>
              <w:top w:sz="3" w:val="single" w:color="D9E0E5"/>
              <w:left w:sz="3" w:val="single" w:color="D9E0E5"/>
              <w:bottom w:sz="3" w:val="single" w:color="D9E0E5"/>
              <w:right w:sz="3" w:val="single" w:color="D9E0E5"/>
            </w:tcBorders>
          </w:tcPr>
          <w:p>
            <w:r>
              <w:rPr>
                <w:b/>
                <w:color w:val="FFFFFF"/>
                <w:sz w:val="18"/>
              </w:rPr>
              <w:t>ID</w:t>
            </w:r>
          </w:p>
        </w:tc>
        <w:tc>
          <w:tcPr>
            <w:tcW w:type="dxa" w:w="8050"/>
            <w:shd w:fill="12324A"/>
            <w:tcBorders>
              <w:top w:sz="3" w:val="single" w:color="D9E0E5"/>
              <w:left w:sz="3" w:val="single" w:color="D9E0E5"/>
              <w:bottom w:sz="3" w:val="single" w:color="D9E0E5"/>
              <w:right w:sz="3" w:val="single" w:color="D9E0E5"/>
            </w:tcBorders>
          </w:tcPr>
          <w:p>
            <w:r>
              <w:rPr>
                <w:b/>
                <w:color w:val="FFFFFF"/>
                <w:sz w:val="18"/>
              </w:rPr>
              <w:t>Abnahmeszenario</w:t>
            </w:r>
          </w:p>
        </w:tc>
      </w:tr>
      <w:tr>
        <w:tc>
          <w:tcPr>
            <w:tcW w:type="dxa" w:w="1304"/>
            <w:vAlign w:val="top"/>
            <w:tcBorders>
              <w:top w:sz="3" w:val="single" w:color="D9E0E5"/>
              <w:left w:sz="3" w:val="single" w:color="D9E0E5"/>
              <w:bottom w:sz="3" w:val="single" w:color="D9E0E5"/>
              <w:right w:sz="3" w:val="single" w:color="D9E0E5"/>
            </w:tcBorders>
          </w:tcPr>
          <w:p>
            <w:pPr>
              <w:spacing w:after="20"/>
            </w:pPr>
            <w:r>
              <w:rPr>
                <w:sz w:val="17"/>
              </w:rPr>
              <w:t>AT-001</w:t>
            </w:r>
          </w:p>
        </w:tc>
        <w:tc>
          <w:tcPr>
            <w:tcW w:type="dxa" w:w="8050"/>
            <w:vAlign w:val="top"/>
            <w:tcBorders>
              <w:top w:sz="3" w:val="single" w:color="D9E0E5"/>
              <w:left w:sz="3" w:val="single" w:color="D9E0E5"/>
              <w:bottom w:sz="3" w:val="single" w:color="D9E0E5"/>
              <w:right w:sz="3" w:val="single" w:color="D9E0E5"/>
            </w:tcBorders>
          </w:tcPr>
          <w:p>
            <w:pPr>
              <w:spacing w:after="20"/>
            </w:pPr>
            <w:r>
              <w:rPr>
                <w:sz w:val="17"/>
              </w:rPr>
              <w:t>Zwei Konten (GMX/IONOS oder Testäquivalente) konfigurieren und getrennt testen.</w:t>
            </w:r>
          </w:p>
        </w:tc>
      </w:tr>
      <w:tr>
        <w:tc>
          <w:tcPr>
            <w:tcW w:type="dxa" w:w="1304"/>
            <w:vAlign w:val="top"/>
            <w:shd w:fill="F5F7F8"/>
            <w:tcBorders>
              <w:top w:sz="3" w:val="single" w:color="D9E0E5"/>
              <w:left w:sz="3" w:val="single" w:color="D9E0E5"/>
              <w:bottom w:sz="3" w:val="single" w:color="D9E0E5"/>
              <w:right w:sz="3" w:val="single" w:color="D9E0E5"/>
            </w:tcBorders>
          </w:tcPr>
          <w:p>
            <w:pPr>
              <w:spacing w:after="20"/>
            </w:pPr>
            <w:r>
              <w:rPr>
                <w:sz w:val="17"/>
              </w:rPr>
              <w:t>AT-002</w:t>
            </w:r>
          </w:p>
        </w:tc>
        <w:tc>
          <w:tcPr>
            <w:tcW w:type="dxa" w:w="8050"/>
            <w:vAlign w:val="top"/>
            <w:shd w:fill="F5F7F8"/>
            <w:tcBorders>
              <w:top w:sz="3" w:val="single" w:color="D9E0E5"/>
              <w:left w:sz="3" w:val="single" w:color="D9E0E5"/>
              <w:bottom w:sz="3" w:val="single" w:color="D9E0E5"/>
              <w:right w:sz="3" w:val="single" w:color="D9E0E5"/>
            </w:tcBorders>
          </w:tcPr>
          <w:p>
            <w:pPr>
              <w:spacing w:after="20"/>
            </w:pPr>
            <w:r>
              <w:rPr>
                <w:sz w:val="17"/>
              </w:rPr>
              <w:t>Normaler POP3-Abruf übernimmt neue Mails und überspringt bekannte UIDLs.</w:t>
            </w:r>
          </w:p>
        </w:tc>
      </w:tr>
      <w:tr>
        <w:tc>
          <w:tcPr>
            <w:tcW w:type="dxa" w:w="1304"/>
            <w:vAlign w:val="top"/>
            <w:tcBorders>
              <w:top w:sz="3" w:val="single" w:color="D9E0E5"/>
              <w:left w:sz="3" w:val="single" w:color="D9E0E5"/>
              <w:bottom w:sz="3" w:val="single" w:color="D9E0E5"/>
              <w:right w:sz="3" w:val="single" w:color="D9E0E5"/>
            </w:tcBorders>
          </w:tcPr>
          <w:p>
            <w:pPr>
              <w:spacing w:after="20"/>
            </w:pPr>
            <w:r>
              <w:rPr>
                <w:sz w:val="17"/>
              </w:rPr>
              <w:t>AT-003</w:t>
            </w:r>
          </w:p>
        </w:tc>
        <w:tc>
          <w:tcPr>
            <w:tcW w:type="dxa" w:w="8050"/>
            <w:vAlign w:val="top"/>
            <w:tcBorders>
              <w:top w:sz="3" w:val="single" w:color="D9E0E5"/>
              <w:left w:sz="3" w:val="single" w:color="D9E0E5"/>
              <w:bottom w:sz="3" w:val="single" w:color="D9E0E5"/>
              <w:right w:sz="3" w:val="single" w:color="D9E0E5"/>
            </w:tcBorders>
          </w:tcPr>
          <w:p>
            <w:pPr>
              <w:spacing w:after="20"/>
            </w:pPr>
            <w:r>
              <w:rPr>
                <w:sz w:val="17"/>
              </w:rPr>
              <w:t>„Get all“ lädt den gesamten Serverbestand, ergänzt fehlende Mails und erzeugt keine exakten lokalen Duplikate.</w:t>
            </w:r>
          </w:p>
        </w:tc>
      </w:tr>
      <w:tr>
        <w:tc>
          <w:tcPr>
            <w:tcW w:type="dxa" w:w="1304"/>
            <w:vAlign w:val="top"/>
            <w:shd w:fill="F5F7F8"/>
            <w:tcBorders>
              <w:top w:sz="3" w:val="single" w:color="D9E0E5"/>
              <w:left w:sz="3" w:val="single" w:color="D9E0E5"/>
              <w:bottom w:sz="3" w:val="single" w:color="D9E0E5"/>
              <w:right w:sz="3" w:val="single" w:color="D9E0E5"/>
            </w:tcBorders>
          </w:tcPr>
          <w:p>
            <w:pPr>
              <w:spacing w:after="20"/>
            </w:pPr>
            <w:r>
              <w:rPr>
                <w:sz w:val="17"/>
              </w:rPr>
              <w:t>AT-004</w:t>
            </w:r>
          </w:p>
        </w:tc>
        <w:tc>
          <w:tcPr>
            <w:tcW w:type="dxa" w:w="8050"/>
            <w:vAlign w:val="top"/>
            <w:shd w:fill="F5F7F8"/>
            <w:tcBorders>
              <w:top w:sz="3" w:val="single" w:color="D9E0E5"/>
              <w:left w:sz="3" w:val="single" w:color="D9E0E5"/>
              <w:bottom w:sz="3" w:val="single" w:color="D9E0E5"/>
              <w:right w:sz="3" w:val="single" w:color="D9E0E5"/>
            </w:tcBorders>
          </w:tcPr>
          <w:p>
            <w:pPr>
              <w:spacing w:after="20"/>
            </w:pPr>
            <w:r>
              <w:rPr>
                <w:sz w:val="17"/>
              </w:rPr>
              <w:t>Wiederholter „Get all“-Lauf bei unverändertem Serverbestand erhöht die Zahl kanonischer Mails nicht.</w:t>
            </w:r>
          </w:p>
        </w:tc>
      </w:tr>
      <w:tr>
        <w:tc>
          <w:tcPr>
            <w:tcW w:type="dxa" w:w="1304"/>
            <w:vAlign w:val="top"/>
            <w:tcBorders>
              <w:top w:sz="3" w:val="single" w:color="D9E0E5"/>
              <w:left w:sz="3" w:val="single" w:color="D9E0E5"/>
              <w:bottom w:sz="3" w:val="single" w:color="D9E0E5"/>
              <w:right w:sz="3" w:val="single" w:color="D9E0E5"/>
            </w:tcBorders>
          </w:tcPr>
          <w:p>
            <w:pPr>
              <w:spacing w:after="20"/>
            </w:pPr>
            <w:r>
              <w:rPr>
                <w:sz w:val="17"/>
              </w:rPr>
              <w:t>AT-005</w:t>
            </w:r>
          </w:p>
        </w:tc>
        <w:tc>
          <w:tcPr>
            <w:tcW w:type="dxa" w:w="8050"/>
            <w:vAlign w:val="top"/>
            <w:tcBorders>
              <w:top w:sz="3" w:val="single" w:color="D9E0E5"/>
              <w:left w:sz="3" w:val="single" w:color="D9E0E5"/>
              <w:bottom w:sz="3" w:val="single" w:color="D9E0E5"/>
              <w:right w:sz="3" w:val="single" w:color="D9E0E5"/>
            </w:tcBorders>
          </w:tcPr>
          <w:p>
            <w:pPr>
              <w:spacing w:after="20"/>
            </w:pPr>
            <w:r>
              <w:rPr>
                <w:sz w:val="17"/>
              </w:rPr>
              <w:t>Servermails bleiben nach Standardabruf erhalten.</w:t>
            </w:r>
          </w:p>
        </w:tc>
      </w:tr>
      <w:tr>
        <w:tc>
          <w:tcPr>
            <w:tcW w:type="dxa" w:w="1304"/>
            <w:vAlign w:val="top"/>
            <w:shd w:fill="F5F7F8"/>
            <w:tcBorders>
              <w:top w:sz="3" w:val="single" w:color="D9E0E5"/>
              <w:left w:sz="3" w:val="single" w:color="D9E0E5"/>
              <w:bottom w:sz="3" w:val="single" w:color="D9E0E5"/>
              <w:right w:sz="3" w:val="single" w:color="D9E0E5"/>
            </w:tcBorders>
          </w:tcPr>
          <w:p>
            <w:pPr>
              <w:spacing w:after="20"/>
            </w:pPr>
            <w:r>
              <w:rPr>
                <w:sz w:val="17"/>
              </w:rPr>
              <w:t>AT-006</w:t>
            </w:r>
          </w:p>
        </w:tc>
        <w:tc>
          <w:tcPr>
            <w:tcW w:type="dxa" w:w="8050"/>
            <w:vAlign w:val="top"/>
            <w:shd w:fill="F5F7F8"/>
            <w:tcBorders>
              <w:top w:sz="3" w:val="single" w:color="D9E0E5"/>
              <w:left w:sz="3" w:val="single" w:color="D9E0E5"/>
              <w:bottom w:sz="3" w:val="single" w:color="D9E0E5"/>
              <w:right w:sz="3" w:val="single" w:color="D9E0E5"/>
            </w:tcBorders>
          </w:tcPr>
          <w:p>
            <w:pPr>
              <w:spacing w:after="20"/>
            </w:pPr>
            <w:r>
              <w:rPr>
                <w:sz w:val="17"/>
              </w:rPr>
              <w:t>Eine HTML-Testmail mit sichtbarem Sparkassenlink und fremdem href erzeugt eine erklärbare Warnung.</w:t>
            </w:r>
          </w:p>
        </w:tc>
      </w:tr>
      <w:tr>
        <w:tc>
          <w:tcPr>
            <w:tcW w:type="dxa" w:w="1304"/>
            <w:vAlign w:val="top"/>
            <w:tcBorders>
              <w:top w:sz="3" w:val="single" w:color="D9E0E5"/>
              <w:left w:sz="3" w:val="single" w:color="D9E0E5"/>
              <w:bottom w:sz="3" w:val="single" w:color="D9E0E5"/>
              <w:right w:sz="3" w:val="single" w:color="D9E0E5"/>
            </w:tcBorders>
          </w:tcPr>
          <w:p>
            <w:pPr>
              <w:spacing w:after="20"/>
            </w:pPr>
            <w:r>
              <w:rPr>
                <w:sz w:val="17"/>
              </w:rPr>
              <w:t>AT-007</w:t>
            </w:r>
          </w:p>
        </w:tc>
        <w:tc>
          <w:tcPr>
            <w:tcW w:type="dxa" w:w="8050"/>
            <w:vAlign w:val="top"/>
            <w:tcBorders>
              <w:top w:sz="3" w:val="single" w:color="D9E0E5"/>
              <w:left w:sz="3" w:val="single" w:color="D9E0E5"/>
              <w:bottom w:sz="3" w:val="single" w:color="D9E0E5"/>
              <w:right w:sz="3" w:val="single" w:color="D9E0E5"/>
            </w:tcBorders>
          </w:tcPr>
          <w:p>
            <w:pPr>
              <w:spacing w:after="20"/>
            </w:pPr>
            <w:r>
              <w:rPr>
                <w:sz w:val="17"/>
              </w:rPr>
              <w:t>Punycode-/Homograph-, IP-URL-, HTTP- und Reply-To-Abweichungen werden einzeln angezeigt.</w:t>
            </w:r>
          </w:p>
        </w:tc>
      </w:tr>
      <w:tr>
        <w:tc>
          <w:tcPr>
            <w:tcW w:type="dxa" w:w="1304"/>
            <w:vAlign w:val="top"/>
            <w:shd w:fill="F5F7F8"/>
            <w:tcBorders>
              <w:top w:sz="3" w:val="single" w:color="D9E0E5"/>
              <w:left w:sz="3" w:val="single" w:color="D9E0E5"/>
              <w:bottom w:sz="3" w:val="single" w:color="D9E0E5"/>
              <w:right w:sz="3" w:val="single" w:color="D9E0E5"/>
            </w:tcBorders>
          </w:tcPr>
          <w:p>
            <w:pPr>
              <w:spacing w:after="20"/>
            </w:pPr>
            <w:r>
              <w:rPr>
                <w:sz w:val="17"/>
              </w:rPr>
              <w:t>AT-008</w:t>
            </w:r>
          </w:p>
        </w:tc>
        <w:tc>
          <w:tcPr>
            <w:tcW w:type="dxa" w:w="8050"/>
            <w:vAlign w:val="top"/>
            <w:shd w:fill="F5F7F8"/>
            <w:tcBorders>
              <w:top w:sz="3" w:val="single" w:color="D9E0E5"/>
              <w:left w:sz="3" w:val="single" w:color="D9E0E5"/>
              <w:bottom w:sz="3" w:val="single" w:color="D9E0E5"/>
              <w:right w:sz="3" w:val="single" w:color="D9E0E5"/>
            </w:tcBorders>
          </w:tcPr>
          <w:p>
            <w:pPr>
              <w:spacing w:after="20"/>
            </w:pPr>
            <w:r>
              <w:rPr>
                <w:sz w:val="17"/>
              </w:rPr>
              <w:t>Eine legitime, im Markenprofil gepflegte Dienstleisterdomain lässt sich als nachvollziehbare Ausnahme modellieren.</w:t>
            </w:r>
          </w:p>
        </w:tc>
      </w:tr>
      <w:tr>
        <w:tc>
          <w:tcPr>
            <w:tcW w:type="dxa" w:w="1304"/>
            <w:vAlign w:val="top"/>
            <w:tcBorders>
              <w:top w:sz="3" w:val="single" w:color="D9E0E5"/>
              <w:left w:sz="3" w:val="single" w:color="D9E0E5"/>
              <w:bottom w:sz="3" w:val="single" w:color="D9E0E5"/>
              <w:right w:sz="3" w:val="single" w:color="D9E0E5"/>
            </w:tcBorders>
          </w:tcPr>
          <w:p>
            <w:pPr>
              <w:spacing w:after="20"/>
            </w:pPr>
            <w:r>
              <w:rPr>
                <w:sz w:val="17"/>
              </w:rPr>
              <w:t>AT-009</w:t>
            </w:r>
          </w:p>
        </w:tc>
        <w:tc>
          <w:tcPr>
            <w:tcW w:type="dxa" w:w="8050"/>
            <w:vAlign w:val="top"/>
            <w:tcBorders>
              <w:top w:sz="3" w:val="single" w:color="D9E0E5"/>
              <w:left w:sz="3" w:val="single" w:color="D9E0E5"/>
              <w:bottom w:sz="3" w:val="single" w:color="D9E0E5"/>
              <w:right w:sz="3" w:val="single" w:color="D9E0E5"/>
            </w:tcBorders>
          </w:tcPr>
          <w:p>
            <w:pPr>
              <w:spacing w:after="20"/>
            </w:pPr>
            <w:r>
              <w:rPr>
                <w:sz w:val="17"/>
              </w:rPr>
              <w:t>SMTP-Versand erstellt lokale Gesendet-Mail; IMAP APPEND macht sie für einen zweiten IMAP-Client sichtbar.</w:t>
            </w:r>
          </w:p>
        </w:tc>
      </w:tr>
      <w:tr>
        <w:tc>
          <w:tcPr>
            <w:tcW w:type="dxa" w:w="1304"/>
            <w:vAlign w:val="top"/>
            <w:shd w:fill="F5F7F8"/>
            <w:tcBorders>
              <w:top w:sz="3" w:val="single" w:color="D9E0E5"/>
              <w:left w:sz="3" w:val="single" w:color="D9E0E5"/>
              <w:bottom w:sz="3" w:val="single" w:color="D9E0E5"/>
              <w:right w:sz="3" w:val="single" w:color="D9E0E5"/>
            </w:tcBorders>
          </w:tcPr>
          <w:p>
            <w:pPr>
              <w:spacing w:after="20"/>
            </w:pPr>
            <w:r>
              <w:rPr>
                <w:sz w:val="17"/>
              </w:rPr>
              <w:t>AT-010</w:t>
            </w:r>
          </w:p>
        </w:tc>
        <w:tc>
          <w:tcPr>
            <w:tcW w:type="dxa" w:w="8050"/>
            <w:vAlign w:val="top"/>
            <w:shd w:fill="F5F7F8"/>
            <w:tcBorders>
              <w:top w:sz="3" w:val="single" w:color="D9E0E5"/>
              <w:left w:sz="3" w:val="single" w:color="D9E0E5"/>
              <w:bottom w:sz="3" w:val="single" w:color="D9E0E5"/>
              <w:right w:sz="3" w:val="single" w:color="D9E0E5"/>
            </w:tcBorders>
          </w:tcPr>
          <w:p>
            <w:pPr>
              <w:spacing w:after="20"/>
            </w:pPr>
            <w:r>
              <w:rPr>
                <w:sz w:val="17"/>
              </w:rPr>
              <w:t>Ein Verbindungsabbruch nach möglichem APPEND führt zu UploadUncertain und nicht zu blindem Duplikatupload.</w:t>
            </w:r>
          </w:p>
        </w:tc>
      </w:tr>
      <w:tr>
        <w:tc>
          <w:tcPr>
            <w:tcW w:type="dxa" w:w="1304"/>
            <w:vAlign w:val="top"/>
            <w:tcBorders>
              <w:top w:sz="3" w:val="single" w:color="D9E0E5"/>
              <w:left w:sz="3" w:val="single" w:color="D9E0E5"/>
              <w:bottom w:sz="3" w:val="single" w:color="D9E0E5"/>
              <w:right w:sz="3" w:val="single" w:color="D9E0E5"/>
            </w:tcBorders>
          </w:tcPr>
          <w:p>
            <w:pPr>
              <w:spacing w:after="20"/>
            </w:pPr>
            <w:r>
              <w:rPr>
                <w:sz w:val="17"/>
              </w:rPr>
              <w:t>AT-011</w:t>
            </w:r>
          </w:p>
        </w:tc>
        <w:tc>
          <w:tcPr>
            <w:tcW w:type="dxa" w:w="8050"/>
            <w:vAlign w:val="top"/>
            <w:tcBorders>
              <w:top w:sz="3" w:val="single" w:color="D9E0E5"/>
              <w:left w:sz="3" w:val="single" w:color="D9E0E5"/>
              <w:bottom w:sz="3" w:val="single" w:color="D9E0E5"/>
              <w:right w:sz="3" w:val="single" w:color="D9E0E5"/>
            </w:tcBorders>
          </w:tcPr>
          <w:p>
            <w:pPr>
              <w:spacing w:after="20"/>
            </w:pPr>
            <w:r>
              <w:rPr>
                <w:sz w:val="17"/>
              </w:rPr>
              <w:t>Plaintext, HTML, Multipart, Inline-Ressourcen und Anhänge werden sicher dargestellt.</w:t>
            </w:r>
          </w:p>
        </w:tc>
      </w:tr>
      <w:tr>
        <w:tc>
          <w:tcPr>
            <w:tcW w:type="dxa" w:w="1304"/>
            <w:vAlign w:val="top"/>
            <w:shd w:fill="F5F7F8"/>
            <w:tcBorders>
              <w:top w:sz="3" w:val="single" w:color="D9E0E5"/>
              <w:left w:sz="3" w:val="single" w:color="D9E0E5"/>
              <w:bottom w:sz="3" w:val="single" w:color="D9E0E5"/>
              <w:right w:sz="3" w:val="single" w:color="D9E0E5"/>
            </w:tcBorders>
          </w:tcPr>
          <w:p>
            <w:pPr>
              <w:spacing w:after="20"/>
            </w:pPr>
            <w:r>
              <w:rPr>
                <w:sz w:val="17"/>
              </w:rPr>
              <w:t>AT-012</w:t>
            </w:r>
          </w:p>
        </w:tc>
        <w:tc>
          <w:tcPr>
            <w:tcW w:type="dxa" w:w="8050"/>
            <w:vAlign w:val="top"/>
            <w:shd w:fill="F5F7F8"/>
            <w:tcBorders>
              <w:top w:sz="3" w:val="single" w:color="D9E0E5"/>
              <w:left w:sz="3" w:val="single" w:color="D9E0E5"/>
              <w:bottom w:sz="3" w:val="single" w:color="D9E0E5"/>
              <w:right w:sz="3" w:val="single" w:color="D9E0E5"/>
            </w:tcBorders>
          </w:tcPr>
          <w:p>
            <w:pPr>
              <w:spacing w:after="20"/>
            </w:pPr>
            <w:r>
              <w:rPr>
                <w:sz w:val="17"/>
              </w:rPr>
              <w:t>Remote-Ressourcen und Skripte werden standardmäßig nicht ausgeführt.</w:t>
            </w:r>
          </w:p>
        </w:tc>
      </w:tr>
      <w:tr>
        <w:tc>
          <w:tcPr>
            <w:tcW w:type="dxa" w:w="1304"/>
            <w:vAlign w:val="top"/>
            <w:tcBorders>
              <w:top w:sz="3" w:val="single" w:color="D9E0E5"/>
              <w:left w:sz="3" w:val="single" w:color="D9E0E5"/>
              <w:bottom w:sz="3" w:val="single" w:color="D9E0E5"/>
              <w:right w:sz="3" w:val="single" w:color="D9E0E5"/>
            </w:tcBorders>
          </w:tcPr>
          <w:p>
            <w:pPr>
              <w:spacing w:after="20"/>
            </w:pPr>
            <w:r>
              <w:rPr>
                <w:sz w:val="17"/>
              </w:rPr>
              <w:t>AT-013</w:t>
            </w:r>
          </w:p>
        </w:tc>
        <w:tc>
          <w:tcPr>
            <w:tcW w:type="dxa" w:w="8050"/>
            <w:vAlign w:val="top"/>
            <w:tcBorders>
              <w:top w:sz="3" w:val="single" w:color="D9E0E5"/>
              <w:left w:sz="3" w:val="single" w:color="D9E0E5"/>
              <w:bottom w:sz="3" w:val="single" w:color="D9E0E5"/>
              <w:right w:sz="3" w:val="single" w:color="D9E0E5"/>
            </w:tcBorders>
          </w:tcPr>
          <w:p>
            <w:pPr>
              <w:spacing w:after="20"/>
            </w:pPr>
            <w:r>
              <w:rPr>
                <w:sz w:val="17"/>
              </w:rPr>
              <w:t>Rohmail, Hash, Provenienz und Analysis Run bleiben nach Neustart erhalten.</w:t>
            </w:r>
          </w:p>
        </w:tc>
      </w:tr>
      <w:tr>
        <w:tc>
          <w:tcPr>
            <w:tcW w:type="dxa" w:w="1304"/>
            <w:vAlign w:val="top"/>
            <w:shd w:fill="F5F7F8"/>
            <w:tcBorders>
              <w:top w:sz="3" w:val="single" w:color="D9E0E5"/>
              <w:left w:sz="3" w:val="single" w:color="D9E0E5"/>
              <w:bottom w:sz="3" w:val="single" w:color="D9E0E5"/>
              <w:right w:sz="3" w:val="single" w:color="D9E0E5"/>
            </w:tcBorders>
          </w:tcPr>
          <w:p>
            <w:pPr>
              <w:spacing w:after="20"/>
            </w:pPr>
            <w:r>
              <w:rPr>
                <w:sz w:val="17"/>
              </w:rPr>
              <w:t>AT-014</w:t>
            </w:r>
          </w:p>
        </w:tc>
        <w:tc>
          <w:tcPr>
            <w:tcW w:type="dxa" w:w="8050"/>
            <w:vAlign w:val="top"/>
            <w:shd w:fill="F5F7F8"/>
            <w:tcBorders>
              <w:top w:sz="3" w:val="single" w:color="D9E0E5"/>
              <w:left w:sz="3" w:val="single" w:color="D9E0E5"/>
              <w:bottom w:sz="3" w:val="single" w:color="D9E0E5"/>
              <w:right w:sz="3" w:val="single" w:color="D9E0E5"/>
            </w:tcBorders>
          </w:tcPr>
          <w:p>
            <w:pPr>
              <w:spacing w:after="20"/>
            </w:pPr>
            <w:r>
              <w:rPr>
                <w:sz w:val="17"/>
              </w:rPr>
              <w:t>Backup lässt sich in ein leeres Profil wiederherstellen und besteht Integritätsprüfung.</w:t>
            </w:r>
          </w:p>
        </w:tc>
      </w:tr>
      <w:tr>
        <w:tc>
          <w:tcPr>
            <w:tcW w:type="dxa" w:w="1304"/>
            <w:vAlign w:val="top"/>
            <w:tcBorders>
              <w:top w:sz="3" w:val="single" w:color="D9E0E5"/>
              <w:left w:sz="3" w:val="single" w:color="D9E0E5"/>
              <w:bottom w:sz="3" w:val="single" w:color="D9E0E5"/>
              <w:right w:sz="3" w:val="single" w:color="D9E0E5"/>
            </w:tcBorders>
          </w:tcPr>
          <w:p>
            <w:pPr>
              <w:spacing w:after="20"/>
            </w:pPr>
            <w:r>
              <w:rPr>
                <w:sz w:val="17"/>
              </w:rPr>
              <w:t>AT-015</w:t>
            </w:r>
          </w:p>
        </w:tc>
        <w:tc>
          <w:tcPr>
            <w:tcW w:type="dxa" w:w="8050"/>
            <w:vAlign w:val="top"/>
            <w:tcBorders>
              <w:top w:sz="3" w:val="single" w:color="D9E0E5"/>
              <w:left w:sz="3" w:val="single" w:color="D9E0E5"/>
              <w:bottom w:sz="3" w:val="single" w:color="D9E0E5"/>
              <w:right w:sz="3" w:val="single" w:color="D9E0E5"/>
            </w:tcBorders>
          </w:tcPr>
          <w:p>
            <w:pPr>
              <w:spacing w:after="20"/>
            </w:pPr>
            <w:r>
              <w:rPr>
                <w:sz w:val="17"/>
              </w:rPr>
              <w:t>Architekturtests bestätigen, dass WinForms weder MailKit noch SQLite direkt referenziert.</w:t>
            </w:r>
          </w:p>
        </w:tc>
      </w:tr>
      <w:tr>
        <w:tc>
          <w:tcPr>
            <w:tcW w:type="dxa" w:w="1304"/>
            <w:vAlign w:val="top"/>
            <w:shd w:fill="F5F7F8"/>
            <w:tcBorders>
              <w:top w:sz="3" w:val="single" w:color="D9E0E5"/>
              <w:left w:sz="3" w:val="single" w:color="D9E0E5"/>
              <w:bottom w:sz="3" w:val="single" w:color="D9E0E5"/>
              <w:right w:sz="3" w:val="single" w:color="D9E0E5"/>
            </w:tcBorders>
          </w:tcPr>
          <w:p>
            <w:pPr>
              <w:spacing w:after="20"/>
            </w:pPr>
            <w:r>
              <w:rPr>
                <w:sz w:val="17"/>
              </w:rPr>
              <w:t>AT-016</w:t>
            </w:r>
          </w:p>
        </w:tc>
        <w:tc>
          <w:tcPr>
            <w:tcW w:type="dxa" w:w="8050"/>
            <w:vAlign w:val="top"/>
            <w:shd w:fill="F5F7F8"/>
            <w:tcBorders>
              <w:top w:sz="3" w:val="single" w:color="D9E0E5"/>
              <w:left w:sz="3" w:val="single" w:color="D9E0E5"/>
              <w:bottom w:sz="3" w:val="single" w:color="D9E0E5"/>
              <w:right w:sz="3" w:val="single" w:color="D9E0E5"/>
            </w:tcBorders>
          </w:tcPr>
          <w:p>
            <w:pPr>
              <w:spacing w:after="20"/>
            </w:pPr>
            <w:r>
              <w:rPr>
                <w:sz w:val="17"/>
              </w:rPr>
              <w:t>Kernabläufe funktionieren bei 150 % Windows-Skalierung und per Tastatur.</w:t>
            </w:r>
          </w:p>
        </w:tc>
      </w:tr>
      <w:tr>
        <w:tc>
          <w:tcPr>
            <w:tcW w:type="dxa" w:w="1304"/>
            <w:vAlign w:val="top"/>
            <w:tcBorders>
              <w:top w:sz="3" w:val="single" w:color="D9E0E5"/>
              <w:left w:sz="3" w:val="single" w:color="D9E0E5"/>
              <w:bottom w:sz="3" w:val="single" w:color="D9E0E5"/>
              <w:right w:sz="3" w:val="single" w:color="D9E0E5"/>
            </w:tcBorders>
          </w:tcPr>
          <w:p>
            <w:pPr>
              <w:spacing w:after="20"/>
            </w:pPr>
            <w:r>
              <w:rPr>
                <w:sz w:val="17"/>
              </w:rPr>
              <w:t>AT-017</w:t>
            </w:r>
          </w:p>
        </w:tc>
        <w:tc>
          <w:tcPr>
            <w:tcW w:type="dxa" w:w="8050"/>
            <w:vAlign w:val="top"/>
            <w:tcBorders>
              <w:top w:sz="3" w:val="single" w:color="D9E0E5"/>
              <w:left w:sz="3" w:val="single" w:color="D9E0E5"/>
              <w:bottom w:sz="3" w:val="single" w:color="D9E0E5"/>
              <w:right w:sz="3" w:val="single" w:color="D9E0E5"/>
            </w:tcBorders>
          </w:tcPr>
          <w:p>
            <w:pPr>
              <w:spacing w:after="20"/>
            </w:pPr>
            <w:r>
              <w:rPr>
                <w:sz w:val="17"/>
              </w:rPr>
              <w:t>Automatisierte Tests werden nach Testhandbuch in Visual Studio und per Kommandozeile ausgeführt.</w:t>
            </w:r>
          </w:p>
        </w:tc>
      </w:tr>
    </w:tbl>
    <w:p>
      <w:pPr>
        <w:widowControl w:val="1"/>
      </w:pPr>
    </w:p>
    <w:p>
      <w:pPr>
        <w:pStyle w:val="Heading2"/>
        <w:widowControl w:val="1"/>
      </w:pPr>
      <w:r>
        <w:t>13.2 Qualitätsgate</w:t>
      </w:r>
    </w:p>
    <w:p>
      <w:pPr>
        <w:pStyle w:val="ListBullet"/>
        <w:widowControl w:val="1"/>
      </w:pPr>
      <w:r>
        <w:t>Keine bekannten Datenverlustfehler oder automatische Serverlöschung in Standardkonfiguration.</w:t>
      </w:r>
    </w:p>
    <w:p>
      <w:pPr>
        <w:pStyle w:val="ListBullet"/>
        <w:widowControl w:val="1"/>
      </w:pPr>
      <w:r>
        <w:t>Keine Klartextpasswörter in SQLite, Konfiguration, Logs oder Exporten.</w:t>
      </w:r>
    </w:p>
    <w:p>
      <w:pPr>
        <w:pStyle w:val="ListBullet"/>
        <w:widowControl w:val="1"/>
      </w:pPr>
      <w:r>
        <w:t>Keine automatische Navigation oder Remote-Ressourcenanforderung beim bloßen Öffnen einer Mail.</w:t>
      </w:r>
    </w:p>
    <w:p>
      <w:pPr>
        <w:pStyle w:val="ListBullet"/>
        <w:widowControl w:val="1"/>
      </w:pPr>
      <w:r>
        <w:t>Alle MUSS-Anforderungen besitzen mindestens einen zugeordneten Test oder eine dokumentierte manuelle Abnahme.</w:t>
      </w:r>
    </w:p>
    <w:p>
      <w:pPr>
        <w:pStyle w:val="ListBullet"/>
        <w:widowControl w:val="1"/>
      </w:pPr>
      <w:r>
        <w:t>Entwickler-, Test-, Benutzer-, Backup-/Restore- und Sicherheitsdokumentation ist aktuell.</w:t>
      </w:r>
    </w:p>
    <w:p>
      <w:pPr>
        <w:pStyle w:val="ListBullet"/>
        <w:widowControl w:val="1"/>
      </w:pPr>
      <w:r>
        <w:t>Datenbankmigration von der letzten unterstützten Vorversion ist getestet.</w:t>
      </w:r>
    </w:p>
    <w:p>
      <w:pPr>
        <w:pStyle w:val="Heading1"/>
        <w:widowControl w:val="1"/>
      </w:pPr>
      <w:r>
        <w:t>14. Lieferumfang und Projektdokumentation</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2551"/>
            <w:shd w:fill="12324A"/>
            <w:tcBorders>
              <w:top w:sz="3" w:val="single" w:color="D9E0E5"/>
              <w:left w:sz="3" w:val="single" w:color="D9E0E5"/>
              <w:bottom w:sz="3" w:val="single" w:color="D9E0E5"/>
              <w:right w:sz="3" w:val="single" w:color="D9E0E5"/>
            </w:tcBorders>
          </w:tcPr>
          <w:p>
            <w:r>
              <w:rPr>
                <w:b/>
                <w:color w:val="FFFFFF"/>
                <w:sz w:val="18"/>
              </w:rPr>
              <w:t>Lieferobjekt</w:t>
            </w:r>
          </w:p>
        </w:tc>
        <w:tc>
          <w:tcPr>
            <w:tcW w:type="dxa" w:w="6803"/>
            <w:shd w:fill="12324A"/>
            <w:tcBorders>
              <w:top w:sz="3" w:val="single" w:color="D9E0E5"/>
              <w:left w:sz="3" w:val="single" w:color="D9E0E5"/>
              <w:bottom w:sz="3" w:val="single" w:color="D9E0E5"/>
              <w:right w:sz="3" w:val="single" w:color="D9E0E5"/>
            </w:tcBorders>
          </w:tcPr>
          <w:p>
            <w:r>
              <w:rPr>
                <w:b/>
                <w:color w:val="FFFFFF"/>
                <w:sz w:val="18"/>
              </w:rPr>
              <w:t>Inhalt</w:t>
            </w:r>
          </w:p>
        </w:tc>
      </w:tr>
      <w:tr>
        <w:tc>
          <w:tcPr>
            <w:tcW w:type="dxa" w:w="2551"/>
            <w:vAlign w:val="top"/>
            <w:tcBorders>
              <w:top w:sz="3" w:val="single" w:color="D9E0E5"/>
              <w:left w:sz="3" w:val="single" w:color="D9E0E5"/>
              <w:bottom w:sz="3" w:val="single" w:color="D9E0E5"/>
              <w:right w:sz="3" w:val="single" w:color="D9E0E5"/>
            </w:tcBorders>
          </w:tcPr>
          <w:p>
            <w:pPr>
              <w:spacing w:after="20"/>
            </w:pPr>
            <w:r>
              <w:rPr>
                <w:sz w:val="17"/>
              </w:rPr>
              <w:t>Installierbare Anwendung</w:t>
            </w:r>
          </w:p>
        </w:tc>
        <w:tc>
          <w:tcPr>
            <w:tcW w:type="dxa" w:w="6803"/>
            <w:vAlign w:val="top"/>
            <w:tcBorders>
              <w:top w:sz="3" w:val="single" w:color="D9E0E5"/>
              <w:left w:sz="3" w:val="single" w:color="D9E0E5"/>
              <w:bottom w:sz="3" w:val="single" w:color="D9E0E5"/>
              <w:right w:sz="3" w:val="single" w:color="D9E0E5"/>
            </w:tcBorders>
          </w:tcPr>
          <w:p>
            <w:pPr>
              <w:spacing w:after="20"/>
            </w:pPr>
            <w:r>
              <w:rPr>
                <w:sz w:val="17"/>
              </w:rPr>
              <w:t>WinForms-Desktopanwendung inklusive erforderlicher Runtime-/Abhängigkeitsbeschreibung</w:t>
            </w:r>
          </w:p>
        </w:tc>
      </w:tr>
      <w:tr>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Quellcode-Solution</w:t>
            </w:r>
          </w:p>
        </w:tc>
        <w:tc>
          <w:tcPr>
            <w:tcW w:type="dxa" w:w="6803"/>
            <w:vAlign w:val="top"/>
            <w:shd w:fill="F5F7F8"/>
            <w:tcBorders>
              <w:top w:sz="3" w:val="single" w:color="D9E0E5"/>
              <w:left w:sz="3" w:val="single" w:color="D9E0E5"/>
              <w:bottom w:sz="3" w:val="single" w:color="D9E0E5"/>
              <w:right w:sz="3" w:val="single" w:color="D9E0E5"/>
            </w:tcBorders>
          </w:tcPr>
          <w:p>
            <w:pPr>
              <w:spacing w:after="20"/>
            </w:pPr>
            <w:r>
              <w:rPr>
                <w:sz w:val="17"/>
              </w:rPr>
              <w:t>Getrennte Projekte für Domain, Application, Mail, Persistence, Security, Analysis, Extension Model, Presentation Core, WinForms und Host</w:t>
            </w:r>
          </w:p>
        </w:tc>
      </w:tr>
      <w:tr>
        <w:tc>
          <w:tcPr>
            <w:tcW w:type="dxa" w:w="2551"/>
            <w:vAlign w:val="top"/>
            <w:tcBorders>
              <w:top w:sz="3" w:val="single" w:color="D9E0E5"/>
              <w:left w:sz="3" w:val="single" w:color="D9E0E5"/>
              <w:bottom w:sz="3" w:val="single" w:color="D9E0E5"/>
              <w:right w:sz="3" w:val="single" w:color="D9E0E5"/>
            </w:tcBorders>
          </w:tcPr>
          <w:p>
            <w:pPr>
              <w:spacing w:after="20"/>
            </w:pPr>
            <w:r>
              <w:rPr>
                <w:sz w:val="17"/>
              </w:rPr>
              <w:t>Datenbankschema und Migrationen</w:t>
            </w:r>
          </w:p>
        </w:tc>
        <w:tc>
          <w:tcPr>
            <w:tcW w:type="dxa" w:w="6803"/>
            <w:vAlign w:val="top"/>
            <w:tcBorders>
              <w:top w:sz="3" w:val="single" w:color="D9E0E5"/>
              <w:left w:sz="3" w:val="single" w:color="D9E0E5"/>
              <w:bottom w:sz="3" w:val="single" w:color="D9E0E5"/>
              <w:right w:sz="3" w:val="single" w:color="D9E0E5"/>
            </w:tcBorders>
          </w:tcPr>
          <w:p>
            <w:pPr>
              <w:spacing w:after="20"/>
            </w:pPr>
            <w:r>
              <w:rPr>
                <w:sz w:val="17"/>
              </w:rPr>
              <w:t>Versionierte SQLite-Schemata und Upgradepfad</w:t>
            </w:r>
          </w:p>
        </w:tc>
      </w:tr>
      <w:tr>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Automatisierte Tests</w:t>
            </w:r>
          </w:p>
        </w:tc>
        <w:tc>
          <w:tcPr>
            <w:tcW w:type="dxa" w:w="6803"/>
            <w:vAlign w:val="top"/>
            <w:shd w:fill="F5F7F8"/>
            <w:tcBorders>
              <w:top w:sz="3" w:val="single" w:color="D9E0E5"/>
              <w:left w:sz="3" w:val="single" w:color="D9E0E5"/>
              <w:bottom w:sz="3" w:val="single" w:color="D9E0E5"/>
              <w:right w:sz="3" w:val="single" w:color="D9E0E5"/>
            </w:tcBorders>
          </w:tcPr>
          <w:p>
            <w:pPr>
              <w:spacing w:after="20"/>
            </w:pPr>
            <w:r>
              <w:rPr>
                <w:sz w:val="17"/>
              </w:rPr>
              <w:t>Unit-, Integration-, Architektur- und kontrollierte Protokolltests</w:t>
            </w:r>
          </w:p>
        </w:tc>
      </w:tr>
      <w:tr>
        <w:tc>
          <w:tcPr>
            <w:tcW w:type="dxa" w:w="2551"/>
            <w:vAlign w:val="top"/>
            <w:tcBorders>
              <w:top w:sz="3" w:val="single" w:color="D9E0E5"/>
              <w:left w:sz="3" w:val="single" w:color="D9E0E5"/>
              <w:bottom w:sz="3" w:val="single" w:color="D9E0E5"/>
              <w:right w:sz="3" w:val="single" w:color="D9E0E5"/>
            </w:tcBorders>
          </w:tcPr>
          <w:p>
            <w:pPr>
              <w:spacing w:after="20"/>
            </w:pPr>
            <w:r>
              <w:rPr>
                <w:sz w:val="17"/>
              </w:rPr>
              <w:t>Lastenheft</w:t>
            </w:r>
          </w:p>
        </w:tc>
        <w:tc>
          <w:tcPr>
            <w:tcW w:type="dxa" w:w="6803"/>
            <w:vAlign w:val="top"/>
            <w:tcBorders>
              <w:top w:sz="3" w:val="single" w:color="D9E0E5"/>
              <w:left w:sz="3" w:val="single" w:color="D9E0E5"/>
              <w:bottom w:sz="3" w:val="single" w:color="D9E0E5"/>
              <w:right w:sz="3" w:val="single" w:color="D9E0E5"/>
            </w:tcBorders>
          </w:tcPr>
          <w:p>
            <w:pPr>
              <w:spacing w:after="20"/>
            </w:pPr>
            <w:r>
              <w:rPr>
                <w:sz w:val="17"/>
              </w:rPr>
              <w:t>Dieses Dokument als fachliche Basis</w:t>
            </w:r>
          </w:p>
        </w:tc>
      </w:tr>
      <w:tr>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Pflichtenheft / Technical Design</w:t>
            </w:r>
          </w:p>
        </w:tc>
        <w:tc>
          <w:tcPr>
            <w:tcW w:type="dxa" w:w="6803"/>
            <w:vAlign w:val="top"/>
            <w:shd w:fill="F5F7F8"/>
            <w:tcBorders>
              <w:top w:sz="3" w:val="single" w:color="D9E0E5"/>
              <w:left w:sz="3" w:val="single" w:color="D9E0E5"/>
              <w:bottom w:sz="3" w:val="single" w:color="D9E0E5"/>
              <w:right w:sz="3" w:val="single" w:color="D9E0E5"/>
            </w:tcBorders>
          </w:tcPr>
          <w:p>
            <w:pPr>
              <w:spacing w:after="20"/>
            </w:pPr>
            <w:r>
              <w:rPr>
                <w:sz w:val="17"/>
              </w:rPr>
              <w:t>Konkrete Realisierung, Schnittstellen, Datenmodell, Algorithmen, Deployment</w:t>
            </w:r>
          </w:p>
        </w:tc>
      </w:tr>
      <w:tr>
        <w:tc>
          <w:tcPr>
            <w:tcW w:type="dxa" w:w="2551"/>
            <w:vAlign w:val="top"/>
            <w:tcBorders>
              <w:top w:sz="3" w:val="single" w:color="D9E0E5"/>
              <w:left w:sz="3" w:val="single" w:color="D9E0E5"/>
              <w:bottom w:sz="3" w:val="single" w:color="D9E0E5"/>
              <w:right w:sz="3" w:val="single" w:color="D9E0E5"/>
            </w:tcBorders>
          </w:tcPr>
          <w:p>
            <w:pPr>
              <w:spacing w:after="20"/>
            </w:pPr>
            <w:r>
              <w:rPr>
                <w:sz w:val="17"/>
              </w:rPr>
              <w:t>Entwicklerhandbuch</w:t>
            </w:r>
          </w:p>
        </w:tc>
        <w:tc>
          <w:tcPr>
            <w:tcW w:type="dxa" w:w="6803"/>
            <w:vAlign w:val="top"/>
            <w:tcBorders>
              <w:top w:sz="3" w:val="single" w:color="D9E0E5"/>
              <w:left w:sz="3" w:val="single" w:color="D9E0E5"/>
              <w:bottom w:sz="3" w:val="single" w:color="D9E0E5"/>
              <w:right w:sz="3" w:val="single" w:color="D9E0E5"/>
            </w:tcBorders>
          </w:tcPr>
          <w:p>
            <w:pPr>
              <w:spacing w:after="20"/>
            </w:pPr>
            <w:r>
              <w:rPr>
                <w:sz w:val="17"/>
              </w:rPr>
              <w:t>Build, Visual Studio, Debugging, Architekturregeln, Erweiterung</w:t>
            </w:r>
          </w:p>
        </w:tc>
      </w:tr>
      <w:tr>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Testhandbuch</w:t>
            </w:r>
          </w:p>
        </w:tc>
        <w:tc>
          <w:tcPr>
            <w:tcW w:type="dxa" w:w="6803"/>
            <w:vAlign w:val="top"/>
            <w:shd w:fill="F5F7F8"/>
            <w:tcBorders>
              <w:top w:sz="3" w:val="single" w:color="D9E0E5"/>
              <w:left w:sz="3" w:val="single" w:color="D9E0E5"/>
              <w:bottom w:sz="3" w:val="single" w:color="D9E0E5"/>
              <w:right w:sz="3" w:val="single" w:color="D9E0E5"/>
            </w:tcBorders>
          </w:tcPr>
          <w:p>
            <w:pPr>
              <w:spacing w:after="20"/>
            </w:pPr>
            <w:r>
              <w:rPr>
                <w:sz w:val="17"/>
              </w:rPr>
              <w:t>Teststrategie, Testdaten, Ausführung, Auswertung, Abnahme</w:t>
            </w:r>
          </w:p>
        </w:tc>
      </w:tr>
      <w:tr>
        <w:tc>
          <w:tcPr>
            <w:tcW w:type="dxa" w:w="2551"/>
            <w:vAlign w:val="top"/>
            <w:tcBorders>
              <w:top w:sz="3" w:val="single" w:color="D9E0E5"/>
              <w:left w:sz="3" w:val="single" w:color="D9E0E5"/>
              <w:bottom w:sz="3" w:val="single" w:color="D9E0E5"/>
              <w:right w:sz="3" w:val="single" w:color="D9E0E5"/>
            </w:tcBorders>
          </w:tcPr>
          <w:p>
            <w:pPr>
              <w:spacing w:after="20"/>
            </w:pPr>
            <w:r>
              <w:rPr>
                <w:sz w:val="17"/>
              </w:rPr>
              <w:t>Benutzerhandbuch</w:t>
            </w:r>
          </w:p>
        </w:tc>
        <w:tc>
          <w:tcPr>
            <w:tcW w:type="dxa" w:w="6803"/>
            <w:vAlign w:val="top"/>
            <w:tcBorders>
              <w:top w:sz="3" w:val="single" w:color="D9E0E5"/>
              <w:left w:sz="3" w:val="single" w:color="D9E0E5"/>
              <w:bottom w:sz="3" w:val="single" w:color="D9E0E5"/>
              <w:right w:sz="3" w:val="single" w:color="D9E0E5"/>
            </w:tcBorders>
          </w:tcPr>
          <w:p>
            <w:pPr>
              <w:spacing w:after="20"/>
            </w:pPr>
            <w:r>
              <w:rPr>
                <w:sz w:val="17"/>
              </w:rPr>
              <w:t>Kontoeinrichtung, Abruf, Get all, Warnungen, Versand, Backup</w:t>
            </w:r>
          </w:p>
        </w:tc>
      </w:tr>
      <w:tr>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Sicherheitskonzept</w:t>
            </w:r>
          </w:p>
        </w:tc>
        <w:tc>
          <w:tcPr>
            <w:tcW w:type="dxa" w:w="6803"/>
            <w:vAlign w:val="top"/>
            <w:shd w:fill="F5F7F8"/>
            <w:tcBorders>
              <w:top w:sz="3" w:val="single" w:color="D9E0E5"/>
              <w:left w:sz="3" w:val="single" w:color="D9E0E5"/>
              <w:bottom w:sz="3" w:val="single" w:color="D9E0E5"/>
              <w:right w:sz="3" w:val="single" w:color="D9E0E5"/>
            </w:tcBorders>
          </w:tcPr>
          <w:p>
            <w:pPr>
              <w:spacing w:after="20"/>
            </w:pPr>
            <w:r>
              <w:rPr>
                <w:sz w:val="17"/>
              </w:rPr>
              <w:t>Threat Model, HTML, Links, Secrets, Logging, Updates</w:t>
            </w:r>
          </w:p>
        </w:tc>
      </w:tr>
      <w:tr>
        <w:tc>
          <w:tcPr>
            <w:tcW w:type="dxa" w:w="2551"/>
            <w:vAlign w:val="top"/>
            <w:tcBorders>
              <w:top w:sz="3" w:val="single" w:color="D9E0E5"/>
              <w:left w:sz="3" w:val="single" w:color="D9E0E5"/>
              <w:bottom w:sz="3" w:val="single" w:color="D9E0E5"/>
              <w:right w:sz="3" w:val="single" w:color="D9E0E5"/>
            </w:tcBorders>
          </w:tcPr>
          <w:p>
            <w:pPr>
              <w:spacing w:after="20"/>
            </w:pPr>
            <w:r>
              <w:rPr>
                <w:sz w:val="17"/>
              </w:rPr>
              <w:t>Administrator-/Betriebshandbuch</w:t>
            </w:r>
          </w:p>
        </w:tc>
        <w:tc>
          <w:tcPr>
            <w:tcW w:type="dxa" w:w="6803"/>
            <w:vAlign w:val="top"/>
            <w:tcBorders>
              <w:top w:sz="3" w:val="single" w:color="D9E0E5"/>
              <w:left w:sz="3" w:val="single" w:color="D9E0E5"/>
              <w:bottom w:sz="3" w:val="single" w:color="D9E0E5"/>
              <w:right w:sz="3" w:val="single" w:color="D9E0E5"/>
            </w:tcBorders>
          </w:tcPr>
          <w:p>
            <w:pPr>
              <w:spacing w:after="20"/>
            </w:pPr>
            <w:r>
              <w:rPr>
                <w:sz w:val="17"/>
              </w:rPr>
              <w:t>Datenpfade, Backup/Restore, Diagnose, Migration</w:t>
            </w:r>
          </w:p>
        </w:tc>
      </w:tr>
      <w:tr>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ADR-Sammlung</w:t>
            </w:r>
          </w:p>
        </w:tc>
        <w:tc>
          <w:tcPr>
            <w:tcW w:type="dxa" w:w="6803"/>
            <w:vAlign w:val="top"/>
            <w:shd w:fill="F5F7F8"/>
            <w:tcBorders>
              <w:top w:sz="3" w:val="single" w:color="D9E0E5"/>
              <w:left w:sz="3" w:val="single" w:color="D9E0E5"/>
              <w:bottom w:sz="3" w:val="single" w:color="D9E0E5"/>
              <w:right w:sz="3" w:val="single" w:color="D9E0E5"/>
            </w:tcBorders>
          </w:tcPr>
          <w:p>
            <w:pPr>
              <w:spacing w:after="20"/>
            </w:pPr>
            <w:r>
              <w:rPr>
                <w:sz w:val="17"/>
              </w:rPr>
              <w:t>Begründung wesentlicher Architekturentscheidungen</w:t>
            </w:r>
          </w:p>
        </w:tc>
      </w:tr>
    </w:tbl>
    <w:p>
      <w:pPr>
        <w:widowControl w:val="1"/>
      </w:pPr>
    </w:p>
    <w:p>
      <w:pPr>
        <w:pStyle w:val="Heading1"/>
        <w:widowControl w:val="1"/>
      </w:pPr>
      <w:r>
        <w:t>15. Risiken und Gegenmaßnahmen</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551"/>
            <w:shd w:fill="12324A"/>
            <w:tcBorders>
              <w:top w:sz="3" w:val="single" w:color="D9E0E5"/>
              <w:left w:sz="3" w:val="single" w:color="D9E0E5"/>
              <w:bottom w:sz="3" w:val="single" w:color="D9E0E5"/>
              <w:right w:sz="3" w:val="single" w:color="D9E0E5"/>
            </w:tcBorders>
          </w:tcPr>
          <w:p>
            <w:r>
              <w:rPr>
                <w:b/>
                <w:color w:val="FFFFFF"/>
                <w:sz w:val="18"/>
              </w:rPr>
              <w:t>Risiko</w:t>
            </w:r>
          </w:p>
        </w:tc>
        <w:tc>
          <w:tcPr>
            <w:tcW w:type="dxa" w:w="3118"/>
            <w:shd w:fill="12324A"/>
            <w:tcBorders>
              <w:top w:sz="3" w:val="single" w:color="D9E0E5"/>
              <w:left w:sz="3" w:val="single" w:color="D9E0E5"/>
              <w:bottom w:sz="3" w:val="single" w:color="D9E0E5"/>
              <w:right w:sz="3" w:val="single" w:color="D9E0E5"/>
            </w:tcBorders>
          </w:tcPr>
          <w:p>
            <w:r>
              <w:rPr>
                <w:b/>
                <w:color w:val="FFFFFF"/>
                <w:sz w:val="18"/>
              </w:rPr>
              <w:t>Auswirkung</w:t>
            </w:r>
          </w:p>
        </w:tc>
        <w:tc>
          <w:tcPr>
            <w:tcW w:type="dxa" w:w="3685"/>
            <w:shd w:fill="12324A"/>
            <w:tcBorders>
              <w:top w:sz="3" w:val="single" w:color="D9E0E5"/>
              <w:left w:sz="3" w:val="single" w:color="D9E0E5"/>
              <w:bottom w:sz="3" w:val="single" w:color="D9E0E5"/>
              <w:right w:sz="3" w:val="single" w:color="D9E0E5"/>
            </w:tcBorders>
          </w:tcPr>
          <w:p>
            <w:r>
              <w:rPr>
                <w:b/>
                <w:color w:val="FFFFFF"/>
                <w:sz w:val="18"/>
              </w:rPr>
              <w:t>Gegenmaßnahme</w:t>
            </w:r>
          </w:p>
        </w:tc>
      </w:tr>
      <w:tr>
        <w:tc>
          <w:tcPr>
            <w:tcW w:type="dxa" w:w="2551"/>
            <w:vAlign w:val="top"/>
            <w:tcBorders>
              <w:top w:sz="3" w:val="single" w:color="D9E0E5"/>
              <w:left w:sz="3" w:val="single" w:color="D9E0E5"/>
              <w:bottom w:sz="3" w:val="single" w:color="D9E0E5"/>
              <w:right w:sz="3" w:val="single" w:color="D9E0E5"/>
            </w:tcBorders>
          </w:tcPr>
          <w:p>
            <w:pPr>
              <w:spacing w:after="20"/>
            </w:pPr>
            <w:r>
              <w:rPr>
                <w:sz w:val="17"/>
              </w:rPr>
              <w:t>POP3-Serverbestand bereits durch anderen Client gelöscht</w:t>
            </w:r>
          </w:p>
        </w:tc>
        <w:tc>
          <w:tcPr>
            <w:tcW w:type="dxa" w:w="3118"/>
            <w:vAlign w:val="top"/>
            <w:tcBorders>
              <w:top w:sz="3" w:val="single" w:color="D9E0E5"/>
              <w:left w:sz="3" w:val="single" w:color="D9E0E5"/>
              <w:bottom w:sz="3" w:val="single" w:color="D9E0E5"/>
              <w:right w:sz="3" w:val="single" w:color="D9E0E5"/>
            </w:tcBorders>
          </w:tcPr>
          <w:p>
            <w:pPr>
              <w:spacing w:after="20"/>
            </w:pPr>
            <w:r>
              <w:rPr>
                <w:sz w:val="17"/>
              </w:rPr>
              <w:t>Get all kann fehlende Mail nicht mehr zurückholen</w:t>
            </w:r>
          </w:p>
        </w:tc>
        <w:tc>
          <w:tcPr>
            <w:tcW w:type="dxa" w:w="3685"/>
            <w:vAlign w:val="top"/>
            <w:tcBorders>
              <w:top w:sz="3" w:val="single" w:color="D9E0E5"/>
              <w:left w:sz="3" w:val="single" w:color="D9E0E5"/>
              <w:bottom w:sz="3" w:val="single" w:color="D9E0E5"/>
              <w:right w:sz="3" w:val="single" w:color="D9E0E5"/>
            </w:tcBorders>
          </w:tcPr>
          <w:p>
            <w:pPr>
              <w:spacing w:after="20"/>
            </w:pPr>
            <w:r>
              <w:rPr>
                <w:sz w:val="17"/>
              </w:rPr>
              <w:t>Servermails standardmäßig belassen; Einschränkung klar dokumentieren</w:t>
            </w:r>
          </w:p>
        </w:tc>
      </w:tr>
      <w:tr>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Rohmail verändert sich durch Server oder Parser</w:t>
            </w:r>
          </w:p>
        </w:tc>
        <w:tc>
          <w:tcPr>
            <w:tcW w:type="dxa" w:w="3118"/>
            <w:vAlign w:val="top"/>
            <w:shd w:fill="F5F7F8"/>
            <w:tcBorders>
              <w:top w:sz="3" w:val="single" w:color="D9E0E5"/>
              <w:left w:sz="3" w:val="single" w:color="D9E0E5"/>
              <w:bottom w:sz="3" w:val="single" w:color="D9E0E5"/>
              <w:right w:sz="3" w:val="single" w:color="D9E0E5"/>
            </w:tcBorders>
          </w:tcPr>
          <w:p>
            <w:pPr>
              <w:spacing w:after="20"/>
            </w:pPr>
            <w:r>
              <w:rPr>
                <w:sz w:val="17"/>
              </w:rPr>
              <w:t>Hashvergleich erkennt nicht dieselbe semantische Mail</w:t>
            </w:r>
          </w:p>
        </w:tc>
        <w:tc>
          <w:tcPr>
            <w:tcW w:type="dxa" w:w="3685"/>
            <w:vAlign w:val="top"/>
            <w:shd w:fill="F5F7F8"/>
            <w:tcBorders>
              <w:top w:sz="3" w:val="single" w:color="D9E0E5"/>
              <w:left w:sz="3" w:val="single" w:color="D9E0E5"/>
              <w:bottom w:sz="3" w:val="single" w:color="D9E0E5"/>
              <w:right w:sz="3" w:val="single" w:color="D9E0E5"/>
            </w:tcBorders>
          </w:tcPr>
          <w:p>
            <w:pPr>
              <w:spacing w:after="20"/>
            </w:pPr>
            <w:r>
              <w:rPr>
                <w:sz w:val="17"/>
              </w:rPr>
              <w:t>Exakter Hash bleibt sicher; semantischer Fingerprint erst später und nur als Hinweis</w:t>
            </w:r>
          </w:p>
        </w:tc>
      </w:tr>
      <w:tr>
        <w:tc>
          <w:tcPr>
            <w:tcW w:type="dxa" w:w="2551"/>
            <w:vAlign w:val="top"/>
            <w:tcBorders>
              <w:top w:sz="3" w:val="single" w:color="D9E0E5"/>
              <w:left w:sz="3" w:val="single" w:color="D9E0E5"/>
              <w:bottom w:sz="3" w:val="single" w:color="D9E0E5"/>
              <w:right w:sz="3" w:val="single" w:color="D9E0E5"/>
            </w:tcBorders>
          </w:tcPr>
          <w:p>
            <w:pPr>
              <w:spacing w:after="20"/>
            </w:pPr>
            <w:r>
              <w:rPr>
                <w:sz w:val="17"/>
              </w:rPr>
              <w:t>Legitime externe Dienstleisterdomain</w:t>
            </w:r>
          </w:p>
        </w:tc>
        <w:tc>
          <w:tcPr>
            <w:tcW w:type="dxa" w:w="3118"/>
            <w:vAlign w:val="top"/>
            <w:tcBorders>
              <w:top w:sz="3" w:val="single" w:color="D9E0E5"/>
              <w:left w:sz="3" w:val="single" w:color="D9E0E5"/>
              <w:bottom w:sz="3" w:val="single" w:color="D9E0E5"/>
              <w:right w:sz="3" w:val="single" w:color="D9E0E5"/>
            </w:tcBorders>
          </w:tcPr>
          <w:p>
            <w:pPr>
              <w:spacing w:after="20"/>
            </w:pPr>
            <w:r>
              <w:rPr>
                <w:sz w:val="17"/>
              </w:rPr>
              <w:t>Fehlwarnung bei Markenvergleich</w:t>
            </w:r>
          </w:p>
        </w:tc>
        <w:tc>
          <w:tcPr>
            <w:tcW w:type="dxa" w:w="3685"/>
            <w:vAlign w:val="top"/>
            <w:tcBorders>
              <w:top w:sz="3" w:val="single" w:color="D9E0E5"/>
              <w:left w:sz="3" w:val="single" w:color="D9E0E5"/>
              <w:bottom w:sz="3" w:val="single" w:color="D9E0E5"/>
              <w:right w:sz="3" w:val="single" w:color="D9E0E5"/>
            </w:tcBorders>
          </w:tcPr>
          <w:p>
            <w:pPr>
              <w:spacing w:after="20"/>
            </w:pPr>
            <w:r>
              <w:rPr>
                <w:sz w:val="17"/>
              </w:rPr>
              <w:t>Versionierte Markenprofile, mehrere Indikatoren, lokale Ausnahmen</w:t>
            </w:r>
          </w:p>
        </w:tc>
      </w:tr>
      <w:tr>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Phishingdomain ähnelt Marke</w:t>
            </w:r>
          </w:p>
        </w:tc>
        <w:tc>
          <w:tcPr>
            <w:tcW w:type="dxa" w:w="3118"/>
            <w:vAlign w:val="top"/>
            <w:shd w:fill="F5F7F8"/>
            <w:tcBorders>
              <w:top w:sz="3" w:val="single" w:color="D9E0E5"/>
              <w:left w:sz="3" w:val="single" w:color="D9E0E5"/>
              <w:bottom w:sz="3" w:val="single" w:color="D9E0E5"/>
              <w:right w:sz="3" w:val="single" w:color="D9E0E5"/>
            </w:tcBorders>
          </w:tcPr>
          <w:p>
            <w:pPr>
              <w:spacing w:after="20"/>
            </w:pPr>
            <w:r>
              <w:rPr>
                <w:sz w:val="17"/>
              </w:rPr>
              <w:t>Nutzer übersieht Abweichung</w:t>
            </w:r>
          </w:p>
        </w:tc>
        <w:tc>
          <w:tcPr>
            <w:tcW w:type="dxa" w:w="3685"/>
            <w:vAlign w:val="top"/>
            <w:shd w:fill="F5F7F8"/>
            <w:tcBorders>
              <w:top w:sz="3" w:val="single" w:color="D9E0E5"/>
              <w:left w:sz="3" w:val="single" w:color="D9E0E5"/>
              <w:bottom w:sz="3" w:val="single" w:color="D9E0E5"/>
              <w:right w:sz="3" w:val="single" w:color="D9E0E5"/>
            </w:tcBorders>
          </w:tcPr>
          <w:p>
            <w:pPr>
              <w:spacing w:after="20"/>
            </w:pPr>
            <w:r>
              <w:rPr>
                <w:sz w:val="17"/>
              </w:rPr>
              <w:t>Unicode/Punycode, registrierbare Domain und sichtbare Zielvorschau</w:t>
            </w:r>
          </w:p>
        </w:tc>
      </w:tr>
      <w:tr>
        <w:tc>
          <w:tcPr>
            <w:tcW w:type="dxa" w:w="2551"/>
            <w:vAlign w:val="top"/>
            <w:tcBorders>
              <w:top w:sz="3" w:val="single" w:color="D9E0E5"/>
              <w:left w:sz="3" w:val="single" w:color="D9E0E5"/>
              <w:bottom w:sz="3" w:val="single" w:color="D9E0E5"/>
              <w:right w:sz="3" w:val="single" w:color="D9E0E5"/>
            </w:tcBorders>
          </w:tcPr>
          <w:p>
            <w:pPr>
              <w:spacing w:after="20"/>
            </w:pPr>
            <w:r>
              <w:rPr>
                <w:sz w:val="17"/>
              </w:rPr>
              <w:t>WebView/HTML-Inhalt greift Host an</w:t>
            </w:r>
          </w:p>
        </w:tc>
        <w:tc>
          <w:tcPr>
            <w:tcW w:type="dxa" w:w="3118"/>
            <w:vAlign w:val="top"/>
            <w:tcBorders>
              <w:top w:sz="3" w:val="single" w:color="D9E0E5"/>
              <w:left w:sz="3" w:val="single" w:color="D9E0E5"/>
              <w:bottom w:sz="3" w:val="single" w:color="D9E0E5"/>
              <w:right w:sz="3" w:val="single" w:color="D9E0E5"/>
            </w:tcBorders>
          </w:tcPr>
          <w:p>
            <w:pPr>
              <w:spacing w:after="20"/>
            </w:pPr>
            <w:r>
              <w:rPr>
                <w:sz w:val="17"/>
              </w:rPr>
              <w:t>Codeausführung oder Datenabfluss</w:t>
            </w:r>
          </w:p>
        </w:tc>
        <w:tc>
          <w:tcPr>
            <w:tcW w:type="dxa" w:w="3685"/>
            <w:vAlign w:val="top"/>
            <w:tcBorders>
              <w:top w:sz="3" w:val="single" w:color="D9E0E5"/>
              <w:left w:sz="3" w:val="single" w:color="D9E0E5"/>
              <w:bottom w:sz="3" w:val="single" w:color="D9E0E5"/>
              <w:right w:sz="3" w:val="single" w:color="D9E0E5"/>
            </w:tcBorders>
          </w:tcPr>
          <w:p>
            <w:pPr>
              <w:spacing w:after="20"/>
            </w:pPr>
            <w:r>
              <w:rPr>
                <w:sz w:val="17"/>
              </w:rPr>
              <w:t>Inhalte als untrusted, Navigation/Ressourcen blockieren, minimaler Hostzugriff</w:t>
            </w:r>
          </w:p>
        </w:tc>
      </w:tr>
      <w:tr>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SMTP- oder IMAP-Abbruch mit unklarem Ergebnis</w:t>
            </w:r>
          </w:p>
        </w:tc>
        <w:tc>
          <w:tcPr>
            <w:tcW w:type="dxa" w:w="3118"/>
            <w:vAlign w:val="top"/>
            <w:shd w:fill="F5F7F8"/>
            <w:tcBorders>
              <w:top w:sz="3" w:val="single" w:color="D9E0E5"/>
              <w:left w:sz="3" w:val="single" w:color="D9E0E5"/>
              <w:bottom w:sz="3" w:val="single" w:color="D9E0E5"/>
              <w:right w:sz="3" w:val="single" w:color="D9E0E5"/>
            </w:tcBorders>
          </w:tcPr>
          <w:p>
            <w:pPr>
              <w:spacing w:after="20"/>
            </w:pPr>
            <w:r>
              <w:rPr>
                <w:sz w:val="17"/>
              </w:rPr>
              <w:t>Doppelversand oder doppelter Sent-Eintrag</w:t>
            </w:r>
          </w:p>
        </w:tc>
        <w:tc>
          <w:tcPr>
            <w:tcW w:type="dxa" w:w="3685"/>
            <w:vAlign w:val="top"/>
            <w:shd w:fill="F5F7F8"/>
            <w:tcBorders>
              <w:top w:sz="3" w:val="single" w:color="D9E0E5"/>
              <w:left w:sz="3" w:val="single" w:color="D9E0E5"/>
              <w:bottom w:sz="3" w:val="single" w:color="D9E0E5"/>
              <w:right w:sz="3" w:val="single" w:color="D9E0E5"/>
            </w:tcBorders>
          </w:tcPr>
          <w:p>
            <w:pPr>
              <w:spacing w:after="20"/>
            </w:pPr>
            <w:r>
              <w:rPr>
                <w:sz w:val="17"/>
              </w:rPr>
              <w:t>Uncertain-Zustände, Message-ID, Prüfung vor Retry</w:t>
            </w:r>
          </w:p>
        </w:tc>
      </w:tr>
      <w:tr>
        <w:tc>
          <w:tcPr>
            <w:tcW w:type="dxa" w:w="2551"/>
            <w:vAlign w:val="top"/>
            <w:tcBorders>
              <w:top w:sz="3" w:val="single" w:color="D9E0E5"/>
              <w:left w:sz="3" w:val="single" w:color="D9E0E5"/>
              <w:bottom w:sz="3" w:val="single" w:color="D9E0E5"/>
              <w:right w:sz="3" w:val="single" w:color="D9E0E5"/>
            </w:tcBorders>
          </w:tcPr>
          <w:p>
            <w:pPr>
              <w:spacing w:after="20"/>
            </w:pPr>
            <w:r>
              <w:rPr>
                <w:sz w:val="17"/>
              </w:rPr>
              <w:t>SQLite/Dateisystem inkonsistent</w:t>
            </w:r>
          </w:p>
        </w:tc>
        <w:tc>
          <w:tcPr>
            <w:tcW w:type="dxa" w:w="3118"/>
            <w:vAlign w:val="top"/>
            <w:tcBorders>
              <w:top w:sz="3" w:val="single" w:color="D9E0E5"/>
              <w:left w:sz="3" w:val="single" w:color="D9E0E5"/>
              <w:bottom w:sz="3" w:val="single" w:color="D9E0E5"/>
              <w:right w:sz="3" w:val="single" w:color="D9E0E5"/>
            </w:tcBorders>
          </w:tcPr>
          <w:p>
            <w:pPr>
              <w:spacing w:after="20"/>
            </w:pPr>
            <w:r>
              <w:rPr>
                <w:sz w:val="17"/>
              </w:rPr>
              <w:t>Verwaiste oder fehlende Daten</w:t>
            </w:r>
          </w:p>
        </w:tc>
        <w:tc>
          <w:tcPr>
            <w:tcW w:type="dxa" w:w="3685"/>
            <w:vAlign w:val="top"/>
            <w:tcBorders>
              <w:top w:sz="3" w:val="single" w:color="D9E0E5"/>
              <w:left w:sz="3" w:val="single" w:color="D9E0E5"/>
              <w:bottom w:sz="3" w:val="single" w:color="D9E0E5"/>
              <w:right w:sz="3" w:val="single" w:color="D9E0E5"/>
            </w:tcBorders>
          </w:tcPr>
          <w:p>
            <w:pPr>
              <w:spacing w:after="20"/>
            </w:pPr>
            <w:r>
              <w:rPr>
                <w:sz w:val="17"/>
              </w:rPr>
              <w:t>Tempbereich, atomare Übernahme, Transaktionen, Integritätsprüfung</w:t>
            </w:r>
          </w:p>
        </w:tc>
      </w:tr>
      <w:tr>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Plugin-Vorbereitung wird zu früh zu offen</w:t>
            </w:r>
          </w:p>
        </w:tc>
        <w:tc>
          <w:tcPr>
            <w:tcW w:type="dxa" w:w="3118"/>
            <w:vAlign w:val="top"/>
            <w:shd w:fill="F5F7F8"/>
            <w:tcBorders>
              <w:top w:sz="3" w:val="single" w:color="D9E0E5"/>
              <w:left w:sz="3" w:val="single" w:color="D9E0E5"/>
              <w:bottom w:sz="3" w:val="single" w:color="D9E0E5"/>
              <w:right w:sz="3" w:val="single" w:color="D9E0E5"/>
            </w:tcBorders>
          </w:tcPr>
          <w:p>
            <w:pPr>
              <w:spacing w:after="20"/>
            </w:pPr>
            <w:r>
              <w:rPr>
                <w:sz w:val="17"/>
              </w:rPr>
              <w:t>Sicherheits- und Stabilitätsrisiko</w:t>
            </w:r>
          </w:p>
        </w:tc>
        <w:tc>
          <w:tcPr>
            <w:tcW w:type="dxa" w:w="3685"/>
            <w:vAlign w:val="top"/>
            <w:shd w:fill="F5F7F8"/>
            <w:tcBorders>
              <w:top w:sz="3" w:val="single" w:color="D9E0E5"/>
              <w:left w:sz="3" w:val="single" w:color="D9E0E5"/>
              <w:bottom w:sz="3" w:val="single" w:color="D9E0E5"/>
              <w:right w:sz="3" w:val="single" w:color="D9E0E5"/>
            </w:tcBorders>
          </w:tcPr>
          <w:p>
            <w:pPr>
              <w:spacing w:after="20"/>
            </w:pPr>
            <w:r>
              <w:rPr>
                <w:sz w:val="17"/>
              </w:rPr>
              <w:t>V1 nur interne Registrierung, kein beliebiges DLL-Laden</w:t>
            </w:r>
          </w:p>
        </w:tc>
      </w:tr>
      <w:tr>
        <w:tc>
          <w:tcPr>
            <w:tcW w:type="dxa" w:w="2551"/>
            <w:vAlign w:val="top"/>
            <w:tcBorders>
              <w:top w:sz="3" w:val="single" w:color="D9E0E5"/>
              <w:left w:sz="3" w:val="single" w:color="D9E0E5"/>
              <w:bottom w:sz="3" w:val="single" w:color="D9E0E5"/>
              <w:right w:sz="3" w:val="single" w:color="D9E0E5"/>
            </w:tcBorders>
          </w:tcPr>
          <w:p>
            <w:pPr>
              <w:spacing w:after="20"/>
            </w:pPr>
            <w:r>
              <w:rPr>
                <w:sz w:val="17"/>
              </w:rPr>
              <w:t>WinForms wird fachlicher Monolith</w:t>
            </w:r>
          </w:p>
        </w:tc>
        <w:tc>
          <w:tcPr>
            <w:tcW w:type="dxa" w:w="3118"/>
            <w:vAlign w:val="top"/>
            <w:tcBorders>
              <w:top w:sz="3" w:val="single" w:color="D9E0E5"/>
              <w:left w:sz="3" w:val="single" w:color="D9E0E5"/>
              <w:bottom w:sz="3" w:val="single" w:color="D9E0E5"/>
              <w:right w:sz="3" w:val="single" w:color="D9E0E5"/>
            </w:tcBorders>
          </w:tcPr>
          <w:p>
            <w:pPr>
              <w:spacing w:after="20"/>
            </w:pPr>
            <w:r>
              <w:rPr>
                <w:sz w:val="17"/>
              </w:rPr>
              <w:t>Späterer UI-Wechsel teuer</w:t>
            </w:r>
          </w:p>
        </w:tc>
        <w:tc>
          <w:tcPr>
            <w:tcW w:type="dxa" w:w="3685"/>
            <w:vAlign w:val="top"/>
            <w:tcBorders>
              <w:top w:sz="3" w:val="single" w:color="D9E0E5"/>
              <w:left w:sz="3" w:val="single" w:color="D9E0E5"/>
              <w:bottom w:sz="3" w:val="single" w:color="D9E0E5"/>
              <w:right w:sz="3" w:val="single" w:color="D9E0E5"/>
            </w:tcBorders>
          </w:tcPr>
          <w:p>
            <w:pPr>
              <w:spacing w:after="20"/>
            </w:pPr>
            <w:r>
              <w:rPr>
                <w:sz w:val="17"/>
              </w:rPr>
              <w:t>Presentation Core, Host/Composition Root, Architekturtests</w:t>
            </w:r>
          </w:p>
        </w:tc>
      </w:tr>
      <w:tr>
        <w:tc>
          <w:tcPr>
            <w:tcW w:type="dxa" w:w="2551"/>
            <w:vAlign w:val="top"/>
            <w:shd w:fill="F5F7F8"/>
            <w:tcBorders>
              <w:top w:sz="3" w:val="single" w:color="D9E0E5"/>
              <w:left w:sz="3" w:val="single" w:color="D9E0E5"/>
              <w:bottom w:sz="3" w:val="single" w:color="D9E0E5"/>
              <w:right w:sz="3" w:val="single" w:color="D9E0E5"/>
            </w:tcBorders>
          </w:tcPr>
          <w:p>
            <w:pPr>
              <w:spacing w:after="20"/>
            </w:pPr>
            <w:r>
              <w:rPr>
                <w:sz w:val="17"/>
              </w:rPr>
              <w:t>Umfang von V1 wächst unkontrolliert</w:t>
            </w:r>
          </w:p>
        </w:tc>
        <w:tc>
          <w:tcPr>
            <w:tcW w:type="dxa" w:w="3118"/>
            <w:vAlign w:val="top"/>
            <w:shd w:fill="F5F7F8"/>
            <w:tcBorders>
              <w:top w:sz="3" w:val="single" w:color="D9E0E5"/>
              <w:left w:sz="3" w:val="single" w:color="D9E0E5"/>
              <w:bottom w:sz="3" w:val="single" w:color="D9E0E5"/>
              <w:right w:sz="3" w:val="single" w:color="D9E0E5"/>
            </w:tcBorders>
          </w:tcPr>
          <w:p>
            <w:pPr>
              <w:spacing w:after="20"/>
            </w:pPr>
            <w:r>
              <w:rPr>
                <w:sz w:val="17"/>
              </w:rPr>
              <w:t>Verzögerung und Qualitätsverlust</w:t>
            </w:r>
          </w:p>
        </w:tc>
        <w:tc>
          <w:tcPr>
            <w:tcW w:type="dxa" w:w="3685"/>
            <w:vAlign w:val="top"/>
            <w:shd w:fill="F5F7F8"/>
            <w:tcBorders>
              <w:top w:sz="3" w:val="single" w:color="D9E0E5"/>
              <w:left w:sz="3" w:val="single" w:color="D9E0E5"/>
              <w:bottom w:sz="3" w:val="single" w:color="D9E0E5"/>
              <w:right w:sz="3" w:val="single" w:color="D9E0E5"/>
            </w:tcBorders>
          </w:tcPr>
          <w:p>
            <w:pPr>
              <w:spacing w:after="20"/>
            </w:pPr>
            <w:r>
              <w:rPr>
                <w:sz w:val="17"/>
              </w:rPr>
              <w:t>Klare Nichtziele; SOLL-Funktionen notfalls dokumentiert verschieben</w:t>
            </w:r>
          </w:p>
        </w:tc>
      </w:tr>
    </w:tbl>
    <w:p>
      <w:pPr>
        <w:widowControl w:val="1"/>
      </w:pPr>
    </w:p>
    <w:p>
      <w:pPr>
        <w:pStyle w:val="Heading1"/>
        <w:widowControl w:val="1"/>
      </w:pPr>
      <w:r>
        <w:t>16. Offene Entscheidungen für das Pflichtenheft</w:t>
      </w:r>
    </w:p>
    <w:p>
      <w:pPr>
        <w:pStyle w:val="ListBullet"/>
        <w:widowControl w:val="1"/>
      </w:pPr>
      <w:r>
        <w:t>Konkrete HTML-Sanitizing- und WebView2-Isolationsstrategie.</w:t>
      </w:r>
    </w:p>
    <w:p>
      <w:pPr>
        <w:pStyle w:val="ListBullet"/>
        <w:widowControl w:val="1"/>
      </w:pPr>
      <w:r>
        <w:t>Bibliothek oder eigener Parser zur Bestimmung der registrierbaren Domain unter Nutzung einer Public-Suffix-Liste.</w:t>
      </w:r>
    </w:p>
    <w:p>
      <w:pPr>
        <w:pStyle w:val="ListBullet"/>
        <w:widowControl w:val="1"/>
      </w:pPr>
      <w:r>
        <w:t>Erstes Format und Pflegeverfahren für Marken- und Vertrauensprofile.</w:t>
      </w:r>
    </w:p>
    <w:p>
      <w:pPr>
        <w:pStyle w:val="ListBullet"/>
        <w:widowControl w:val="1"/>
      </w:pPr>
      <w:r>
        <w:t>Konkrete Gewichtung beziehungsweise regelbasierte Zusammenführung von Warnindikatoren.</w:t>
      </w:r>
    </w:p>
    <w:p>
      <w:pPr>
        <w:pStyle w:val="ListBullet"/>
        <w:widowControl w:val="1"/>
      </w:pPr>
      <w:r>
        <w:t>Credential-Store-Implementierung und Migrationsweg zwischen Windows-Profilen.</w:t>
      </w:r>
    </w:p>
    <w:p>
      <w:pPr>
        <w:pStyle w:val="ListBullet"/>
        <w:widowControl w:val="1"/>
      </w:pPr>
      <w:r>
        <w:t>SQLite-FTS5-Strategie und Umfang der Body-/Anhangsindizierung.</w:t>
      </w:r>
    </w:p>
    <w:p>
      <w:pPr>
        <w:pStyle w:val="ListBullet"/>
        <w:widowControl w:val="1"/>
      </w:pPr>
      <w:r>
        <w:t>Installations- und Updateverfahren für Version 1.0.</w:t>
      </w:r>
    </w:p>
    <w:p>
      <w:pPr>
        <w:pStyle w:val="ListBullet"/>
        <w:widowControl w:val="1"/>
      </w:pPr>
      <w:r>
        <w:t>Unterstützte Windows-Versionen zum Releasezeitpunkt.</w:t>
      </w:r>
    </w:p>
    <w:p>
      <w:pPr>
        <w:pStyle w:val="ListBullet"/>
        <w:widowControl w:val="1"/>
      </w:pPr>
      <w:r>
        <w:t>Grenzwerte für Performance- und Lasttests auf typischer Zielhardware.</w:t>
      </w:r>
    </w:p>
    <w:p>
      <w:pPr>
        <w:pStyle w:val="ListBullet"/>
        <w:widowControl w:val="1"/>
      </w:pPr>
      <w:r>
        <w:t>Welche SOLL-Funktionen gegebenenfalls als 1.1 statt 1.0 ausgeliefert werden.</w:t>
      </w:r>
    </w:p>
    <w:tbl>
      <w:tblPr>
        <w:tblW w:type="auto" w:w="0"/>
        <w:jc w:val="center"/>
        <w:tblLayout w:type="fixed"/>
        <w:tblLook w:firstColumn="1" w:firstRow="1" w:lastColumn="0" w:lastRow="0" w:noHBand="0" w:noVBand="1" w:val="04A0"/>
      </w:tblPr>
      <w:tblGrid>
        <w:gridCol w:w="9354"/>
      </w:tblGrid>
      <w:tr>
        <w:tc>
          <w:tcPr>
            <w:tcW w:type="dxa" w:w="9858"/>
            <w:shd w:fill="FFF4E5"/>
            <w:tcBorders>
              <w:top w:sz="2" w:val="single" w:color="FFF4E5"/>
              <w:left w:sz="18" w:val="single" w:color="B36B00"/>
              <w:bottom w:sz="2" w:val="single" w:color="FFF4E5"/>
              <w:right w:sz="2" w:val="single" w:color="FFF4E5"/>
            </w:tcBorders>
          </w:tcPr>
          <w:p>
            <w:r>
              <w:rPr>
                <w:b/>
                <w:color w:val="B36B00"/>
              </w:rPr>
              <w:t>Wichtige Scope-Regel</w:t>
            </w:r>
          </w:p>
          <w:p>
            <w:pPr>
              <w:pStyle w:val="BodyText"/>
            </w:pPr>
            <w:r>
              <w:t>Die Detailentscheidungen dürfen die festgelegten Systemgrenzen nicht aufweichen: kein MailKit/SQLite in WinForms, keine automatische Cloudanalyse, keine unsichere TLS-Ausnahme und keine automatische Löschung von Servermails in der Standardkonfiguration.</w:t>
            </w:r>
          </w:p>
        </w:tc>
      </w:tr>
    </w:tbl>
    <w:p>
      <w:pPr>
        <w:spacing w:after="0"/>
        <w:widowControl w:val="1"/>
      </w:pPr>
    </w:p>
    <w:p>
      <w:pPr>
        <w:pStyle w:val="Heading1"/>
        <w:widowControl w:val="1"/>
      </w:pPr>
      <w:r>
        <w:t>17. Roadmap nach Version 1.0</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1417"/>
            <w:shd w:fill="12324A"/>
            <w:tcBorders>
              <w:top w:sz="3" w:val="single" w:color="D9E0E5"/>
              <w:left w:sz="3" w:val="single" w:color="D9E0E5"/>
              <w:bottom w:sz="3" w:val="single" w:color="D9E0E5"/>
              <w:right w:sz="3" w:val="single" w:color="D9E0E5"/>
            </w:tcBorders>
          </w:tcPr>
          <w:p>
            <w:r>
              <w:rPr>
                <w:b/>
                <w:color w:val="FFFFFF"/>
                <w:sz w:val="18"/>
              </w:rPr>
              <w:t>Release</w:t>
            </w:r>
          </w:p>
        </w:tc>
        <w:tc>
          <w:tcPr>
            <w:tcW w:type="dxa" w:w="7937"/>
            <w:shd w:fill="12324A"/>
            <w:tcBorders>
              <w:top w:sz="3" w:val="single" w:color="D9E0E5"/>
              <w:left w:sz="3" w:val="single" w:color="D9E0E5"/>
              <w:bottom w:sz="3" w:val="single" w:color="D9E0E5"/>
              <w:right w:sz="3" w:val="single" w:color="D9E0E5"/>
            </w:tcBorders>
          </w:tcPr>
          <w:p>
            <w:r>
              <w:rPr>
                <w:b/>
                <w:color w:val="FFFFFF"/>
                <w:sz w:val="18"/>
              </w:rPr>
              <w:t>Möglicher Schwerpunkt</w:t>
            </w:r>
          </w:p>
        </w:tc>
      </w:tr>
      <w:tr>
        <w:tc>
          <w:tcPr>
            <w:tcW w:type="dxa" w:w="1417"/>
            <w:vAlign w:val="top"/>
            <w:tcBorders>
              <w:top w:sz="3" w:val="single" w:color="D9E0E5"/>
              <w:left w:sz="3" w:val="single" w:color="D9E0E5"/>
              <w:bottom w:sz="3" w:val="single" w:color="D9E0E5"/>
              <w:right w:sz="3" w:val="single" w:color="D9E0E5"/>
            </w:tcBorders>
          </w:tcPr>
          <w:p>
            <w:pPr>
              <w:spacing w:after="20"/>
            </w:pPr>
            <w:r>
              <w:rPr>
                <w:sz w:val="17"/>
              </w:rPr>
              <w:t>1.1</w:t>
            </w:r>
          </w:p>
        </w:tc>
        <w:tc>
          <w:tcPr>
            <w:tcW w:type="dxa" w:w="7937"/>
            <w:vAlign w:val="top"/>
            <w:tcBorders>
              <w:top w:sz="3" w:val="single" w:color="D9E0E5"/>
              <w:left w:sz="3" w:val="single" w:color="D9E0E5"/>
              <w:bottom w:sz="3" w:val="single" w:color="D9E0E5"/>
              <w:right w:sz="3" w:val="single" w:color="D9E0E5"/>
            </w:tcBorders>
          </w:tcPr>
          <w:p>
            <w:pPr>
              <w:spacing w:after="20"/>
            </w:pPr>
            <w:r>
              <w:rPr>
                <w:sz w:val="17"/>
              </w:rPr>
              <w:t>Komfort: gespeicherte Suchen, bessere Regeln, zusätzliche Layouttemplates, Performance-Optimierung</w:t>
            </w:r>
          </w:p>
        </w:tc>
      </w:tr>
      <w:tr>
        <w:tc>
          <w:tcPr>
            <w:tcW w:type="dxa" w:w="1417"/>
            <w:vAlign w:val="top"/>
            <w:shd w:fill="F5F7F8"/>
            <w:tcBorders>
              <w:top w:sz="3" w:val="single" w:color="D9E0E5"/>
              <w:left w:sz="3" w:val="single" w:color="D9E0E5"/>
              <w:bottom w:sz="3" w:val="single" w:color="D9E0E5"/>
              <w:right w:sz="3" w:val="single" w:color="D9E0E5"/>
            </w:tcBorders>
          </w:tcPr>
          <w:p>
            <w:pPr>
              <w:spacing w:after="20"/>
            </w:pPr>
            <w:r>
              <w:rPr>
                <w:sz w:val="17"/>
              </w:rPr>
              <w:t>1.2</w:t>
            </w:r>
          </w:p>
        </w:tc>
        <w:tc>
          <w:tcPr>
            <w:tcW w:type="dxa" w:w="7937"/>
            <w:vAlign w:val="top"/>
            <w:shd w:fill="F5F7F8"/>
            <w:tcBorders>
              <w:top w:sz="3" w:val="single" w:color="D9E0E5"/>
              <w:left w:sz="3" w:val="single" w:color="D9E0E5"/>
              <w:bottom w:sz="3" w:val="single" w:color="D9E0E5"/>
              <w:right w:sz="3" w:val="single" w:color="D9E0E5"/>
            </w:tcBorders>
          </w:tcPr>
          <w:p>
            <w:pPr>
              <w:spacing w:after="20"/>
            </w:pPr>
            <w:r>
              <w:rPr>
                <w:sz w:val="17"/>
              </w:rPr>
              <w:t>Scientific Dataset Builder, erweiterte Pseudonymisierung und Statistik</w:t>
            </w:r>
          </w:p>
        </w:tc>
      </w:tr>
      <w:tr>
        <w:tc>
          <w:tcPr>
            <w:tcW w:type="dxa" w:w="1417"/>
            <w:vAlign w:val="top"/>
            <w:tcBorders>
              <w:top w:sz="3" w:val="single" w:color="D9E0E5"/>
              <w:left w:sz="3" w:val="single" w:color="D9E0E5"/>
              <w:bottom w:sz="3" w:val="single" w:color="D9E0E5"/>
              <w:right w:sz="3" w:val="single" w:color="D9E0E5"/>
            </w:tcBorders>
          </w:tcPr>
          <w:p>
            <w:pPr>
              <w:spacing w:after="20"/>
            </w:pPr>
            <w:r>
              <w:rPr>
                <w:sz w:val="17"/>
              </w:rPr>
              <w:t>1.3</w:t>
            </w:r>
          </w:p>
        </w:tc>
        <w:tc>
          <w:tcPr>
            <w:tcW w:type="dxa" w:w="7937"/>
            <w:vAlign w:val="top"/>
            <w:tcBorders>
              <w:top w:sz="3" w:val="single" w:color="D9E0E5"/>
              <w:left w:sz="3" w:val="single" w:color="D9E0E5"/>
              <w:bottom w:sz="3" w:val="single" w:color="D9E0E5"/>
              <w:right w:sz="3" w:val="single" w:color="D9E0E5"/>
            </w:tcBorders>
          </w:tcPr>
          <w:p>
            <w:pPr>
              <w:spacing w:after="20"/>
            </w:pPr>
            <w:r>
              <w:rPr>
                <w:sz w:val="17"/>
              </w:rPr>
              <w:t>Vollständiger optionaler IMAP-Eingangssync und lokale/Server-Ordnerabstimmung</w:t>
            </w:r>
          </w:p>
        </w:tc>
      </w:tr>
      <w:tr>
        <w:tc>
          <w:tcPr>
            <w:tcW w:type="dxa" w:w="1417"/>
            <w:vAlign w:val="top"/>
            <w:shd w:fill="F5F7F8"/>
            <w:tcBorders>
              <w:top w:sz="3" w:val="single" w:color="D9E0E5"/>
              <w:left w:sz="3" w:val="single" w:color="D9E0E5"/>
              <w:bottom w:sz="3" w:val="single" w:color="D9E0E5"/>
              <w:right w:sz="3" w:val="single" w:color="D9E0E5"/>
            </w:tcBorders>
          </w:tcPr>
          <w:p>
            <w:pPr>
              <w:spacing w:after="20"/>
            </w:pPr>
            <w:r>
              <w:rPr>
                <w:sz w:val="17"/>
              </w:rPr>
              <w:t>1.4</w:t>
            </w:r>
          </w:p>
        </w:tc>
        <w:tc>
          <w:tcPr>
            <w:tcW w:type="dxa" w:w="7937"/>
            <w:vAlign w:val="top"/>
            <w:shd w:fill="F5F7F8"/>
            <w:tcBorders>
              <w:top w:sz="3" w:val="single" w:color="D9E0E5"/>
              <w:left w:sz="3" w:val="single" w:color="D9E0E5"/>
              <w:bottom w:sz="3" w:val="single" w:color="D9E0E5"/>
              <w:right w:sz="3" w:val="single" w:color="D9E0E5"/>
            </w:tcBorders>
          </w:tcPr>
          <w:p>
            <w:pPr>
              <w:spacing w:after="20"/>
            </w:pPr>
            <w:r>
              <w:rPr>
                <w:sz w:val="17"/>
              </w:rPr>
              <w:t>OpenPGP oder S/MIME als eigener Sicherheitsmeilenstein</w:t>
            </w:r>
          </w:p>
        </w:tc>
      </w:tr>
      <w:tr>
        <w:tc>
          <w:tcPr>
            <w:tcW w:type="dxa" w:w="1417"/>
            <w:vAlign w:val="top"/>
            <w:tcBorders>
              <w:top w:sz="3" w:val="single" w:color="D9E0E5"/>
              <w:left w:sz="3" w:val="single" w:color="D9E0E5"/>
              <w:bottom w:sz="3" w:val="single" w:color="D9E0E5"/>
              <w:right w:sz="3" w:val="single" w:color="D9E0E5"/>
            </w:tcBorders>
          </w:tcPr>
          <w:p>
            <w:pPr>
              <w:spacing w:after="20"/>
            </w:pPr>
            <w:r>
              <w:rPr>
                <w:sz w:val="17"/>
              </w:rPr>
              <w:t>1.5</w:t>
            </w:r>
          </w:p>
        </w:tc>
        <w:tc>
          <w:tcPr>
            <w:tcW w:type="dxa" w:w="7937"/>
            <w:vAlign w:val="top"/>
            <w:tcBorders>
              <w:top w:sz="3" w:val="single" w:color="D9E0E5"/>
              <w:left w:sz="3" w:val="single" w:color="D9E0E5"/>
              <w:bottom w:sz="3" w:val="single" w:color="D9E0E5"/>
              <w:right w:sz="3" w:val="single" w:color="D9E0E5"/>
            </w:tcBorders>
          </w:tcPr>
          <w:p>
            <w:pPr>
              <w:spacing w:after="20"/>
            </w:pPr>
            <w:r>
              <w:rPr>
                <w:sz w:val="17"/>
              </w:rPr>
              <w:t>Kontakte/CardDAV oder Kalender/CalDAV nach separatem Lastenheft</w:t>
            </w:r>
          </w:p>
        </w:tc>
      </w:tr>
      <w:tr>
        <w:tc>
          <w:tcPr>
            <w:tcW w:type="dxa" w:w="1417"/>
            <w:vAlign w:val="top"/>
            <w:shd w:fill="F5F7F8"/>
            <w:tcBorders>
              <w:top w:sz="3" w:val="single" w:color="D9E0E5"/>
              <w:left w:sz="3" w:val="single" w:color="D9E0E5"/>
              <w:bottom w:sz="3" w:val="single" w:color="D9E0E5"/>
              <w:right w:sz="3" w:val="single" w:color="D9E0E5"/>
            </w:tcBorders>
          </w:tcPr>
          <w:p>
            <w:pPr>
              <w:spacing w:after="20"/>
            </w:pPr>
            <w:r>
              <w:rPr>
                <w:sz w:val="17"/>
              </w:rPr>
              <w:t>2.x</w:t>
            </w:r>
          </w:p>
        </w:tc>
        <w:tc>
          <w:tcPr>
            <w:tcW w:type="dxa" w:w="7937"/>
            <w:vAlign w:val="top"/>
            <w:shd w:fill="F5F7F8"/>
            <w:tcBorders>
              <w:top w:sz="3" w:val="single" w:color="D9E0E5"/>
              <w:left w:sz="3" w:val="single" w:color="D9E0E5"/>
              <w:bottom w:sz="3" w:val="single" w:color="D9E0E5"/>
              <w:right w:sz="3" w:val="single" w:color="D9E0E5"/>
            </w:tcBorders>
          </w:tcPr>
          <w:p>
            <w:pPr>
              <w:spacing w:after="20"/>
            </w:pPr>
            <w:r>
              <w:rPr>
                <w:sz w:val="17"/>
              </w:rPr>
              <w:t>Dynamisches, signiertes Plugin-System; WPF- oder MAUI-UI-Adapter; SASD-Ökosystemintegration</w:t>
            </w:r>
          </w:p>
        </w:tc>
      </w:tr>
    </w:tbl>
    <w:p>
      <w:pPr>
        <w:widowControl w:val="1"/>
      </w:pPr>
    </w:p>
    <w:p>
      <w:pPr>
        <w:pStyle w:val="Heading1"/>
        <w:widowControl w:val="1"/>
      </w:pPr>
      <w:r>
        <w:t>18. Glossar</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2268"/>
            <w:shd w:fill="12324A"/>
            <w:tcBorders>
              <w:top w:sz="3" w:val="single" w:color="D9E0E5"/>
              <w:left w:sz="3" w:val="single" w:color="D9E0E5"/>
              <w:bottom w:sz="3" w:val="single" w:color="D9E0E5"/>
              <w:right w:sz="3" w:val="single" w:color="D9E0E5"/>
            </w:tcBorders>
          </w:tcPr>
          <w:p>
            <w:r>
              <w:rPr>
                <w:b/>
                <w:color w:val="FFFFFF"/>
                <w:sz w:val="18"/>
              </w:rPr>
              <w:t>Begriff</w:t>
            </w:r>
          </w:p>
        </w:tc>
        <w:tc>
          <w:tcPr>
            <w:tcW w:type="dxa" w:w="7087"/>
            <w:shd w:fill="12324A"/>
            <w:tcBorders>
              <w:top w:sz="3" w:val="single" w:color="D9E0E5"/>
              <w:left w:sz="3" w:val="single" w:color="D9E0E5"/>
              <w:bottom w:sz="3" w:val="single" w:color="D9E0E5"/>
              <w:right w:sz="3" w:val="single" w:color="D9E0E5"/>
            </w:tcBorders>
          </w:tcPr>
          <w:p>
            <w:r>
              <w:rPr>
                <w:b/>
                <w:color w:val="FFFFFF"/>
                <w:sz w:val="18"/>
              </w:rPr>
              <w:t>Bedeutung</w:t>
            </w:r>
          </w:p>
        </w:tc>
      </w:tr>
      <w:tr>
        <w:tc>
          <w:tcPr>
            <w:tcW w:type="dxa" w:w="2268"/>
            <w:vAlign w:val="top"/>
            <w:tcBorders>
              <w:top w:sz="3" w:val="single" w:color="D9E0E5"/>
              <w:left w:sz="3" w:val="single" w:color="D9E0E5"/>
              <w:bottom w:sz="3" w:val="single" w:color="D9E0E5"/>
              <w:right w:sz="3" w:val="single" w:color="D9E0E5"/>
            </w:tcBorders>
          </w:tcPr>
          <w:p>
            <w:pPr>
              <w:spacing w:after="20"/>
            </w:pPr>
            <w:r>
              <w:rPr>
                <w:sz w:val="17"/>
              </w:rPr>
              <w:t>Analysis Run</w:t>
            </w:r>
          </w:p>
        </w:tc>
        <w:tc>
          <w:tcPr>
            <w:tcW w:type="dxa" w:w="7087"/>
            <w:vAlign w:val="top"/>
            <w:tcBorders>
              <w:top w:sz="3" w:val="single" w:color="D9E0E5"/>
              <w:left w:sz="3" w:val="single" w:color="D9E0E5"/>
              <w:bottom w:sz="3" w:val="single" w:color="D9E0E5"/>
              <w:right w:sz="3" w:val="single" w:color="D9E0E5"/>
            </w:tcBorders>
          </w:tcPr>
          <w:p>
            <w:pPr>
              <w:spacing w:after="20"/>
            </w:pPr>
            <w:r>
              <w:rPr>
                <w:sz w:val="17"/>
              </w:rPr>
              <w:t>Versionierter Lauf eines Analyzers mit Eingabehash, Parametern und Ergebnis.</w:t>
            </w:r>
          </w:p>
        </w:tc>
      </w:tr>
      <w:tr>
        <w:tc>
          <w:tcPr>
            <w:tcW w:type="dxa" w:w="2268"/>
            <w:vAlign w:val="top"/>
            <w:shd w:fill="F5F7F8"/>
            <w:tcBorders>
              <w:top w:sz="3" w:val="single" w:color="D9E0E5"/>
              <w:left w:sz="3" w:val="single" w:color="D9E0E5"/>
              <w:bottom w:sz="3" w:val="single" w:color="D9E0E5"/>
              <w:right w:sz="3" w:val="single" w:color="D9E0E5"/>
            </w:tcBorders>
          </w:tcPr>
          <w:p>
            <w:pPr>
              <w:spacing w:after="20"/>
            </w:pPr>
            <w:r>
              <w:rPr>
                <w:sz w:val="17"/>
              </w:rPr>
              <w:t>Authentication-Results</w:t>
            </w:r>
          </w:p>
        </w:tc>
        <w:tc>
          <w:tcPr>
            <w:tcW w:type="dxa" w:w="7087"/>
            <w:vAlign w:val="top"/>
            <w:shd w:fill="F5F7F8"/>
            <w:tcBorders>
              <w:top w:sz="3" w:val="single" w:color="D9E0E5"/>
              <w:left w:sz="3" w:val="single" w:color="D9E0E5"/>
              <w:bottom w:sz="3" w:val="single" w:color="D9E0E5"/>
              <w:right w:sz="3" w:val="single" w:color="D9E0E5"/>
            </w:tcBorders>
          </w:tcPr>
          <w:p>
            <w:pPr>
              <w:spacing w:after="20"/>
            </w:pPr>
            <w:r>
              <w:rPr>
                <w:sz w:val="17"/>
              </w:rPr>
              <w:t>Standardisierter Mailheader für Ergebnisse von Authentifizierungsprüfungen wie SPF, DKIM oder DMARC.</w:t>
            </w:r>
          </w:p>
        </w:tc>
      </w:tr>
      <w:tr>
        <w:tc>
          <w:tcPr>
            <w:tcW w:type="dxa" w:w="2268"/>
            <w:vAlign w:val="top"/>
            <w:tcBorders>
              <w:top w:sz="3" w:val="single" w:color="D9E0E5"/>
              <w:left w:sz="3" w:val="single" w:color="D9E0E5"/>
              <w:bottom w:sz="3" w:val="single" w:color="D9E0E5"/>
              <w:right w:sz="3" w:val="single" w:color="D9E0E5"/>
            </w:tcBorders>
          </w:tcPr>
          <w:p>
            <w:pPr>
              <w:spacing w:after="20"/>
            </w:pPr>
            <w:r>
              <w:rPr>
                <w:sz w:val="17"/>
              </w:rPr>
              <w:t>Deduplizierung</w:t>
            </w:r>
          </w:p>
        </w:tc>
        <w:tc>
          <w:tcPr>
            <w:tcW w:type="dxa" w:w="7087"/>
            <w:vAlign w:val="top"/>
            <w:tcBorders>
              <w:top w:sz="3" w:val="single" w:color="D9E0E5"/>
              <w:left w:sz="3" w:val="single" w:color="D9E0E5"/>
              <w:bottom w:sz="3" w:val="single" w:color="D9E0E5"/>
              <w:right w:sz="3" w:val="single" w:color="D9E0E5"/>
            </w:tcBorders>
          </w:tcPr>
          <w:p>
            <w:pPr>
              <w:spacing w:after="20"/>
            </w:pPr>
            <w:r>
              <w:rPr>
                <w:sz w:val="17"/>
              </w:rPr>
              <w:t>Erkennen und Verhindern mehrfacher lokaler Speicherung derselben exakten Rohmail.</w:t>
            </w:r>
          </w:p>
        </w:tc>
      </w:tr>
      <w:tr>
        <w:tc>
          <w:tcPr>
            <w:tcW w:type="dxa" w:w="2268"/>
            <w:vAlign w:val="top"/>
            <w:shd w:fill="F5F7F8"/>
            <w:tcBorders>
              <w:top w:sz="3" w:val="single" w:color="D9E0E5"/>
              <w:left w:sz="3" w:val="single" w:color="D9E0E5"/>
              <w:bottom w:sz="3" w:val="single" w:color="D9E0E5"/>
              <w:right w:sz="3" w:val="single" w:color="D9E0E5"/>
            </w:tcBorders>
          </w:tcPr>
          <w:p>
            <w:pPr>
              <w:spacing w:after="20"/>
            </w:pPr>
            <w:r>
              <w:rPr>
                <w:sz w:val="17"/>
              </w:rPr>
              <w:t>DMARC</w:t>
            </w:r>
          </w:p>
        </w:tc>
        <w:tc>
          <w:tcPr>
            <w:tcW w:type="dxa" w:w="7087"/>
            <w:vAlign w:val="top"/>
            <w:shd w:fill="F5F7F8"/>
            <w:tcBorders>
              <w:top w:sz="3" w:val="single" w:color="D9E0E5"/>
              <w:left w:sz="3" w:val="single" w:color="D9E0E5"/>
              <w:bottom w:sz="3" w:val="single" w:color="D9E0E5"/>
              <w:right w:sz="3" w:val="single" w:color="D9E0E5"/>
            </w:tcBorders>
          </w:tcPr>
          <w:p>
            <w:pPr>
              <w:spacing w:after="20"/>
            </w:pPr>
            <w:r>
              <w:rPr>
                <w:sz w:val="17"/>
              </w:rPr>
              <w:t>Domain-based Message Authentication, Reporting, and Conformance; nutzt SPF/DKIM-Ausrichtung.</w:t>
            </w:r>
          </w:p>
        </w:tc>
      </w:tr>
      <w:tr>
        <w:tc>
          <w:tcPr>
            <w:tcW w:type="dxa" w:w="2268"/>
            <w:vAlign w:val="top"/>
            <w:tcBorders>
              <w:top w:sz="3" w:val="single" w:color="D9E0E5"/>
              <w:left w:sz="3" w:val="single" w:color="D9E0E5"/>
              <w:bottom w:sz="3" w:val="single" w:color="D9E0E5"/>
              <w:right w:sz="3" w:val="single" w:color="D9E0E5"/>
            </w:tcBorders>
          </w:tcPr>
          <w:p>
            <w:pPr>
              <w:spacing w:after="20"/>
            </w:pPr>
            <w:r>
              <w:rPr>
                <w:sz w:val="17"/>
              </w:rPr>
              <w:t>DKIM</w:t>
            </w:r>
          </w:p>
        </w:tc>
        <w:tc>
          <w:tcPr>
            <w:tcW w:type="dxa" w:w="7087"/>
            <w:vAlign w:val="top"/>
            <w:tcBorders>
              <w:top w:sz="3" w:val="single" w:color="D9E0E5"/>
              <w:left w:sz="3" w:val="single" w:color="D9E0E5"/>
              <w:bottom w:sz="3" w:val="single" w:color="D9E0E5"/>
              <w:right w:sz="3" w:val="single" w:color="D9E0E5"/>
            </w:tcBorders>
          </w:tcPr>
          <w:p>
            <w:pPr>
              <w:spacing w:after="20"/>
            </w:pPr>
            <w:r>
              <w:rPr>
                <w:sz w:val="17"/>
              </w:rPr>
              <w:t>DomainKeys Identified Mail; kryptografische Signatur bestimmter Mailbestandteile.</w:t>
            </w:r>
          </w:p>
        </w:tc>
      </w:tr>
      <w:tr>
        <w:tc>
          <w:tcPr>
            <w:tcW w:type="dxa" w:w="2268"/>
            <w:vAlign w:val="top"/>
            <w:shd w:fill="F5F7F8"/>
            <w:tcBorders>
              <w:top w:sz="3" w:val="single" w:color="D9E0E5"/>
              <w:left w:sz="3" w:val="single" w:color="D9E0E5"/>
              <w:bottom w:sz="3" w:val="single" w:color="D9E0E5"/>
              <w:right w:sz="3" w:val="single" w:color="D9E0E5"/>
            </w:tcBorders>
          </w:tcPr>
          <w:p>
            <w:pPr>
              <w:spacing w:after="20"/>
            </w:pPr>
            <w:r>
              <w:rPr>
                <w:sz w:val="17"/>
              </w:rPr>
              <w:t>Get all</w:t>
            </w:r>
          </w:p>
        </w:tc>
        <w:tc>
          <w:tcPr>
            <w:tcW w:type="dxa" w:w="7087"/>
            <w:vAlign w:val="top"/>
            <w:shd w:fill="F5F7F8"/>
            <w:tcBorders>
              <w:top w:sz="3" w:val="single" w:color="D9E0E5"/>
              <w:left w:sz="3" w:val="single" w:color="D9E0E5"/>
              <w:bottom w:sz="3" w:val="single" w:color="D9E0E5"/>
              <w:right w:sz="3" w:val="single" w:color="D9E0E5"/>
            </w:tcBorders>
          </w:tcPr>
          <w:p>
            <w:pPr>
              <w:spacing w:after="20"/>
            </w:pPr>
            <w:r>
              <w:rPr>
                <w:sz w:val="17"/>
              </w:rPr>
              <w:t>Vollständiger POP3-Abruf aller noch serverseitig sichtbaren Nachrichten mit Hashvergleich.</w:t>
            </w:r>
          </w:p>
        </w:tc>
      </w:tr>
      <w:tr>
        <w:tc>
          <w:tcPr>
            <w:tcW w:type="dxa" w:w="2268"/>
            <w:vAlign w:val="top"/>
            <w:tcBorders>
              <w:top w:sz="3" w:val="single" w:color="D9E0E5"/>
              <w:left w:sz="3" w:val="single" w:color="D9E0E5"/>
              <w:bottom w:sz="3" w:val="single" w:color="D9E0E5"/>
              <w:right w:sz="3" w:val="single" w:color="D9E0E5"/>
            </w:tcBorders>
          </w:tcPr>
          <w:p>
            <w:pPr>
              <w:spacing w:after="20"/>
            </w:pPr>
            <w:r>
              <w:rPr>
                <w:sz w:val="17"/>
              </w:rPr>
              <w:t>IMAP APPEND</w:t>
            </w:r>
          </w:p>
        </w:tc>
        <w:tc>
          <w:tcPr>
            <w:tcW w:type="dxa" w:w="7087"/>
            <w:vAlign w:val="top"/>
            <w:tcBorders>
              <w:top w:sz="3" w:val="single" w:color="D9E0E5"/>
              <w:left w:sz="3" w:val="single" w:color="D9E0E5"/>
              <w:bottom w:sz="3" w:val="single" w:color="D9E0E5"/>
              <w:right w:sz="3" w:val="single" w:color="D9E0E5"/>
            </w:tcBorders>
          </w:tcPr>
          <w:p>
            <w:pPr>
              <w:spacing w:after="20"/>
            </w:pPr>
            <w:r>
              <w:rPr>
                <w:sz w:val="17"/>
              </w:rPr>
              <w:t>IMAP-Funktion zum Hinzufügen einer vollständigen Nachricht zu einem Serverordner.</w:t>
            </w:r>
          </w:p>
        </w:tc>
      </w:tr>
      <w:tr>
        <w:tc>
          <w:tcPr>
            <w:tcW w:type="dxa" w:w="2268"/>
            <w:vAlign w:val="top"/>
            <w:shd w:fill="F5F7F8"/>
            <w:tcBorders>
              <w:top w:sz="3" w:val="single" w:color="D9E0E5"/>
              <w:left w:sz="3" w:val="single" w:color="D9E0E5"/>
              <w:bottom w:sz="3" w:val="single" w:color="D9E0E5"/>
              <w:right w:sz="3" w:val="single" w:color="D9E0E5"/>
            </w:tcBorders>
          </w:tcPr>
          <w:p>
            <w:pPr>
              <w:spacing w:after="20"/>
            </w:pPr>
            <w:r>
              <w:rPr>
                <w:sz w:val="17"/>
              </w:rPr>
              <w:t>Markenprofil</w:t>
            </w:r>
          </w:p>
        </w:tc>
        <w:tc>
          <w:tcPr>
            <w:tcW w:type="dxa" w:w="7087"/>
            <w:vAlign w:val="top"/>
            <w:shd w:fill="F5F7F8"/>
            <w:tcBorders>
              <w:top w:sz="3" w:val="single" w:color="D9E0E5"/>
              <w:left w:sz="3" w:val="single" w:color="D9E0E5"/>
              <w:bottom w:sz="3" w:val="single" w:color="D9E0E5"/>
              <w:right w:sz="3" w:val="single" w:color="D9E0E5"/>
            </w:tcBorders>
          </w:tcPr>
          <w:p>
            <w:pPr>
              <w:spacing w:after="20"/>
            </w:pPr>
            <w:r>
              <w:rPr>
                <w:sz w:val="17"/>
              </w:rPr>
              <w:t>Lokale, versionierte Liste erwarteter Domains und Dienstleister einer Organisation.</w:t>
            </w:r>
          </w:p>
        </w:tc>
      </w:tr>
      <w:tr>
        <w:tc>
          <w:tcPr>
            <w:tcW w:type="dxa" w:w="2268"/>
            <w:vAlign w:val="top"/>
            <w:tcBorders>
              <w:top w:sz="3" w:val="single" w:color="D9E0E5"/>
              <w:left w:sz="3" w:val="single" w:color="D9E0E5"/>
              <w:bottom w:sz="3" w:val="single" w:color="D9E0E5"/>
              <w:right w:sz="3" w:val="single" w:color="D9E0E5"/>
            </w:tcBorders>
          </w:tcPr>
          <w:p>
            <w:pPr>
              <w:spacing w:after="20"/>
            </w:pPr>
            <w:r>
              <w:rPr>
                <w:sz w:val="17"/>
              </w:rPr>
              <w:t>MIME</w:t>
            </w:r>
          </w:p>
        </w:tc>
        <w:tc>
          <w:tcPr>
            <w:tcW w:type="dxa" w:w="7087"/>
            <w:vAlign w:val="top"/>
            <w:tcBorders>
              <w:top w:sz="3" w:val="single" w:color="D9E0E5"/>
              <w:left w:sz="3" w:val="single" w:color="D9E0E5"/>
              <w:bottom w:sz="3" w:val="single" w:color="D9E0E5"/>
              <w:right w:sz="3" w:val="single" w:color="D9E0E5"/>
            </w:tcBorders>
          </w:tcPr>
          <w:p>
            <w:pPr>
              <w:spacing w:after="20"/>
            </w:pPr>
            <w:r>
              <w:rPr>
                <w:sz w:val="17"/>
              </w:rPr>
              <w:t>Standard zur Strukturierung von Mailbody, Alternativen, Anhängen und eingebetteten Ressourcen.</w:t>
            </w:r>
          </w:p>
        </w:tc>
      </w:tr>
      <w:tr>
        <w:tc>
          <w:tcPr>
            <w:tcW w:type="dxa" w:w="2268"/>
            <w:vAlign w:val="top"/>
            <w:shd w:fill="F5F7F8"/>
            <w:tcBorders>
              <w:top w:sz="3" w:val="single" w:color="D9E0E5"/>
              <w:left w:sz="3" w:val="single" w:color="D9E0E5"/>
              <w:bottom w:sz="3" w:val="single" w:color="D9E0E5"/>
              <w:right w:sz="3" w:val="single" w:color="D9E0E5"/>
            </w:tcBorders>
          </w:tcPr>
          <w:p>
            <w:pPr>
              <w:spacing w:after="20"/>
            </w:pPr>
            <w:r>
              <w:rPr>
                <w:sz w:val="17"/>
              </w:rPr>
              <w:t>POP3 UIDL</w:t>
            </w:r>
          </w:p>
        </w:tc>
        <w:tc>
          <w:tcPr>
            <w:tcW w:type="dxa" w:w="7087"/>
            <w:vAlign w:val="top"/>
            <w:shd w:fill="F5F7F8"/>
            <w:tcBorders>
              <w:top w:sz="3" w:val="single" w:color="D9E0E5"/>
              <w:left w:sz="3" w:val="single" w:color="D9E0E5"/>
              <w:bottom w:sz="3" w:val="single" w:color="D9E0E5"/>
              <w:right w:sz="3" w:val="single" w:color="D9E0E5"/>
            </w:tcBorders>
          </w:tcPr>
          <w:p>
            <w:pPr>
              <w:spacing w:after="20"/>
            </w:pPr>
            <w:r>
              <w:rPr>
                <w:sz w:val="17"/>
              </w:rPr>
              <w:t>Vom POP3-Server gelieferte Kennung einer Nachricht; hilfreich, aber nicht alleinige lokale Identität.</w:t>
            </w:r>
          </w:p>
        </w:tc>
      </w:tr>
      <w:tr>
        <w:tc>
          <w:tcPr>
            <w:tcW w:type="dxa" w:w="2268"/>
            <w:vAlign w:val="top"/>
            <w:tcBorders>
              <w:top w:sz="3" w:val="single" w:color="D9E0E5"/>
              <w:left w:sz="3" w:val="single" w:color="D9E0E5"/>
              <w:bottom w:sz="3" w:val="single" w:color="D9E0E5"/>
              <w:right w:sz="3" w:val="single" w:color="D9E0E5"/>
            </w:tcBorders>
          </w:tcPr>
          <w:p>
            <w:pPr>
              <w:spacing w:after="20"/>
            </w:pPr>
            <w:r>
              <w:rPr>
                <w:sz w:val="17"/>
              </w:rPr>
              <w:t>Provenienz</w:t>
            </w:r>
          </w:p>
        </w:tc>
        <w:tc>
          <w:tcPr>
            <w:tcW w:type="dxa" w:w="7087"/>
            <w:vAlign w:val="top"/>
            <w:tcBorders>
              <w:top w:sz="3" w:val="single" w:color="D9E0E5"/>
              <w:left w:sz="3" w:val="single" w:color="D9E0E5"/>
              <w:bottom w:sz="3" w:val="single" w:color="D9E0E5"/>
              <w:right w:sz="3" w:val="single" w:color="D9E0E5"/>
            </w:tcBorders>
          </w:tcPr>
          <w:p>
            <w:pPr>
              <w:spacing w:after="20"/>
            </w:pPr>
            <w:r>
              <w:rPr>
                <w:sz w:val="17"/>
              </w:rPr>
              <w:t>Nachweis, woher Daten stammen und welche Verarbeitungsschritte erfolgt sind.</w:t>
            </w:r>
          </w:p>
        </w:tc>
      </w:tr>
      <w:tr>
        <w:tc>
          <w:tcPr>
            <w:tcW w:type="dxa" w:w="2268"/>
            <w:vAlign w:val="top"/>
            <w:shd w:fill="F5F7F8"/>
            <w:tcBorders>
              <w:top w:sz="3" w:val="single" w:color="D9E0E5"/>
              <w:left w:sz="3" w:val="single" w:color="D9E0E5"/>
              <w:bottom w:sz="3" w:val="single" w:color="D9E0E5"/>
              <w:right w:sz="3" w:val="single" w:color="D9E0E5"/>
            </w:tcBorders>
          </w:tcPr>
          <w:p>
            <w:pPr>
              <w:spacing w:after="20"/>
            </w:pPr>
            <w:r>
              <w:rPr>
                <w:sz w:val="17"/>
              </w:rPr>
              <w:t>Punycode</w:t>
            </w:r>
          </w:p>
        </w:tc>
        <w:tc>
          <w:tcPr>
            <w:tcW w:type="dxa" w:w="7087"/>
            <w:vAlign w:val="top"/>
            <w:shd w:fill="F5F7F8"/>
            <w:tcBorders>
              <w:top w:sz="3" w:val="single" w:color="D9E0E5"/>
              <w:left w:sz="3" w:val="single" w:color="D9E0E5"/>
              <w:bottom w:sz="3" w:val="single" w:color="D9E0E5"/>
              <w:right w:sz="3" w:val="single" w:color="D9E0E5"/>
            </w:tcBorders>
          </w:tcPr>
          <w:p>
            <w:pPr>
              <w:spacing w:after="20"/>
            </w:pPr>
            <w:r>
              <w:rPr>
                <w:sz w:val="17"/>
              </w:rPr>
              <w:t>ASCII-Darstellung internationalisierter Domainnamen.</w:t>
            </w:r>
          </w:p>
        </w:tc>
      </w:tr>
      <w:tr>
        <w:tc>
          <w:tcPr>
            <w:tcW w:type="dxa" w:w="2268"/>
            <w:vAlign w:val="top"/>
            <w:tcBorders>
              <w:top w:sz="3" w:val="single" w:color="D9E0E5"/>
              <w:left w:sz="3" w:val="single" w:color="D9E0E5"/>
              <w:bottom w:sz="3" w:val="single" w:color="D9E0E5"/>
              <w:right w:sz="3" w:val="single" w:color="D9E0E5"/>
            </w:tcBorders>
          </w:tcPr>
          <w:p>
            <w:pPr>
              <w:spacing w:after="20"/>
            </w:pPr>
            <w:r>
              <w:rPr>
                <w:sz w:val="17"/>
              </w:rPr>
              <w:t>Raw Message / Rohmail</w:t>
            </w:r>
          </w:p>
        </w:tc>
        <w:tc>
          <w:tcPr>
            <w:tcW w:type="dxa" w:w="7087"/>
            <w:vAlign w:val="top"/>
            <w:tcBorders>
              <w:top w:sz="3" w:val="single" w:color="D9E0E5"/>
              <w:left w:sz="3" w:val="single" w:color="D9E0E5"/>
              <w:bottom w:sz="3" w:val="single" w:color="D9E0E5"/>
              <w:right w:sz="3" w:val="single" w:color="D9E0E5"/>
            </w:tcBorders>
          </w:tcPr>
          <w:p>
            <w:pPr>
              <w:spacing w:after="20"/>
            </w:pPr>
            <w:r>
              <w:rPr>
                <w:sz w:val="17"/>
              </w:rPr>
              <w:t>Unveränderte Bytefolge der empfangenen Mail.</w:t>
            </w:r>
          </w:p>
        </w:tc>
      </w:tr>
      <w:tr>
        <w:tc>
          <w:tcPr>
            <w:tcW w:type="dxa" w:w="2268"/>
            <w:vAlign w:val="top"/>
            <w:shd w:fill="F5F7F8"/>
            <w:tcBorders>
              <w:top w:sz="3" w:val="single" w:color="D9E0E5"/>
              <w:left w:sz="3" w:val="single" w:color="D9E0E5"/>
              <w:bottom w:sz="3" w:val="single" w:color="D9E0E5"/>
              <w:right w:sz="3" w:val="single" w:color="D9E0E5"/>
            </w:tcBorders>
          </w:tcPr>
          <w:p>
            <w:pPr>
              <w:spacing w:after="20"/>
            </w:pPr>
            <w:r>
              <w:rPr>
                <w:sz w:val="17"/>
              </w:rPr>
              <w:t>SMTP</w:t>
            </w:r>
          </w:p>
        </w:tc>
        <w:tc>
          <w:tcPr>
            <w:tcW w:type="dxa" w:w="7087"/>
            <w:vAlign w:val="top"/>
            <w:shd w:fill="F5F7F8"/>
            <w:tcBorders>
              <w:top w:sz="3" w:val="single" w:color="D9E0E5"/>
              <w:left w:sz="3" w:val="single" w:color="D9E0E5"/>
              <w:bottom w:sz="3" w:val="single" w:color="D9E0E5"/>
              <w:right w:sz="3" w:val="single" w:color="D9E0E5"/>
            </w:tcBorders>
          </w:tcPr>
          <w:p>
            <w:pPr>
              <w:spacing w:after="20"/>
            </w:pPr>
            <w:r>
              <w:rPr>
                <w:sz w:val="17"/>
              </w:rPr>
              <w:t>Protokoll zum Versenden von E-Mails.</w:t>
            </w:r>
          </w:p>
        </w:tc>
      </w:tr>
      <w:tr>
        <w:tc>
          <w:tcPr>
            <w:tcW w:type="dxa" w:w="2268"/>
            <w:vAlign w:val="top"/>
            <w:tcBorders>
              <w:top w:sz="3" w:val="single" w:color="D9E0E5"/>
              <w:left w:sz="3" w:val="single" w:color="D9E0E5"/>
              <w:bottom w:sz="3" w:val="single" w:color="D9E0E5"/>
              <w:right w:sz="3" w:val="single" w:color="D9E0E5"/>
            </w:tcBorders>
          </w:tcPr>
          <w:p>
            <w:pPr>
              <w:spacing w:after="20"/>
            </w:pPr>
            <w:r>
              <w:rPr>
                <w:sz w:val="17"/>
              </w:rPr>
              <w:t>SPF</w:t>
            </w:r>
          </w:p>
        </w:tc>
        <w:tc>
          <w:tcPr>
            <w:tcW w:type="dxa" w:w="7087"/>
            <w:vAlign w:val="top"/>
            <w:tcBorders>
              <w:top w:sz="3" w:val="single" w:color="D9E0E5"/>
              <w:left w:sz="3" w:val="single" w:color="D9E0E5"/>
              <w:bottom w:sz="3" w:val="single" w:color="D9E0E5"/>
              <w:right w:sz="3" w:val="single" w:color="D9E0E5"/>
            </w:tcBorders>
          </w:tcPr>
          <w:p>
            <w:pPr>
              <w:spacing w:after="20"/>
            </w:pPr>
            <w:r>
              <w:rPr>
                <w:sz w:val="17"/>
              </w:rPr>
              <w:t>Sender Policy Framework; autorisiert sendende Server für eine Domain.</w:t>
            </w:r>
          </w:p>
        </w:tc>
      </w:tr>
      <w:tr>
        <w:tc>
          <w:tcPr>
            <w:tcW w:type="dxa" w:w="2268"/>
            <w:vAlign w:val="top"/>
            <w:shd w:fill="F5F7F8"/>
            <w:tcBorders>
              <w:top w:sz="3" w:val="single" w:color="D9E0E5"/>
              <w:left w:sz="3" w:val="single" w:color="D9E0E5"/>
              <w:bottom w:sz="3" w:val="single" w:color="D9E0E5"/>
              <w:right w:sz="3" w:val="single" w:color="D9E0E5"/>
            </w:tcBorders>
          </w:tcPr>
          <w:p>
            <w:pPr>
              <w:spacing w:after="20"/>
            </w:pPr>
            <w:r>
              <w:rPr>
                <w:sz w:val="17"/>
              </w:rPr>
              <w:t>Uncertain State</w:t>
            </w:r>
          </w:p>
        </w:tc>
        <w:tc>
          <w:tcPr>
            <w:tcW w:type="dxa" w:w="7087"/>
            <w:vAlign w:val="top"/>
            <w:shd w:fill="F5F7F8"/>
            <w:tcBorders>
              <w:top w:sz="3" w:val="single" w:color="D9E0E5"/>
              <w:left w:sz="3" w:val="single" w:color="D9E0E5"/>
              <w:bottom w:sz="3" w:val="single" w:color="D9E0E5"/>
              <w:right w:sz="3" w:val="single" w:color="D9E0E5"/>
            </w:tcBorders>
          </w:tcPr>
          <w:p>
            <w:pPr>
              <w:spacing w:after="20"/>
            </w:pPr>
            <w:r>
              <w:rPr>
                <w:sz w:val="17"/>
              </w:rPr>
              <w:t>Zustand, in dem ein Netzabbruch keine sichere Aussage über Erfolg oder Misserfolg erlaubt.</w:t>
            </w:r>
          </w:p>
        </w:tc>
      </w:tr>
    </w:tbl>
    <w:p>
      <w:pPr>
        <w:widowControl w:val="1"/>
      </w:pPr>
    </w:p>
    <w:p>
      <w:pPr>
        <w:pStyle w:val="Heading1"/>
        <w:widowControl w:val="1"/>
      </w:pPr>
      <w:r>
        <w:t>19. Quellen und technische Referenzen</w:t>
      </w:r>
    </w:p>
    <w:p>
      <w:pPr>
        <w:pStyle w:val="BodyText"/>
        <w:widowControl w:val="1"/>
      </w:pPr>
      <w:r>
        <w:t>Die folgenden Quellen dienen als technische Referenz für Protokolle, MIME-Verarbeitung und sichere HTML-Anzeige. Das Lastenheft leitet daraus Anforderungen ab, legt aber keine unkritische Übernahme einzelner Implementierungsdetails fest.</w:t>
      </w:r>
    </w:p>
    <w:p>
      <w:pPr>
        <w:pStyle w:val="BodyText"/>
        <w:widowControl w:val="1"/>
      </w:pPr>
      <w:r>
        <w:rPr>
          <w:b/>
        </w:rPr>
        <w:t xml:space="preserve">[Q1] IETF RFC 1939 - Post Office Protocol - Version 3: </w:t>
      </w:r>
      <w:hyperlink r:id="rId14">
        <w:r>
          <w:rPr>
            <w:color w:val="1B7F86"/>
            <w:u w:val="single"/>
          </w:rPr>
          <w:t>https://datatracker.ietf.org/doc/html/rfc1939</w:t>
        </w:r>
      </w:hyperlink>
    </w:p>
    <w:p>
      <w:pPr>
        <w:pStyle w:val="BodyText"/>
        <w:widowControl w:val="1"/>
      </w:pPr>
      <w:r>
        <w:rPr>
          <w:b/>
        </w:rPr>
        <w:t xml:space="preserve">[Q2] IETF RFC 9051 - Internet Message Access Protocol (IMAP) - Version 4rev2: </w:t>
      </w:r>
      <w:hyperlink r:id="rId15">
        <w:r>
          <w:rPr>
            <w:color w:val="1B7F86"/>
            <w:u w:val="single"/>
          </w:rPr>
          <w:t>https://datatracker.ietf.org/doc/html/rfc9051</w:t>
        </w:r>
      </w:hyperlink>
    </w:p>
    <w:p>
      <w:pPr>
        <w:pStyle w:val="BodyText"/>
        <w:widowControl w:val="1"/>
      </w:pPr>
      <w:r>
        <w:rPr>
          <w:b/>
        </w:rPr>
        <w:t xml:space="preserve">[Q3] IETF RFC 8601 - Message Header Field for Indicating Message Authentication Status: </w:t>
      </w:r>
      <w:hyperlink r:id="rId16">
        <w:r>
          <w:rPr>
            <w:color w:val="1B7F86"/>
            <w:u w:val="single"/>
          </w:rPr>
          <w:t>https://datatracker.ietf.org/doc/html/rfc8601</w:t>
        </w:r>
      </w:hyperlink>
    </w:p>
    <w:p>
      <w:pPr>
        <w:pStyle w:val="BodyText"/>
        <w:widowControl w:val="1"/>
      </w:pPr>
      <w:r>
        <w:rPr>
          <w:b/>
        </w:rPr>
        <w:t xml:space="preserve">[Q4] IETF RFC 7489 - Domain-based Message Authentication, Reporting, and Conformance (DMARC): </w:t>
      </w:r>
      <w:hyperlink r:id="rId17">
        <w:r>
          <w:rPr>
            <w:color w:val="1B7F86"/>
            <w:u w:val="single"/>
          </w:rPr>
          <w:t>https://datatracker.ietf.org/doc/html/rfc7489</w:t>
        </w:r>
      </w:hyperlink>
    </w:p>
    <w:p>
      <w:pPr>
        <w:pStyle w:val="BodyText"/>
        <w:widowControl w:val="1"/>
      </w:pPr>
      <w:r>
        <w:rPr>
          <w:b/>
        </w:rPr>
        <w:t xml:space="preserve">[Q5] MimeKit Documentation - Working with Messages: </w:t>
      </w:r>
      <w:hyperlink r:id="rId18">
        <w:r>
          <w:rPr>
            <w:color w:val="1B7F86"/>
            <w:u w:val="single"/>
          </w:rPr>
          <w:t>https://mimekit.net/docs/html/Working-With-Messages.htm</w:t>
        </w:r>
      </w:hyperlink>
    </w:p>
    <w:p>
      <w:pPr>
        <w:pStyle w:val="BodyText"/>
        <w:widowControl w:val="1"/>
      </w:pPr>
      <w:r>
        <w:rPr>
          <w:b/>
        </w:rPr>
        <w:t xml:space="preserve">[Q6] MimeKit Documentation - MimeMessage: </w:t>
      </w:r>
      <w:hyperlink r:id="rId19">
        <w:r>
          <w:rPr>
            <w:color w:val="1B7F86"/>
            <w:u w:val="single"/>
          </w:rPr>
          <w:t>https://mimekit.net/docs/html/T_MimeKit_MimeMessage.htm</w:t>
        </w:r>
      </w:hyperlink>
    </w:p>
    <w:p>
      <w:pPr>
        <w:pStyle w:val="BodyText"/>
        <w:widowControl w:val="1"/>
      </w:pPr>
      <w:r>
        <w:rPr>
          <w:b/>
        </w:rPr>
        <w:t xml:space="preserve">[Q7] Microsoft - Develop secure WebView2 apps: </w:t>
      </w:r>
      <w:hyperlink r:id="rId20">
        <w:r>
          <w:rPr>
            <w:color w:val="1B7F86"/>
            <w:u w:val="single"/>
          </w:rPr>
          <w:t>https://learn.microsoft.com/en-us/microsoft-edge/webview2/concepts/security</w:t>
        </w:r>
      </w:hyperlink>
    </w:p>
    <w:p>
      <w:pPr>
        <w:pStyle w:val="BodyText"/>
        <w:widowControl w:val="1"/>
      </w:pPr>
      <w:r>
        <w:rPr>
          <w:b/>
        </w:rPr>
        <w:t xml:space="preserve">[Q8] OWASP - Content Security Policy Cheat Sheet: </w:t>
      </w:r>
      <w:hyperlink r:id="rId21">
        <w:r>
          <w:rPr>
            <w:color w:val="1B7F86"/>
            <w:u w:val="single"/>
          </w:rPr>
          <w:t>https://cheatsheetseries.owasp.org/cheatsheets/Content_Security_Policy_Cheat_Sheet.html</w:t>
        </w:r>
      </w:hyperlink>
    </w:p>
    <w:p>
      <w:pPr>
        <w:pStyle w:val="BodyText"/>
        <w:widowControl w:val="1"/>
      </w:pPr>
      <w:r>
        <w:rPr>
          <w:b/>
        </w:rPr>
        <w:t xml:space="preserve">[Q9] OWASP - Logging Cheat Sheet: </w:t>
      </w:r>
      <w:hyperlink r:id="rId22">
        <w:r>
          <w:rPr>
            <w:color w:val="1B7F86"/>
            <w:u w:val="single"/>
          </w:rPr>
          <w:t>https://cheatsheetseries.owasp.org/cheatsheets/Logging_Cheat_Sheet.html</w:t>
        </w:r>
      </w:hyperlink>
    </w:p>
    <w:p>
      <w:pPr>
        <w:pStyle w:val="Heading1"/>
        <w:widowControl w:val="1"/>
      </w:pPr>
      <w:r>
        <w:t>Anhang A - Konsolidierte Prioritätsstatistik</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01"/>
            <w:shd w:fill="12324A"/>
            <w:tcBorders>
              <w:top w:sz="3" w:val="single" w:color="D9E0E5"/>
              <w:left w:sz="3" w:val="single" w:color="D9E0E5"/>
              <w:bottom w:sz="3" w:val="single" w:color="D9E0E5"/>
              <w:right w:sz="3" w:val="single" w:color="D9E0E5"/>
            </w:tcBorders>
          </w:tcPr>
          <w:p>
            <w:r>
              <w:rPr>
                <w:b/>
                <w:color w:val="FFFFFF"/>
                <w:sz w:val="18"/>
              </w:rPr>
              <w:t>Priorität</w:t>
            </w:r>
          </w:p>
        </w:tc>
        <w:tc>
          <w:tcPr>
            <w:tcW w:type="dxa" w:w="1417"/>
            <w:shd w:fill="12324A"/>
            <w:tcBorders>
              <w:top w:sz="3" w:val="single" w:color="D9E0E5"/>
              <w:left w:sz="3" w:val="single" w:color="D9E0E5"/>
              <w:bottom w:sz="3" w:val="single" w:color="D9E0E5"/>
              <w:right w:sz="3" w:val="single" w:color="D9E0E5"/>
            </w:tcBorders>
          </w:tcPr>
          <w:p>
            <w:r>
              <w:rPr>
                <w:b/>
                <w:color w:val="FFFFFF"/>
                <w:sz w:val="18"/>
              </w:rPr>
              <w:t>Anzahl</w:t>
            </w:r>
          </w:p>
        </w:tc>
        <w:tc>
          <w:tcPr>
            <w:tcW w:type="dxa" w:w="6236"/>
            <w:shd w:fill="12324A"/>
            <w:tcBorders>
              <w:top w:sz="3" w:val="single" w:color="D9E0E5"/>
              <w:left w:sz="3" w:val="single" w:color="D9E0E5"/>
              <w:bottom w:sz="3" w:val="single" w:color="D9E0E5"/>
              <w:right w:sz="3" w:val="single" w:color="D9E0E5"/>
            </w:tcBorders>
          </w:tcPr>
          <w:p>
            <w:r>
              <w:rPr>
                <w:b/>
                <w:color w:val="FFFFFF"/>
                <w:sz w:val="18"/>
              </w:rPr>
              <w:t>Bedeutung</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7"/>
              </w:rPr>
              <w:t>MUSS</w:t>
            </w:r>
          </w:p>
        </w:tc>
        <w:tc>
          <w:tcPr>
            <w:tcW w:type="dxa" w:w="1417"/>
            <w:vAlign w:val="top"/>
            <w:tcBorders>
              <w:top w:sz="3" w:val="single" w:color="D9E0E5"/>
              <w:left w:sz="3" w:val="single" w:color="D9E0E5"/>
              <w:bottom w:sz="3" w:val="single" w:color="D9E0E5"/>
              <w:right w:sz="3" w:val="single" w:color="D9E0E5"/>
            </w:tcBorders>
          </w:tcPr>
          <w:p>
            <w:pPr>
              <w:spacing w:after="20"/>
            </w:pPr>
            <w:r>
              <w:rPr>
                <w:sz w:val="17"/>
              </w:rPr>
              <w:t>105</w:t>
            </w:r>
          </w:p>
        </w:tc>
        <w:tc>
          <w:tcPr>
            <w:tcW w:type="dxa" w:w="6236"/>
            <w:vAlign w:val="top"/>
            <w:tcBorders>
              <w:top w:sz="3" w:val="single" w:color="D9E0E5"/>
              <w:left w:sz="3" w:val="single" w:color="D9E0E5"/>
              <w:bottom w:sz="3" w:val="single" w:color="D9E0E5"/>
              <w:right w:sz="3" w:val="single" w:color="D9E0E5"/>
            </w:tcBorders>
          </w:tcPr>
          <w:p>
            <w:pPr>
              <w:spacing w:after="20"/>
            </w:pPr>
            <w:r>
              <w:rPr>
                <w:sz w:val="17"/>
              </w:rPr>
              <w:t>Verbindlicher Umfang für die fachliche Abnahme von Version 1.0.</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7"/>
              </w:rPr>
              <w:t>SOLL</w:t>
            </w:r>
          </w:p>
        </w:tc>
        <w:tc>
          <w:tcPr>
            <w:tcW w:type="dxa" w:w="1417"/>
            <w:vAlign w:val="top"/>
            <w:shd w:fill="F5F7F8"/>
            <w:tcBorders>
              <w:top w:sz="3" w:val="single" w:color="D9E0E5"/>
              <w:left w:sz="3" w:val="single" w:color="D9E0E5"/>
              <w:bottom w:sz="3" w:val="single" w:color="D9E0E5"/>
              <w:right w:sz="3" w:val="single" w:color="D9E0E5"/>
            </w:tcBorders>
          </w:tcPr>
          <w:p>
            <w:pPr>
              <w:spacing w:after="20"/>
            </w:pPr>
            <w:r>
              <w:rPr>
                <w:sz w:val="17"/>
              </w:rPr>
              <w:t>26</w:t>
            </w:r>
          </w:p>
        </w:tc>
        <w:tc>
          <w:tcPr>
            <w:tcW w:type="dxa" w:w="6236"/>
            <w:vAlign w:val="top"/>
            <w:shd w:fill="F5F7F8"/>
            <w:tcBorders>
              <w:top w:sz="3" w:val="single" w:color="D9E0E5"/>
              <w:left w:sz="3" w:val="single" w:color="D9E0E5"/>
              <w:bottom w:sz="3" w:val="single" w:color="D9E0E5"/>
              <w:right w:sz="3" w:val="single" w:color="D9E0E5"/>
            </w:tcBorders>
          </w:tcPr>
          <w:p>
            <w:pPr>
              <w:spacing w:after="20"/>
            </w:pPr>
            <w:r>
              <w:rPr>
                <w:sz w:val="17"/>
              </w:rPr>
              <w:t>Geplanter Umfang; Verschiebung nur mit dokumentierter Begründung und Auswirkungsanalyse.</w:t>
            </w:r>
          </w:p>
        </w:tc>
      </w:tr>
      <w:tr>
        <w:tc>
          <w:tcPr>
            <w:tcW w:type="dxa" w:w="1701"/>
            <w:vAlign w:val="top"/>
            <w:tcBorders>
              <w:top w:sz="3" w:val="single" w:color="D9E0E5"/>
              <w:left w:sz="3" w:val="single" w:color="D9E0E5"/>
              <w:bottom w:sz="3" w:val="single" w:color="D9E0E5"/>
              <w:right w:sz="3" w:val="single" w:color="D9E0E5"/>
            </w:tcBorders>
          </w:tcPr>
          <w:p>
            <w:pPr>
              <w:spacing w:after="20"/>
            </w:pPr>
            <w:r>
              <w:rPr>
                <w:sz w:val="17"/>
              </w:rPr>
              <w:t>KANN</w:t>
            </w:r>
          </w:p>
        </w:tc>
        <w:tc>
          <w:tcPr>
            <w:tcW w:type="dxa" w:w="1417"/>
            <w:vAlign w:val="top"/>
            <w:tcBorders>
              <w:top w:sz="3" w:val="single" w:color="D9E0E5"/>
              <w:left w:sz="3" w:val="single" w:color="D9E0E5"/>
              <w:bottom w:sz="3" w:val="single" w:color="D9E0E5"/>
              <w:right w:sz="3" w:val="single" w:color="D9E0E5"/>
            </w:tcBorders>
          </w:tcPr>
          <w:p>
            <w:pPr>
              <w:spacing w:after="20"/>
            </w:pPr>
            <w:r>
              <w:rPr>
                <w:sz w:val="17"/>
              </w:rPr>
              <w:t>0</w:t>
            </w:r>
          </w:p>
        </w:tc>
        <w:tc>
          <w:tcPr>
            <w:tcW w:type="dxa" w:w="6236"/>
            <w:vAlign w:val="top"/>
            <w:tcBorders>
              <w:top w:sz="3" w:val="single" w:color="D9E0E5"/>
              <w:left w:sz="3" w:val="single" w:color="D9E0E5"/>
              <w:bottom w:sz="3" w:val="single" w:color="D9E0E5"/>
              <w:right w:sz="3" w:val="single" w:color="D9E0E5"/>
            </w:tcBorders>
          </w:tcPr>
          <w:p>
            <w:pPr>
              <w:spacing w:after="20"/>
            </w:pPr>
            <w:r>
              <w:rPr>
                <w:sz w:val="17"/>
              </w:rPr>
              <w:t>Optionale Ergänzung; kein Abnahmehindernis.</w:t>
            </w:r>
          </w:p>
        </w:tc>
      </w:tr>
      <w:tr>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7"/>
              </w:rPr>
              <w:t>Gesamt</w:t>
            </w:r>
          </w:p>
        </w:tc>
        <w:tc>
          <w:tcPr>
            <w:tcW w:type="dxa" w:w="1417"/>
            <w:vAlign w:val="top"/>
            <w:shd w:fill="F5F7F8"/>
            <w:tcBorders>
              <w:top w:sz="3" w:val="single" w:color="D9E0E5"/>
              <w:left w:sz="3" w:val="single" w:color="D9E0E5"/>
              <w:bottom w:sz="3" w:val="single" w:color="D9E0E5"/>
              <w:right w:sz="3" w:val="single" w:color="D9E0E5"/>
            </w:tcBorders>
          </w:tcPr>
          <w:p>
            <w:pPr>
              <w:spacing w:after="20"/>
            </w:pPr>
            <w:r>
              <w:rPr>
                <w:sz w:val="17"/>
              </w:rPr>
              <w:t>131</w:t>
            </w:r>
          </w:p>
        </w:tc>
        <w:tc>
          <w:tcPr>
            <w:tcW w:type="dxa" w:w="6236"/>
            <w:vAlign w:val="top"/>
            <w:shd w:fill="F5F7F8"/>
            <w:tcBorders>
              <w:top w:sz="3" w:val="single" w:color="D9E0E5"/>
              <w:left w:sz="3" w:val="single" w:color="D9E0E5"/>
              <w:bottom w:sz="3" w:val="single" w:color="D9E0E5"/>
              <w:right w:sz="3" w:val="single" w:color="D9E0E5"/>
            </w:tcBorders>
          </w:tcPr>
          <w:p>
            <w:pPr>
              <w:spacing w:after="20"/>
            </w:pPr>
            <w:r>
              <w:rPr>
                <w:sz w:val="17"/>
              </w:rPr>
              <w:t>Funktionale Einzelanforderungen in diesem Lastenheft.</w:t>
            </w:r>
          </w:p>
        </w:tc>
      </w:tr>
    </w:tbl>
    <w:p>
      <w:pPr>
        <w:widowControl w:val="1"/>
      </w:pPr>
    </w:p>
    <w:p>
      <w:pPr>
        <w:pStyle w:val="Heading1"/>
        <w:widowControl w:val="1"/>
      </w:pPr>
      <w:r>
        <w:t>Anhang B - Rückverfolgbarkeit zu Projektzielen</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3402"/>
            <w:shd w:fill="12324A"/>
            <w:tcBorders>
              <w:top w:sz="3" w:val="single" w:color="D9E0E5"/>
              <w:left w:sz="3" w:val="single" w:color="D9E0E5"/>
              <w:bottom w:sz="3" w:val="single" w:color="D9E0E5"/>
              <w:right w:sz="3" w:val="single" w:color="D9E0E5"/>
            </w:tcBorders>
          </w:tcPr>
          <w:p>
            <w:r>
              <w:rPr>
                <w:b/>
                <w:color w:val="FFFFFF"/>
                <w:sz w:val="18"/>
              </w:rPr>
              <w:t>Projektziel</w:t>
            </w:r>
          </w:p>
        </w:tc>
        <w:tc>
          <w:tcPr>
            <w:tcW w:type="dxa" w:w="5953"/>
            <w:shd w:fill="12324A"/>
            <w:tcBorders>
              <w:top w:sz="3" w:val="single" w:color="D9E0E5"/>
              <w:left w:sz="3" w:val="single" w:color="D9E0E5"/>
              <w:bottom w:sz="3" w:val="single" w:color="D9E0E5"/>
              <w:right w:sz="3" w:val="single" w:color="D9E0E5"/>
            </w:tcBorders>
          </w:tcPr>
          <w:p>
            <w:r>
              <w:rPr>
                <w:b/>
                <w:color w:val="FFFFFF"/>
                <w:sz w:val="18"/>
              </w:rPr>
              <w:t>Zuordnungsbereiche</w:t>
            </w:r>
          </w:p>
        </w:tc>
      </w:tr>
      <w:tr>
        <w:tc>
          <w:tcPr>
            <w:tcW w:type="dxa" w:w="3402"/>
            <w:vAlign w:val="top"/>
            <w:tcBorders>
              <w:top w:sz="3" w:val="single" w:color="D9E0E5"/>
              <w:left w:sz="3" w:val="single" w:color="D9E0E5"/>
              <w:bottom w:sz="3" w:val="single" w:color="D9E0E5"/>
              <w:right w:sz="3" w:val="single" w:color="D9E0E5"/>
            </w:tcBorders>
          </w:tcPr>
          <w:p>
            <w:pPr>
              <w:spacing w:after="20"/>
            </w:pPr>
            <w:r>
              <w:rPr>
                <w:sz w:val="17"/>
              </w:rPr>
              <w:t>Vollständiger lokaler Bestand</w:t>
            </w:r>
          </w:p>
        </w:tc>
        <w:tc>
          <w:tcPr>
            <w:tcW w:type="dxa" w:w="5953"/>
            <w:vAlign w:val="top"/>
            <w:tcBorders>
              <w:top w:sz="3" w:val="single" w:color="D9E0E5"/>
              <w:left w:sz="3" w:val="single" w:color="D9E0E5"/>
              <w:bottom w:sz="3" w:val="single" w:color="D9E0E5"/>
              <w:right w:sz="3" w:val="single" w:color="D9E0E5"/>
            </w:tcBorders>
          </w:tcPr>
          <w:p>
            <w:pPr>
              <w:spacing w:after="20"/>
            </w:pPr>
            <w:r>
              <w:rPr>
                <w:sz w:val="17"/>
              </w:rPr>
              <w:t>LF-ABR, LF-DUP, LF-SPR</w:t>
            </w:r>
          </w:p>
        </w:tc>
      </w:tr>
      <w:tr>
        <w:tc>
          <w:tcPr>
            <w:tcW w:type="dxa" w:w="3402"/>
            <w:vAlign w:val="top"/>
            <w:shd w:fill="F5F7F8"/>
            <w:tcBorders>
              <w:top w:sz="3" w:val="single" w:color="D9E0E5"/>
              <w:left w:sz="3" w:val="single" w:color="D9E0E5"/>
              <w:bottom w:sz="3" w:val="single" w:color="D9E0E5"/>
              <w:right w:sz="3" w:val="single" w:color="D9E0E5"/>
            </w:tcBorders>
          </w:tcPr>
          <w:p>
            <w:pPr>
              <w:spacing w:after="20"/>
            </w:pPr>
            <w:r>
              <w:rPr>
                <w:sz w:val="17"/>
              </w:rPr>
              <w:t>Parallelbetrieb mehrerer Clients</w:t>
            </w:r>
          </w:p>
        </w:tc>
        <w:tc>
          <w:tcPr>
            <w:tcW w:type="dxa" w:w="5953"/>
            <w:vAlign w:val="top"/>
            <w:shd w:fill="F5F7F8"/>
            <w:tcBorders>
              <w:top w:sz="3" w:val="single" w:color="D9E0E5"/>
              <w:left w:sz="3" w:val="single" w:color="D9E0E5"/>
              <w:bottom w:sz="3" w:val="single" w:color="D9E0E5"/>
              <w:right w:sz="3" w:val="single" w:color="D9E0E5"/>
            </w:tcBorders>
          </w:tcPr>
          <w:p>
            <w:pPr>
              <w:spacing w:after="20"/>
            </w:pPr>
            <w:r>
              <w:rPr>
                <w:sz w:val="17"/>
              </w:rPr>
              <w:t>LF-ABR-007, LF-VSD-008 bis LF-VSD-012</w:t>
            </w:r>
          </w:p>
        </w:tc>
      </w:tr>
      <w:tr>
        <w:tc>
          <w:tcPr>
            <w:tcW w:type="dxa" w:w="3402"/>
            <w:vAlign w:val="top"/>
            <w:tcBorders>
              <w:top w:sz="3" w:val="single" w:color="D9E0E5"/>
              <w:left w:sz="3" w:val="single" w:color="D9E0E5"/>
              <w:bottom w:sz="3" w:val="single" w:color="D9E0E5"/>
              <w:right w:sz="3" w:val="single" w:color="D9E0E5"/>
            </w:tcBorders>
          </w:tcPr>
          <w:p>
            <w:pPr>
              <w:spacing w:after="20"/>
            </w:pPr>
            <w:r>
              <w:rPr>
                <w:sz w:val="17"/>
              </w:rPr>
              <w:t>Lokales Warnsystem</w:t>
            </w:r>
          </w:p>
        </w:tc>
        <w:tc>
          <w:tcPr>
            <w:tcW w:type="dxa" w:w="5953"/>
            <w:vAlign w:val="top"/>
            <w:tcBorders>
              <w:top w:sz="3" w:val="single" w:color="D9E0E5"/>
              <w:left w:sz="3" w:val="single" w:color="D9E0E5"/>
              <w:bottom w:sz="3" w:val="single" w:color="D9E0E5"/>
              <w:right w:sz="3" w:val="single" w:color="D9E0E5"/>
            </w:tcBorders>
          </w:tcPr>
          <w:p>
            <w:pPr>
              <w:spacing w:after="20"/>
            </w:pPr>
            <w:r>
              <w:rPr>
                <w:sz w:val="17"/>
              </w:rPr>
              <w:t>LF-WAR, LF-DAR, LF-ANH, NF-SEC</w:t>
            </w:r>
          </w:p>
        </w:tc>
      </w:tr>
      <w:tr>
        <w:tc>
          <w:tcPr>
            <w:tcW w:type="dxa" w:w="3402"/>
            <w:vAlign w:val="top"/>
            <w:shd w:fill="F5F7F8"/>
            <w:tcBorders>
              <w:top w:sz="3" w:val="single" w:color="D9E0E5"/>
              <w:left w:sz="3" w:val="single" w:color="D9E0E5"/>
              <w:bottom w:sz="3" w:val="single" w:color="D9E0E5"/>
              <w:right w:sz="3" w:val="single" w:color="D9E0E5"/>
            </w:tcBorders>
          </w:tcPr>
          <w:p>
            <w:pPr>
              <w:spacing w:after="20"/>
            </w:pPr>
            <w:r>
              <w:rPr>
                <w:sz w:val="17"/>
              </w:rPr>
              <w:t>Scientific-S sichtbar machen</w:t>
            </w:r>
          </w:p>
        </w:tc>
        <w:tc>
          <w:tcPr>
            <w:tcW w:type="dxa" w:w="5953"/>
            <w:vAlign w:val="top"/>
            <w:shd w:fill="F5F7F8"/>
            <w:tcBorders>
              <w:top w:sz="3" w:val="single" w:color="D9E0E5"/>
              <w:left w:sz="3" w:val="single" w:color="D9E0E5"/>
              <w:bottom w:sz="3" w:val="single" w:color="D9E0E5"/>
              <w:right w:sz="3" w:val="single" w:color="D9E0E5"/>
            </w:tcBorders>
          </w:tcPr>
          <w:p>
            <w:pPr>
              <w:spacing w:after="20"/>
            </w:pPr>
            <w:r>
              <w:rPr>
                <w:sz w:val="17"/>
              </w:rPr>
              <w:t>LF-SCI, Provenienz, Message Laboratory, Analysis Run</w:t>
            </w:r>
          </w:p>
        </w:tc>
      </w:tr>
      <w:tr>
        <w:tc>
          <w:tcPr>
            <w:tcW w:type="dxa" w:w="3402"/>
            <w:vAlign w:val="top"/>
            <w:tcBorders>
              <w:top w:sz="3" w:val="single" w:color="D9E0E5"/>
              <w:left w:sz="3" w:val="single" w:color="D9E0E5"/>
              <w:bottom w:sz="3" w:val="single" w:color="D9E0E5"/>
              <w:right w:sz="3" w:val="single" w:color="D9E0E5"/>
            </w:tcBorders>
          </w:tcPr>
          <w:p>
            <w:pPr>
              <w:spacing w:after="20"/>
            </w:pPr>
            <w:r>
              <w:rPr>
                <w:sz w:val="17"/>
              </w:rPr>
              <w:t>Späterer UI-Wechsel</w:t>
            </w:r>
          </w:p>
        </w:tc>
        <w:tc>
          <w:tcPr>
            <w:tcW w:type="dxa" w:w="5953"/>
            <w:vAlign w:val="top"/>
            <w:tcBorders>
              <w:top w:sz="3" w:val="single" w:color="D9E0E5"/>
              <w:left w:sz="3" w:val="single" w:color="D9E0E5"/>
              <w:bottom w:sz="3" w:val="single" w:color="D9E0E5"/>
              <w:right w:sz="3" w:val="single" w:color="D9E0E5"/>
            </w:tcBorders>
          </w:tcPr>
          <w:p>
            <w:pPr>
              <w:spacing w:after="20"/>
            </w:pPr>
            <w:r>
              <w:rPr>
                <w:sz w:val="17"/>
              </w:rPr>
              <w:t>LF-UI-002/003/008/009, NF-PORT-001</w:t>
            </w:r>
          </w:p>
        </w:tc>
      </w:tr>
      <w:tr>
        <w:tc>
          <w:tcPr>
            <w:tcW w:type="dxa" w:w="3402"/>
            <w:vAlign w:val="top"/>
            <w:shd w:fill="F5F7F8"/>
            <w:tcBorders>
              <w:top w:sz="3" w:val="single" w:color="D9E0E5"/>
              <w:left w:sz="3" w:val="single" w:color="D9E0E5"/>
              <w:bottom w:sz="3" w:val="single" w:color="D9E0E5"/>
              <w:right w:sz="3" w:val="single" w:color="D9E0E5"/>
            </w:tcBorders>
          </w:tcPr>
          <w:p>
            <w:pPr>
              <w:spacing w:after="20"/>
            </w:pPr>
            <w:r>
              <w:rPr>
                <w:sz w:val="17"/>
              </w:rPr>
              <w:t>Pluginfähigkeit vorbereiten</w:t>
            </w:r>
          </w:p>
        </w:tc>
        <w:tc>
          <w:tcPr>
            <w:tcW w:type="dxa" w:w="5953"/>
            <w:vAlign w:val="top"/>
            <w:shd w:fill="F5F7F8"/>
            <w:tcBorders>
              <w:top w:sz="3" w:val="single" w:color="D9E0E5"/>
              <w:left w:sz="3" w:val="single" w:color="D9E0E5"/>
              <w:bottom w:sz="3" w:val="single" w:color="D9E0E5"/>
              <w:right w:sz="3" w:val="single" w:color="D9E0E5"/>
            </w:tcBorders>
          </w:tcPr>
          <w:p>
            <w:pPr>
              <w:spacing w:after="20"/>
            </w:pPr>
            <w:r>
              <w:rPr>
                <w:sz w:val="17"/>
              </w:rPr>
              <w:t>LF-EXT und LF-WAR-018</w:t>
            </w:r>
          </w:p>
        </w:tc>
      </w:tr>
      <w:tr>
        <w:tc>
          <w:tcPr>
            <w:tcW w:type="dxa" w:w="3402"/>
            <w:vAlign w:val="top"/>
            <w:tcBorders>
              <w:top w:sz="3" w:val="single" w:color="D9E0E5"/>
              <w:left w:sz="3" w:val="single" w:color="D9E0E5"/>
              <w:bottom w:sz="3" w:val="single" w:color="D9E0E5"/>
              <w:right w:sz="3" w:val="single" w:color="D9E0E5"/>
            </w:tcBorders>
          </w:tcPr>
          <w:p>
            <w:pPr>
              <w:spacing w:after="20"/>
            </w:pPr>
            <w:r>
              <w:rPr>
                <w:sz w:val="17"/>
              </w:rPr>
              <w:t>Wartbarkeit und Lernen</w:t>
            </w:r>
          </w:p>
        </w:tc>
        <w:tc>
          <w:tcPr>
            <w:tcW w:type="dxa" w:w="5953"/>
            <w:vAlign w:val="top"/>
            <w:tcBorders>
              <w:top w:sz="3" w:val="single" w:color="D9E0E5"/>
              <w:left w:sz="3" w:val="single" w:color="D9E0E5"/>
              <w:bottom w:sz="3" w:val="single" w:color="D9E0E5"/>
              <w:right w:sz="3" w:val="single" w:color="D9E0E5"/>
            </w:tcBorders>
          </w:tcPr>
          <w:p>
            <w:pPr>
              <w:spacing w:after="20"/>
            </w:pPr>
            <w:r>
              <w:rPr>
                <w:sz w:val="17"/>
              </w:rPr>
              <w:t>NF-WAR, Dokumentationslieferumfang</w:t>
            </w:r>
          </w:p>
        </w:tc>
      </w:tr>
      <w:tr>
        <w:tc>
          <w:tcPr>
            <w:tcW w:type="dxa" w:w="3402"/>
            <w:vAlign w:val="top"/>
            <w:shd w:fill="F5F7F8"/>
            <w:tcBorders>
              <w:top w:sz="3" w:val="single" w:color="D9E0E5"/>
              <w:left w:sz="3" w:val="single" w:color="D9E0E5"/>
              <w:bottom w:sz="3" w:val="single" w:color="D9E0E5"/>
              <w:right w:sz="3" w:val="single" w:color="D9E0E5"/>
            </w:tcBorders>
          </w:tcPr>
          <w:p>
            <w:pPr>
              <w:spacing w:after="20"/>
            </w:pPr>
            <w:r>
              <w:rPr>
                <w:sz w:val="17"/>
              </w:rPr>
              <w:t>Sicherer lokaler Betrieb</w:t>
            </w:r>
          </w:p>
        </w:tc>
        <w:tc>
          <w:tcPr>
            <w:tcW w:type="dxa" w:w="5953"/>
            <w:vAlign w:val="top"/>
            <w:shd w:fill="F5F7F8"/>
            <w:tcBorders>
              <w:top w:sz="3" w:val="single" w:color="D9E0E5"/>
              <w:left w:sz="3" w:val="single" w:color="D9E0E5"/>
              <w:bottom w:sz="3" w:val="single" w:color="D9E0E5"/>
              <w:right w:sz="3" w:val="single" w:color="D9E0E5"/>
            </w:tcBorders>
          </w:tcPr>
          <w:p>
            <w:pPr>
              <w:spacing w:after="20"/>
            </w:pPr>
            <w:r>
              <w:rPr>
                <w:sz w:val="17"/>
              </w:rPr>
              <w:t>LF-BET, NF-DSG, NF-SEC</w:t>
            </w:r>
          </w:p>
        </w:tc>
      </w:tr>
    </w:tbl>
    <w:p>
      <w:pPr>
        <w:widowControl w:val="1"/>
      </w:pPr>
    </w:p>
    <w:p>
      <w:pPr>
        <w:pStyle w:val="Heading1"/>
        <w:widowControl w:val="1"/>
      </w:pPr>
      <w:r>
        <w:t>Anhang C - Empfohlene Dokumente nach Freigabe</w:t>
      </w:r>
    </w:p>
    <w:p>
      <w:pPr>
        <w:pStyle w:val="BodyText"/>
        <w:spacing w:after="60"/>
        <w:ind w:left="397" w:hanging="397"/>
        <w:widowControl w:val="1"/>
      </w:pPr>
      <w:r>
        <w:rPr>
          <w:b/>
          <w:color w:val="1B7F86"/>
        </w:rPr>
        <w:t xml:space="preserve">1. </w:t>
      </w:r>
      <w:r>
        <w:t>Pflichtenheft Version 1.0 mit konkreter Solution-Struktur und Schnittstellen.</w:t>
      </w:r>
    </w:p>
    <w:p>
      <w:pPr>
        <w:pStyle w:val="BodyText"/>
        <w:spacing w:after="60"/>
        <w:ind w:left="397" w:hanging="397"/>
        <w:widowControl w:val="1"/>
      </w:pPr>
      <w:r>
        <w:rPr>
          <w:b/>
          <w:color w:val="1B7F86"/>
        </w:rPr>
        <w:t xml:space="preserve">2. </w:t>
      </w:r>
      <w:r>
        <w:t>Software Architecture Document mit Komponenten-, Sequenz- und Datenmodellen.</w:t>
      </w:r>
    </w:p>
    <w:p>
      <w:pPr>
        <w:pStyle w:val="BodyText"/>
        <w:spacing w:after="60"/>
        <w:ind w:left="397" w:hanging="397"/>
        <w:widowControl w:val="1"/>
      </w:pPr>
      <w:r>
        <w:rPr>
          <w:b/>
          <w:color w:val="1B7F86"/>
        </w:rPr>
        <w:t xml:space="preserve">3. </w:t>
      </w:r>
      <w:r>
        <w:t>ADR-Sammlung, insbesondere POP3-Hybridmodell, Hash-Deduplizierung, HTML-Renderer, Warnsystem und Plugin-Vorbereitung.</w:t>
      </w:r>
    </w:p>
    <w:p>
      <w:pPr>
        <w:pStyle w:val="BodyText"/>
        <w:spacing w:after="60"/>
        <w:ind w:left="397" w:hanging="397"/>
        <w:widowControl w:val="1"/>
      </w:pPr>
      <w:r>
        <w:rPr>
          <w:b/>
          <w:color w:val="1B7F86"/>
        </w:rPr>
        <w:t xml:space="preserve">4. </w:t>
      </w:r>
      <w:r>
        <w:t>Sicherheitskonzept und Threat Model für HTML, URLs, Anhänge, Secrets und Protokolle.</w:t>
      </w:r>
    </w:p>
    <w:p>
      <w:pPr>
        <w:pStyle w:val="BodyText"/>
        <w:spacing w:after="60"/>
        <w:ind w:left="397" w:hanging="397"/>
        <w:widowControl w:val="1"/>
      </w:pPr>
      <w:r>
        <w:rPr>
          <w:b/>
          <w:color w:val="1B7F86"/>
        </w:rPr>
        <w:t xml:space="preserve">5. </w:t>
      </w:r>
      <w:r>
        <w:t>Datenbankdesign mit Migrationen, Indizes und Aufbewahrungsregeln.</w:t>
      </w:r>
    </w:p>
    <w:p>
      <w:pPr>
        <w:pStyle w:val="BodyText"/>
        <w:spacing w:after="60"/>
        <w:ind w:left="397" w:hanging="397"/>
        <w:widowControl w:val="1"/>
      </w:pPr>
      <w:r>
        <w:rPr>
          <w:b/>
          <w:color w:val="1B7F86"/>
        </w:rPr>
        <w:t xml:space="preserve">6. </w:t>
      </w:r>
      <w:r>
        <w:t>UI/UX-Spezifikation für WinForms, Workspaces, Themes und Barrierefreiheit.</w:t>
      </w:r>
    </w:p>
    <w:p>
      <w:pPr>
        <w:pStyle w:val="BodyText"/>
        <w:spacing w:after="60"/>
        <w:ind w:left="397" w:hanging="397"/>
        <w:widowControl w:val="1"/>
      </w:pPr>
      <w:r>
        <w:rPr>
          <w:b/>
          <w:color w:val="1B7F86"/>
        </w:rPr>
        <w:t xml:space="preserve">7. </w:t>
      </w:r>
      <w:r>
        <w:t>Entwicklerhandbuch und Testhandbuch für den neuen Versionszweig.</w:t>
      </w:r>
    </w:p>
    <w:p>
      <w:pPr>
        <w:pStyle w:val="BodyText"/>
        <w:spacing w:after="60"/>
        <w:ind w:left="397" w:hanging="397"/>
        <w:widowControl w:val="1"/>
      </w:pPr>
      <w:r>
        <w:rPr>
          <w:b/>
          <w:color w:val="1B7F86"/>
        </w:rPr>
        <w:t xml:space="preserve">8. </w:t>
      </w:r>
      <w:r>
        <w:t>Benutzer- und Betriebshandbuch einschließlich Backup/Restore und Diagnose.</w:t>
      </w:r>
    </w:p>
    <w:p>
      <w:pPr>
        <w:widowControl w:val="1"/>
      </w:pPr>
      <w:r>
        <w:br w:type="page"/>
      </w:r>
    </w:p>
    <w:p>
      <w:pPr>
        <w:pStyle w:val="Heading1"/>
        <w:widowControl w:val="1"/>
      </w:pPr>
      <w:r>
        <w:t>Schlussformel und Freigabevermerk</w:t>
      </w:r>
    </w:p>
    <w:p>
      <w:pPr>
        <w:pStyle w:val="BodyText"/>
        <w:widowControl w:val="1"/>
      </w:pPr>
      <w:r>
        <w:t>Dieses Lastenheft konsolidiert die bisherigen Planungen zu einem realistischen, aber großen Ziel für SASD Mail Workbench 1.0. Version 1.0 liefert einen vollständigen lokalen Mailarbeitsplatz und macht die SASD-Merkmale Transparenz, Analyse, Reproduzierbarkeit und Erweiterbarkeit sichtbar. Vollständiger IMAP-Sync, Kalender, offene Drittanbieter-Plugins und Cloud-KI bleiben bewusst außerhalb des Releases, damit Zuverlässigkeit und Datensicherheit Vorrang behalten.</w:t>
      </w:r>
    </w:p>
    <w:tbl>
      <w:tblPr>
        <w:tblW w:type="auto" w:w="0"/>
        <w:jc w:val="center"/>
        <w:tblLayout w:type="fixed"/>
        <w:tblLook w:firstColumn="1" w:firstRow="1" w:lastColumn="0" w:lastRow="0" w:noHBand="0" w:noVBand="1" w:val="04A0"/>
      </w:tblPr>
      <w:tblGrid>
        <w:gridCol w:w="9354"/>
      </w:tblGrid>
      <w:tr>
        <w:tc>
          <w:tcPr>
            <w:tcW w:type="dxa" w:w="9858"/>
            <w:shd w:fill="E7F3F3"/>
            <w:tcBorders>
              <w:top w:sz="2" w:val="single" w:color="E7F3F3"/>
              <w:left w:sz="18" w:val="single" w:color="1B7F86"/>
              <w:bottom w:sz="2" w:val="single" w:color="E7F3F3"/>
              <w:right w:sz="2" w:val="single" w:color="E7F3F3"/>
            </w:tcBorders>
          </w:tcPr>
          <w:p>
            <w:r>
              <w:rPr>
                <w:b/>
                <w:color w:val="1B7F86"/>
              </w:rPr>
              <w:t>Empfohlener nächster Schritt</w:t>
            </w:r>
          </w:p>
          <w:p>
            <w:pPr>
              <w:pStyle w:val="BodyText"/>
            </w:pPr>
            <w:r>
              <w:t>Nach fachlicher Prüfung wird dieses Lastenheft freigegeben und in ein Pflichtenheft mit konkreter Solution-Struktur, Datenbankschema, Schnittstellen, Sicherheitsdesign, Testfällen und Meilensteinplanung überführt.</w:t>
            </w:r>
          </w:p>
        </w:tc>
      </w:tr>
    </w:tbl>
    <w:p>
      <w:pPr>
        <w:spacing w:after="0"/>
        <w:widowControl w:val="1"/>
      </w:pPr>
    </w:p>
    <w:p>
      <w:pPr>
        <w:pStyle w:val="Heading2"/>
        <w:widowControl w:val="1"/>
      </w:pPr>
      <w:r>
        <w:t>Freigabe</w:t>
      </w:r>
    </w:p>
    <w:tbl>
      <w:tblPr>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984"/>
            <w:shd w:fill="12324A"/>
            <w:tcBorders>
              <w:top w:sz="3" w:val="single" w:color="D9E0E5"/>
              <w:left w:sz="3" w:val="single" w:color="D9E0E5"/>
              <w:bottom w:sz="3" w:val="single" w:color="D9E0E5"/>
              <w:right w:sz="3" w:val="single" w:color="D9E0E5"/>
            </w:tcBorders>
          </w:tcPr>
          <w:p>
            <w:r>
              <w:rPr>
                <w:b/>
                <w:color w:val="FFFFFF"/>
                <w:sz w:val="18"/>
              </w:rPr>
              <w:t>Rolle</w:t>
            </w:r>
          </w:p>
        </w:tc>
        <w:tc>
          <w:tcPr>
            <w:tcW w:type="dxa" w:w="2835"/>
            <w:shd w:fill="12324A"/>
            <w:tcBorders>
              <w:top w:sz="3" w:val="single" w:color="D9E0E5"/>
              <w:left w:sz="3" w:val="single" w:color="D9E0E5"/>
              <w:bottom w:sz="3" w:val="single" w:color="D9E0E5"/>
              <w:right w:sz="3" w:val="single" w:color="D9E0E5"/>
            </w:tcBorders>
          </w:tcPr>
          <w:p>
            <w:r>
              <w:rPr>
                <w:b/>
                <w:color w:val="FFFFFF"/>
                <w:sz w:val="18"/>
              </w:rPr>
              <w:t>Name / Organisation</w:t>
            </w:r>
          </w:p>
        </w:tc>
        <w:tc>
          <w:tcPr>
            <w:tcW w:type="dxa" w:w="1701"/>
            <w:shd w:fill="12324A"/>
            <w:tcBorders>
              <w:top w:sz="3" w:val="single" w:color="D9E0E5"/>
              <w:left w:sz="3" w:val="single" w:color="D9E0E5"/>
              <w:bottom w:sz="3" w:val="single" w:color="D9E0E5"/>
              <w:right w:sz="3" w:val="single" w:color="D9E0E5"/>
            </w:tcBorders>
          </w:tcPr>
          <w:p>
            <w:r>
              <w:rPr>
                <w:b/>
                <w:color w:val="FFFFFF"/>
                <w:sz w:val="18"/>
              </w:rPr>
              <w:t>Datum</w:t>
            </w:r>
          </w:p>
        </w:tc>
        <w:tc>
          <w:tcPr>
            <w:tcW w:type="dxa" w:w="2835"/>
            <w:shd w:fill="12324A"/>
            <w:tcBorders>
              <w:top w:sz="3" w:val="single" w:color="D9E0E5"/>
              <w:left w:sz="3" w:val="single" w:color="D9E0E5"/>
              <w:bottom w:sz="3" w:val="single" w:color="D9E0E5"/>
              <w:right w:sz="3" w:val="single" w:color="D9E0E5"/>
            </w:tcBorders>
          </w:tcPr>
          <w:p>
            <w:r>
              <w:rPr>
                <w:b/>
                <w:color w:val="FFFFFF"/>
                <w:sz w:val="18"/>
              </w:rPr>
              <w:t>Freigabe / Bemerkung</w:t>
            </w:r>
          </w:p>
        </w:tc>
      </w:tr>
      <w:tr>
        <w:tc>
          <w:tcPr>
            <w:tcW w:type="dxa" w:w="1984"/>
            <w:vAlign w:val="top"/>
            <w:tcBorders>
              <w:top w:sz="3" w:val="single" w:color="D9E0E5"/>
              <w:left w:sz="3" w:val="single" w:color="D9E0E5"/>
              <w:bottom w:sz="3" w:val="single" w:color="D9E0E5"/>
              <w:right w:sz="3" w:val="single" w:color="D9E0E5"/>
            </w:tcBorders>
          </w:tcPr>
          <w:p>
            <w:pPr>
              <w:spacing w:after="20"/>
            </w:pPr>
            <w:r>
              <w:rPr>
                <w:sz w:val="17"/>
              </w:rPr>
              <w:t>Product Owner</w:t>
            </w:r>
          </w:p>
        </w:tc>
        <w:tc>
          <w:tcPr>
            <w:tcW w:type="dxa" w:w="2835"/>
            <w:vAlign w:val="top"/>
            <w:tcBorders>
              <w:top w:sz="3" w:val="single" w:color="D9E0E5"/>
              <w:left w:sz="3" w:val="single" w:color="D9E0E5"/>
              <w:bottom w:sz="3" w:val="single" w:color="D9E0E5"/>
              <w:right w:sz="3" w:val="single" w:color="D9E0E5"/>
            </w:tcBorders>
          </w:tcPr>
          <w:p>
            <w:pPr>
              <w:spacing w:after="20"/>
            </w:pPr>
            <w:r>
              <w:rPr>
                <w:sz w:val="17"/>
              </w:rPr>
              <w:t>SASD-GmbH</w:t>
            </w:r>
          </w:p>
        </w:tc>
        <w:tc>
          <w:tcPr>
            <w:tcW w:type="dxa" w:w="1701"/>
            <w:vAlign w:val="top"/>
            <w:tcBorders>
              <w:top w:sz="3" w:val="single" w:color="D9E0E5"/>
              <w:left w:sz="3" w:val="single" w:color="D9E0E5"/>
              <w:bottom w:sz="3" w:val="single" w:color="D9E0E5"/>
              <w:right w:sz="3" w:val="single" w:color="D9E0E5"/>
            </w:tcBorders>
          </w:tcPr>
          <w:p>
            <w:pPr>
              <w:spacing w:after="20"/>
            </w:pPr>
            <w:r>
              <w:rPr>
                <w:sz w:val="17"/>
              </w:rPr>
            </w:r>
          </w:p>
        </w:tc>
        <w:tc>
          <w:tcPr>
            <w:tcW w:type="dxa" w:w="2835"/>
            <w:vAlign w:val="top"/>
            <w:tcBorders>
              <w:top w:sz="3" w:val="single" w:color="D9E0E5"/>
              <w:left w:sz="3" w:val="single" w:color="D9E0E5"/>
              <w:bottom w:sz="3" w:val="single" w:color="D9E0E5"/>
              <w:right w:sz="3" w:val="single" w:color="D9E0E5"/>
            </w:tcBorders>
          </w:tcPr>
          <w:p>
            <w:pPr>
              <w:spacing w:after="20"/>
            </w:pPr>
            <w:r>
              <w:rPr>
                <w:sz w:val="17"/>
              </w:rPr>
            </w:r>
          </w:p>
        </w:tc>
      </w:tr>
      <w:tr>
        <w:tc>
          <w:tcPr>
            <w:tcW w:type="dxa" w:w="1984"/>
            <w:vAlign w:val="top"/>
            <w:shd w:fill="F5F7F8"/>
            <w:tcBorders>
              <w:top w:sz="3" w:val="single" w:color="D9E0E5"/>
              <w:left w:sz="3" w:val="single" w:color="D9E0E5"/>
              <w:bottom w:sz="3" w:val="single" w:color="D9E0E5"/>
              <w:right w:sz="3" w:val="single" w:color="D9E0E5"/>
            </w:tcBorders>
          </w:tcPr>
          <w:p>
            <w:pPr>
              <w:spacing w:after="20"/>
            </w:pPr>
            <w:r>
              <w:rPr>
                <w:sz w:val="17"/>
              </w:rPr>
              <w:t>Technische Prüfung</w:t>
            </w:r>
          </w:p>
        </w:tc>
        <w:tc>
          <w:tcPr>
            <w:tcW w:type="dxa" w:w="2835"/>
            <w:vAlign w:val="top"/>
            <w:shd w:fill="F5F7F8"/>
            <w:tcBorders>
              <w:top w:sz="3" w:val="single" w:color="D9E0E5"/>
              <w:left w:sz="3" w:val="single" w:color="D9E0E5"/>
              <w:bottom w:sz="3" w:val="single" w:color="D9E0E5"/>
              <w:right w:sz="3" w:val="single" w:color="D9E0E5"/>
            </w:tcBorders>
          </w:tcPr>
          <w:p>
            <w:pPr>
              <w:spacing w:after="20"/>
            </w:pPr>
            <w:r>
              <w:rPr>
                <w:sz w:val="17"/>
              </w:rPr>
            </w:r>
          </w:p>
        </w:tc>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7"/>
              </w:rPr>
            </w:r>
          </w:p>
        </w:tc>
        <w:tc>
          <w:tcPr>
            <w:tcW w:type="dxa" w:w="2835"/>
            <w:vAlign w:val="top"/>
            <w:shd w:fill="F5F7F8"/>
            <w:tcBorders>
              <w:top w:sz="3" w:val="single" w:color="D9E0E5"/>
              <w:left w:sz="3" w:val="single" w:color="D9E0E5"/>
              <w:bottom w:sz="3" w:val="single" w:color="D9E0E5"/>
              <w:right w:sz="3" w:val="single" w:color="D9E0E5"/>
            </w:tcBorders>
          </w:tcPr>
          <w:p>
            <w:pPr>
              <w:spacing w:after="20"/>
            </w:pPr>
            <w:r>
              <w:rPr>
                <w:sz w:val="17"/>
              </w:rPr>
            </w:r>
          </w:p>
        </w:tc>
      </w:tr>
      <w:tr>
        <w:tc>
          <w:tcPr>
            <w:tcW w:type="dxa" w:w="1984"/>
            <w:vAlign w:val="top"/>
            <w:tcBorders>
              <w:top w:sz="3" w:val="single" w:color="D9E0E5"/>
              <w:left w:sz="3" w:val="single" w:color="D9E0E5"/>
              <w:bottom w:sz="3" w:val="single" w:color="D9E0E5"/>
              <w:right w:sz="3" w:val="single" w:color="D9E0E5"/>
            </w:tcBorders>
          </w:tcPr>
          <w:p>
            <w:pPr>
              <w:spacing w:after="20"/>
            </w:pPr>
            <w:r>
              <w:rPr>
                <w:sz w:val="17"/>
              </w:rPr>
              <w:t>Sicherheitsprüfung</w:t>
            </w:r>
          </w:p>
        </w:tc>
        <w:tc>
          <w:tcPr>
            <w:tcW w:type="dxa" w:w="2835"/>
            <w:vAlign w:val="top"/>
            <w:tcBorders>
              <w:top w:sz="3" w:val="single" w:color="D9E0E5"/>
              <w:left w:sz="3" w:val="single" w:color="D9E0E5"/>
              <w:bottom w:sz="3" w:val="single" w:color="D9E0E5"/>
              <w:right w:sz="3" w:val="single" w:color="D9E0E5"/>
            </w:tcBorders>
          </w:tcPr>
          <w:p>
            <w:pPr>
              <w:spacing w:after="20"/>
            </w:pPr>
            <w:r>
              <w:rPr>
                <w:sz w:val="17"/>
              </w:rPr>
            </w:r>
          </w:p>
        </w:tc>
        <w:tc>
          <w:tcPr>
            <w:tcW w:type="dxa" w:w="1701"/>
            <w:vAlign w:val="top"/>
            <w:tcBorders>
              <w:top w:sz="3" w:val="single" w:color="D9E0E5"/>
              <w:left w:sz="3" w:val="single" w:color="D9E0E5"/>
              <w:bottom w:sz="3" w:val="single" w:color="D9E0E5"/>
              <w:right w:sz="3" w:val="single" w:color="D9E0E5"/>
            </w:tcBorders>
          </w:tcPr>
          <w:p>
            <w:pPr>
              <w:spacing w:after="20"/>
            </w:pPr>
            <w:r>
              <w:rPr>
                <w:sz w:val="17"/>
              </w:rPr>
            </w:r>
          </w:p>
        </w:tc>
        <w:tc>
          <w:tcPr>
            <w:tcW w:type="dxa" w:w="2835"/>
            <w:vAlign w:val="top"/>
            <w:tcBorders>
              <w:top w:sz="3" w:val="single" w:color="D9E0E5"/>
              <w:left w:sz="3" w:val="single" w:color="D9E0E5"/>
              <w:bottom w:sz="3" w:val="single" w:color="D9E0E5"/>
              <w:right w:sz="3" w:val="single" w:color="D9E0E5"/>
            </w:tcBorders>
          </w:tcPr>
          <w:p>
            <w:pPr>
              <w:spacing w:after="20"/>
            </w:pPr>
            <w:r>
              <w:rPr>
                <w:sz w:val="17"/>
              </w:rPr>
            </w:r>
          </w:p>
        </w:tc>
      </w:tr>
      <w:tr>
        <w:tc>
          <w:tcPr>
            <w:tcW w:type="dxa" w:w="1984"/>
            <w:vAlign w:val="top"/>
            <w:shd w:fill="F5F7F8"/>
            <w:tcBorders>
              <w:top w:sz="3" w:val="single" w:color="D9E0E5"/>
              <w:left w:sz="3" w:val="single" w:color="D9E0E5"/>
              <w:bottom w:sz="3" w:val="single" w:color="D9E0E5"/>
              <w:right w:sz="3" w:val="single" w:color="D9E0E5"/>
            </w:tcBorders>
          </w:tcPr>
          <w:p>
            <w:pPr>
              <w:spacing w:after="20"/>
            </w:pPr>
            <w:r>
              <w:rPr>
                <w:sz w:val="17"/>
              </w:rPr>
              <w:t>Test / Qualität</w:t>
            </w:r>
          </w:p>
        </w:tc>
        <w:tc>
          <w:tcPr>
            <w:tcW w:type="dxa" w:w="2835"/>
            <w:vAlign w:val="top"/>
            <w:shd w:fill="F5F7F8"/>
            <w:tcBorders>
              <w:top w:sz="3" w:val="single" w:color="D9E0E5"/>
              <w:left w:sz="3" w:val="single" w:color="D9E0E5"/>
              <w:bottom w:sz="3" w:val="single" w:color="D9E0E5"/>
              <w:right w:sz="3" w:val="single" w:color="D9E0E5"/>
            </w:tcBorders>
          </w:tcPr>
          <w:p>
            <w:pPr>
              <w:spacing w:after="20"/>
            </w:pPr>
            <w:r>
              <w:rPr>
                <w:sz w:val="17"/>
              </w:rPr>
            </w:r>
          </w:p>
        </w:tc>
        <w:tc>
          <w:tcPr>
            <w:tcW w:type="dxa" w:w="1701"/>
            <w:vAlign w:val="top"/>
            <w:shd w:fill="F5F7F8"/>
            <w:tcBorders>
              <w:top w:sz="3" w:val="single" w:color="D9E0E5"/>
              <w:left w:sz="3" w:val="single" w:color="D9E0E5"/>
              <w:bottom w:sz="3" w:val="single" w:color="D9E0E5"/>
              <w:right w:sz="3" w:val="single" w:color="D9E0E5"/>
            </w:tcBorders>
          </w:tcPr>
          <w:p>
            <w:pPr>
              <w:spacing w:after="20"/>
            </w:pPr>
            <w:r>
              <w:rPr>
                <w:sz w:val="17"/>
              </w:rPr>
            </w:r>
          </w:p>
        </w:tc>
        <w:tc>
          <w:tcPr>
            <w:tcW w:type="dxa" w:w="2835"/>
            <w:vAlign w:val="top"/>
            <w:shd w:fill="F5F7F8"/>
            <w:tcBorders>
              <w:top w:sz="3" w:val="single" w:color="D9E0E5"/>
              <w:left w:sz="3" w:val="single" w:color="D9E0E5"/>
              <w:bottom w:sz="3" w:val="single" w:color="D9E0E5"/>
              <w:right w:sz="3" w:val="single" w:color="D9E0E5"/>
            </w:tcBorders>
          </w:tcPr>
          <w:p>
            <w:pPr>
              <w:spacing w:after="20"/>
            </w:pPr>
            <w:r>
              <w:rPr>
                <w:sz w:val="17"/>
              </w:rPr>
            </w:r>
          </w:p>
        </w:tc>
      </w:tr>
    </w:tbl>
    <w:p>
      <w:pPr>
        <w:widowControl w:val="1"/>
      </w:pPr>
    </w:p>
    <w:p>
      <w:pPr>
        <w:pStyle w:val="BodyText"/>
        <w:widowControl w:val="1"/>
      </w:pPr>
      <w:r>
        <w:t>Mit der Freigabe werden die MUSS-Anforderungen zur verbindlichen Grundlage der weiteren Planung. Änderungen nach Freigabe sind über Änderungsantrag, Auswirkungsanalyse und dokumentierte Versionsanpassung nachzuführen.</w:t>
      </w:r>
    </w:p>
    <w:sectPr w:rsidR="00FC693F" w:rsidRPr="0006063C" w:rsidSect="00034616">
      <w:headerReference w:type="default" r:id="rId9"/>
      <w:footerReference w:type="default" r:id="rId10"/>
      <w:pgSz w:w="12240" w:h="15840"/>
      <w:pgMar w:top="1134" w:right="1191" w:bottom="1020"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873"/>
        <w:sz w:val="16"/>
      </w:rPr>
      <w:t xml:space="preserve">SASD-GmbH | Konsolidierter Entwurf | 12. Juli 2026     </w:t>
    </w:r>
    <w:r>
      <w:rPr>
        <w:color w:val="5C6873"/>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873"/>
        <w:sz w:val="16"/>
      </w:rPr>
      <w:t>SASD Mail Workbench | Lastenheft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2324A"/>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B7F86"/>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232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spacing w:after="4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ASD">
    <w:name w:val="Subtitle SASD"/>
    <w:rPr>
      <w:rFonts w:ascii="Aptos" w:hAnsi="Aptos"/>
      <w:color w:val="1B7F86"/>
      <w:sz w:val="30"/>
    </w:rPr>
  </w:style>
  <w:style w:type="paragraph" w:customStyle="1" w:styleId="SmallNote">
    <w:name w:val="Small Note"/>
    <w:rPr>
      <w:rFonts w:ascii="Aptos" w:hAnsi="Aptos"/>
      <w:color w:val="5C68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atatracker.ietf.org/doc/html/rfc1939" TargetMode="External"/><Relationship Id="rId15" Type="http://schemas.openxmlformats.org/officeDocument/2006/relationships/hyperlink" Target="https://datatracker.ietf.org/doc/html/rfc9051" TargetMode="External"/><Relationship Id="rId16" Type="http://schemas.openxmlformats.org/officeDocument/2006/relationships/hyperlink" Target="https://datatracker.ietf.org/doc/html/rfc8601" TargetMode="External"/><Relationship Id="rId17" Type="http://schemas.openxmlformats.org/officeDocument/2006/relationships/hyperlink" Target="https://datatracker.ietf.org/doc/html/rfc7489" TargetMode="External"/><Relationship Id="rId18" Type="http://schemas.openxmlformats.org/officeDocument/2006/relationships/hyperlink" Target="https://mimekit.net/docs/html/Working-With-Messages.htm" TargetMode="External"/><Relationship Id="rId19" Type="http://schemas.openxmlformats.org/officeDocument/2006/relationships/hyperlink" Target="https://mimekit.net/docs/html/T_MimeKit_MimeMessage.htm" TargetMode="External"/><Relationship Id="rId20" Type="http://schemas.openxmlformats.org/officeDocument/2006/relationships/hyperlink" Target="https://learn.microsoft.com/en-us/microsoft-edge/webview2/concepts/security" TargetMode="External"/><Relationship Id="rId21" Type="http://schemas.openxmlformats.org/officeDocument/2006/relationships/hyperlink" Target="https://cheatsheetseries.owasp.org/cheatsheets/Content_Security_Policy_Cheat_Sheet.html" TargetMode="External"/><Relationship Id="rId22" Type="http://schemas.openxmlformats.org/officeDocument/2006/relationships/hyperlink" Target="https://cheatsheetseries.owasp.org/cheatsheets/Logging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SASD Mail Workbench - Lastenheft Version 1.0</dc:title>
  <dc:subject>Fachliche Anforderungen für SASD Mail Workbench 1.0.0</dc:subject>
  <dc:creator>SASD-GmbH</dc:creator>
  <cp:keywords>Mailclient, POP3, SMTP, IMAP, WinForms, SQLite, Deduplizierung, Warnsystem, Scientific</cp:keywords>
  <dc:description>generated by python-docx</dc:description>
  <cp:lastModifiedBy/>
  <cp:revision>1</cp:revision>
  <dcterms:created xsi:type="dcterms:W3CDTF">2013-12-23T23:15:00Z</dcterms:created>
  <dcterms:modified xsi:type="dcterms:W3CDTF">2013-12-23T23:15:00Z</dcterms:modified>
  <cp:category/>
</cp:coreProperties>
</file>