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a1a2e"/>
          <w:sz w:val="56"/>
          <w:szCs w:val="56"/>
        </w:rPr>
        <w:t xml:space="preserve">Enterprise AI Data Analytics Portal</w:t>
      </w:r>
    </w:p>
    <w:p>
      <w:pPr>
        <w:spacing w:after="200" w:before="200"/>
        <w:jc w:val="center"/>
      </w:pPr>
      <w:r>
        <w:rPr>
          <w:color w:val="4c5fd5"/>
          <w:sz w:val="32"/>
          <w:szCs w:val="32"/>
        </w:rPr>
        <w:t xml:space="preserve">Algorithmic Data Flows — Diagram Pack</w:t>
      </w:r>
    </w:p>
    <w:p>
      <w:pPr>
        <w:spacing w:before="400"/>
        <w:jc w:val="center"/>
      </w:pPr>
      <w:r>
        <w:rPr>
          <w:i/>
          <w:iCs/>
          <w:color w:val="555555"/>
          <w:sz w:val="20"/>
          <w:szCs w:val="20"/>
        </w:rPr>
        <w:t xml:space="preserve">Low-level pipelines: chunking, embeddings, cosine similarity, dynamic pruning, FK expansion, and AST-based SQL validation.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80" w:before="400"/>
      </w:pPr>
      <w:r>
        <w:t xml:space="preserve">1. RAG Ingestion — Turning Documents into Searchable Vectors</w:t>
      </w:r>
    </w:p>
    <w:p>
      <w:pPr>
        <w:spacing w:after="160"/>
      </w:pPr>
      <w:r>
        <w:t xml:space="preserve">This happens ahead of time, whenever a new policy document is added to docs/.</w:t>
      </w:r>
    </w:p>
    <w:p>
      <w:pPr>
        <w:spacing w:after="60" w:before="120"/>
        <w:jc w:val="center"/>
      </w:pPr>
      <w:r>
        <w:drawing>
          <wp:inline distT="0" distB="0" distL="0" distR="0">
            <wp:extent cx="603504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 — Chunking and embedding pipeline for policy documents.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Chunking: RecursiveCharacterTextSplitter tries \n\n (paragraphs) first, then \n, then spaces — so it never cuts a sentence in half.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chunk_size = 500 characters, chunk_overlap = 50 characters, so a concept spanning a chunk boundary isn't lost.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chunk is embedded with gemini-embedding-001 into a 1536-dimension vector, using Matryoshka Representation Learning (MRL) to truncate efficiently without losing much meaning.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Vectors + text are stored in Supabase via pgvector, across two auto-created tables: langchain_pg_collection (metadata) and langchain_pg_embedding (vectors + payload).</w:t>
      </w:r>
    </w:p>
    <w:p>
      <w:pPr>
        <w:pStyle w:val="Heading1"/>
        <w:spacing w:after="180" w:before="400"/>
      </w:pPr>
      <w:r>
        <w:t xml:space="preserve">2. RAG Retrieval — Answering a Policy Question at Runtime</w:t>
      </w:r>
    </w:p>
    <w:p>
      <w:pPr>
        <w:spacing w:after="60" w:before="120"/>
        <w:jc w:val="center"/>
      </w:pPr>
      <w:r>
        <w:drawing>
          <wp:inline distT="0" distB="0" distL="0" distR="0">
            <wp:extent cx="5852160" cy="42519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 — Cosine-similarity retrieval when a user asks a policy question.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user's question is embedded with the same model into the same 1536-D space — call this vector Q⃗.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Cosine similarity compares Q⃗ to every stored chunk vector D⃗ᵢ: similarity = (Q⃗·D⃗ᵢ) / (|Q⃗||D⃗ᵢ|).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pgvector's &lt;=&gt; operator returns cosine distance, so the query computes 1 − (embedding &lt;=&gt; query_vector) to sort by similarity descending.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Top-K = 4: only the 4 closest chunks are kept, joined with a '---' delimiter, and injected into the Gemini prompt as ground-truth facts.</w:t>
      </w:r>
    </w:p>
    <w:p>
      <w:pPr>
        <w:pStyle w:val="Heading1"/>
        <w:spacing w:after="180" w:before="400"/>
      </w:pPr>
      <w:r>
        <w:t xml:space="preserve">3. Semantic Schema Retrieval — Picking the Right Tables</w:t>
      </w:r>
    </w:p>
    <w:p>
      <w:pPr>
        <w:spacing w:after="160"/>
      </w:pPr>
      <w:r>
        <w:t xml:space="preserve">Solves “context window flooding”: an enterprise DB can have hundreds of tables, so the system must narrow down to a relevant handful before writing SQL.</w:t>
      </w:r>
    </w:p>
    <w:p>
      <w:pPr>
        <w:spacing w:after="60" w:before="120"/>
        <w:jc w:val="center"/>
      </w:pPr>
      <w:r>
        <w:drawing>
          <wp:inline distT="0" distB="0" distL="0" distR="0">
            <wp:extent cx="5852160" cy="60350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 — Dynamic relative pruning and 1-hop FK expansion.</w:t>
      </w:r>
    </w:p>
    <w:p>
      <w:pPr>
        <w:pStyle w:val="Heading2"/>
        <w:spacing w:after="120" w:before="260"/>
      </w:pPr>
      <w:r>
        <w:t xml:space="preserve">3.1 Dynamic Relative Pruning (the 0.16 delta rule)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fixed absolute cutoff (e.g. “keep everything above 0.6”) doesn't work well, because short vs. long queries produce very different baseline similarity scores.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Absolute floor: if the single best-matching table scores below 0.15, the query is treated as noise and only that one table is returned.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Relative window: otherwise, every table scoring within 0.16 of the top score is kept — e.g. a 0.85 top score keeps anything ≥ 0.69.</w:t>
      </w:r>
    </w:p>
    <w:p>
      <w:pPr>
        <w:pStyle w:val="Heading2"/>
        <w:spacing w:after="120" w:before="260"/>
      </w:pPr>
      <w:r>
        <w:t xml:space="preserve">3.2 1-Hop Foreign Key Expansion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Semantic search alone can miss “bridge” tables — e.g. asking about order totals may not mention order_items by name.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 every semantically-selected table, its direct Foreign Key neighbors are considered for inclusion.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FK_FLOOR_THRESHOLD = 0.20: a neighbor is only added if it already had at least some baseline semantic relevance (≥ 0.20) — otherwise a highly-connected table like users would drag in dozens of irrelevant tables.</w:t>
      </w:r>
    </w:p>
    <w:p>
      <w:pPr>
        <w:pStyle w:val="Heading2"/>
        <w:spacing w:after="120" w:before="260"/>
      </w:pPr>
      <w:r>
        <w:t xml:space="preserve">3.3 Hard Capping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final table list is capped at MAX_TABLES = 8, with direct semantic matches prioritized over FK-expanded ones.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TABLE statements for just those tables are extracted and inserted into the LLM's system prompt.</w:t>
      </w:r>
    </w:p>
    <w:p>
      <w:pPr>
        <w:pStyle w:val="Heading1"/>
        <w:spacing w:after="180" w:before="400"/>
      </w:pPr>
      <w:r>
        <w:t xml:space="preserve">4. SQL Generation — AST Validation &amp; Auto-Correction</w:t>
      </w:r>
    </w:p>
    <w:p>
      <w:pPr>
        <w:spacing w:after="160"/>
      </w:pPr>
      <w:r>
        <w:t xml:space="preserve">Once the AI has its pruned schema, it writes SQL — which then has to be proven safe and correct before it ever touches the database.</w:t>
      </w:r>
    </w:p>
    <w:p>
      <w:pPr>
        <w:spacing w:after="60" w:before="120"/>
        <w:jc w:val="center"/>
      </w:pPr>
      <w:r>
        <w:drawing>
          <wp:inline distT="0" distB="0" distL="0" distR="0">
            <wp:extent cx="5669280" cy="53949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4 — AST parsing, three-lane column correction, and the healer retry loop.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sqlglot parses the raw SQL string into an Abstract Syntax Tree (AST) and resolves aliases (e.g. “FROM users u” → u = users).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Column node is checked, in order, against three lanes: (1) does it already match the real schema, (2) is it in the hardcoded _COLUMN_SYNONYMS dictionary (e.g. quantity → qty), (3) does difflib.get_close_matches() find an ≥85% fuzzy match (e.g. prod_id → product_id).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85% was chosen deliberately — a looser threshold risks silently mapping something like user_id to order_id, which would corrupt results instead of fixing them.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execution still fails after correction, the failed SQL, the Postgres error, and the schema are sent to a secondary “Healer” Gemini call, retried up to MAX_RETRIES = 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 success, rows go into a Pandas DataFrame, and summary stats (sum, mean, nunique) are computed in code — never by the LLM — which is the basis of the zero-hallucination guarantee.</w:t>
      </w:r>
    </w:p>
    <w:p>
      <w:pPr>
        <w:pStyle w:val="Heading1"/>
        <w:spacing w:after="180" w:before="400"/>
      </w:pPr>
      <w:r>
        <w:t xml:space="preserve">5. End-to-End Walkthrough</w:t>
      </w:r>
    </w:p>
    <w:p>
      <w:pPr>
        <w:spacing w:after="160"/>
      </w:pPr>
      <w:r>
        <w:t xml:space="preserve">Tying every stage together with the concrete example from the spec: “Which region sold the most units?”</w:t>
      </w:r>
    </w:p>
    <w:p>
      <w:pPr>
        <w:spacing w:after="60" w:before="120"/>
        <w:jc w:val="center"/>
      </w:pPr>
      <w:r>
        <w:drawing>
          <wp:inline distT="0" distB="0" distL="0" distR="0">
            <wp:extent cx="5669280" cy="48920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5 — A single query traced through table routing, SQL generation, and correction.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Table routing picks regions (0.85) and sales (0.82) directly, drops employees (0.60, below the 0.69 window), then pulls in order_items via FK expansion because its own score (0.30) clears the 0.20 floor.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AI writes SQL referencing oi.quantity, which doesn't exist; fuzzy matching silently rewrites it to oi.qty before execution.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final payload to the frontend is the exact DataFrame, a programmatically computed sum, and a ready-to-render Plotly bar chart definition.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c23a0b40aa33fe54bbdbb5381c78537bc16d742.png"/><Relationship Id="rId8" Type="http://schemas.openxmlformats.org/officeDocument/2006/relationships/image" Target="media/a0cc5ce7ff0869ebd2b87282a288f629fd3210ac.png"/><Relationship Id="rId9" Type="http://schemas.openxmlformats.org/officeDocument/2006/relationships/image" Target="media/cfaf21f125cf1d957f424878675e1a81e1af367c.png"/><Relationship Id="rId10" Type="http://schemas.openxmlformats.org/officeDocument/2006/relationships/image" Target="media/4c1afe4925b6b4a96841deaaf5d3530234ef8e7f.png"/><Relationship Id="rId11" Type="http://schemas.openxmlformats.org/officeDocument/2006/relationships/image" Target="media/57482b42fad14ccbec7d6eaa2f7fdcc5de5ffc5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2026-07-09T07:30:20.228Z</dcterms:created>
  <dcterms:modified xsi:type="dcterms:W3CDTF">2026-07-09T07:30:20.237Z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