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1a2e"/>
          <w:sz w:val="56"/>
          <w:szCs w:val="56"/>
        </w:rPr>
        <w:t xml:space="preserve">Enterprise AI Data Analytics Portal</w:t>
      </w:r>
    </w:p>
    <w:p>
      <w:pPr>
        <w:spacing w:after="200" w:before="200"/>
        <w:jc w:val="center"/>
      </w:pPr>
      <w:r>
        <w:rPr>
          <w:color w:val="4c5fd5"/>
          <w:sz w:val="32"/>
          <w:szCs w:val="32"/>
        </w:rPr>
        <w:t xml:space="preserve">File &amp; Directory Map</w:t>
      </w:r>
    </w:p>
    <w:p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 xml:space="preserve">A complete manifesto of the codebase — use this to quickly locate logic, endpoints, or UI components.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Directory Structure Overview</w:t>
      </w:r>
    </w:p>
    <w:p>
      <w:pPr>
        <w:spacing w:after="160"/>
      </w:pPr>
      <w:r>
        <w:t xml:space="preserve">This map covers every significant directory in the project: the core backend at root, the AI tools module, the React frontend, automation scripts, and the data/docs/evals support directories.</w:t>
      </w:r>
    </w:p>
    <w:p>
      <w:pPr>
        <w:spacing w:after="60" w:before="120"/>
        <w:jc w:val="center"/>
      </w:pPr>
      <w:r>
        <w:drawing>
          <wp:inline distT="0" distB="0" distL="0" distR="0">
            <wp:extent cx="6035040" cy="49377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Complete project directory structure.</w:t>
      </w:r>
    </w:p>
    <w:p>
      <w:pPr>
        <w:pStyle w:val="Heading1"/>
        <w:spacing w:after="160" w:before="360"/>
      </w:pPr>
      <w:r>
        <w:t xml:space="preserve">2. Root Directory ( / )</w:t>
      </w:r>
    </w:p>
    <w:p>
      <w:pPr>
        <w:spacing w:after="160"/>
      </w:pPr>
      <w:r>
        <w:t xml:space="preserve">Houses the core backend engine, orchestration logic, and configuration.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api.py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FastAPI server. Defines all HTTP routes (/api/chat/stream, /api/tables, /api/report/generate, etc.). Handles CORS, database connection pooling setup, server lifecycle events (auto-syncing schema on startup), and the critical “Ground Truth Override” logic that intercepts hallucinations before they reach the frontend.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AI Orchestration Engine. Initializes the LangChain agent with Google Gemini Pro, defines the system prompt, binds the specific tools (sql_tool, rag_tool, etc.) to the LLM, and manages conversational memory (ConversationBufferMemory).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Centralized Settings Manager. Uses python-dotenv to load environment variables, defines absolute paths for critical directories (DATA_DIR, DOCS_DIR, OUTPUTS_DIR), and configures the Supabase PostgreSQL connection strings and SMTP email credentials.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main.py / app.py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 Interface Scripts. Let developers run the AI agent directly in the terminal for testing, without spinning up the FastAPI server or React frontend.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.env / .env.example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variable files. Store secrets like GOOGLE_API_KEY, SUPABASE_DB_URL, and SMTP passwords.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dependencies — e.g. fastapi, langchain, sqlglot, pandas, sqlalchemy.</w:t>
            </w:r>
          </w:p>
        </w:tc>
      </w:tr>
    </w:tbl>
    <w:p>
      <w:pPr>
        <w:pStyle w:val="Heading1"/>
        <w:spacing w:after="160" w:before="360"/>
      </w:pPr>
      <w:r>
        <w:t xml:space="preserve">3. tools/ Directory</w:t>
      </w:r>
    </w:p>
    <w:p>
      <w:pPr>
        <w:spacing w:after="160"/>
      </w:pPr>
      <w:r>
        <w:t xml:space="preserve">Contains the specific “skills” granted to the LangChain AI agent.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sql_tool.py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read-only SQL execution engine. Strict regex guardrails block DML/DDL commands. Uses sqlglot to parse the AI's SQL into an AST, cross-references it with live database columns, and uses fuzzy matching to auto-correct hallucinated column names (e.g. quantity → qty). Includes a self-correcting loop that asks Gemini to fix syntax errors up to 3 times.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schema_retriever.py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Semantic Table Router. Uses pgvector to semantically match a user's question to relevant table descriptions in Supabase. Performs a 1-hop Foreign Key expansion (via schema_relationships) to find related tables, capping context to 8 tables to prevent prompt flooding.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rag_tool.py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Policy Knowledge Base. Uses pgvector to perform similarity searches over text files in docs/, retrieving chunks of unstructured policy data to augment the AI's context.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visualizer_tool.py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Chart Generator. Accepts a pandas DataFrame and instructions from the AI to generate Plotly JSON objects (for the UI) or static image files (for email reports).</w:t>
            </w:r>
          </w:p>
        </w:tc>
      </w:tr>
    </w:tbl>
    <w:p>
      <w:pPr>
        <w:pStyle w:val="Heading1"/>
        <w:spacing w:after="160" w:before="360"/>
      </w:pPr>
      <w:r>
        <w:t xml:space="preserve">4. frontend/ Directory</w:t>
      </w:r>
    </w:p>
    <w:p>
      <w:pPr>
        <w:spacing w:after="160"/>
      </w:pPr>
      <w:r>
        <w:t xml:space="preserve">The React-based user interface.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dependencies: React, Plotly.js, Lucide-React.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src/App.js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monolithic main component. Manages global React state, handles the SSE connection for the real-time chat stream, and orchestrates transitions between the three main views: Chat View, Data Explorer View, and Dashboard View.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src/LandingPage.js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UI for the initial welcome/onboarding screen.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src/LoginPage.js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 UI components.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src/App.css &amp; index.css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CSS stylesheets defining the premium “glassmorphism” aesthetic, dark themes, flexbox layouts, and micro-animations.</w:t>
            </w:r>
          </w:p>
        </w:tc>
      </w:tr>
    </w:tbl>
    <w:p>
      <w:pPr>
        <w:pStyle w:val="Heading1"/>
        <w:spacing w:after="160" w:before="360"/>
      </w:pPr>
      <w:r>
        <w:t xml:space="preserve">5. scripts/ Directory</w:t>
      </w:r>
    </w:p>
    <w:p>
      <w:pPr>
        <w:spacing w:after="160"/>
      </w:pPr>
      <w:r>
        <w:t xml:space="preserve">Standalone scripts for setup, automation, and database migration.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migrate_to_supabase.py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Pushes existing local SQLite data into the cloud PostgreSQL Supabase instance.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sync_schema.py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Uploads Foreign Key relationship mappings to the schema_relationships table in Supabase, so all backend instances can perform graph traversal without rebuilding it.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embed_schema.py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high-dimensional vector embeddings for table descriptions and stores them in Supabase for schema_retriever.py to use.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cron_report_sender.py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background job script that triggers the AI to generate a comprehensive HTML data report and emails it via SMTP.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generate_master_data.py / create_users_db.py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Scripts used to seed local testing databases with dummy retail and user data.</w:t>
            </w:r>
          </w:p>
        </w:tc>
      </w:tr>
    </w:tbl>
    <w:p>
      <w:pPr>
        <w:pStyle w:val="Heading1"/>
        <w:spacing w:after="160" w:before="360"/>
      </w:pPr>
      <w:r>
        <w:t xml:space="preserve">6. data/ Directory</w:t>
      </w:r>
    </w:p>
    <w:p>
      <w:pPr>
        <w:spacing w:after="160"/>
      </w:pPr>
      <w:r>
        <w:t xml:space="preserve">Stores structural metadata and local data files.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schema_metadata.json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raw JSON file that manually defines the Foreign Key relationships between tables (the “Star Schema”). sync_schema.py reads this file to populate the cloud database.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.db / .csv files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Various local data files used for the SQLite fallback mode.</w:t>
            </w:r>
          </w:p>
        </w:tc>
      </w:tr>
    </w:tbl>
    <w:p>
      <w:pPr>
        <w:pStyle w:val="Heading1"/>
        <w:spacing w:after="160" w:before="360"/>
      </w:pPr>
      <w:r>
        <w:t xml:space="preserve">7. docs/ Directory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*.txt files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Unstructured text files — e.g. Employee Handbooks, Discount Approval Policies, Product Catalogs. rag_tool.py chunks and embeds these files so the AI can answer policy-related questions.</w:t>
            </w:r>
          </w:p>
        </w:tc>
      </w:tr>
    </w:tbl>
    <w:p>
      <w:pPr>
        <w:pStyle w:val="Heading1"/>
        <w:spacing w:after="160" w:before="360"/>
      </w:pPr>
      <w:r>
        <w:t xml:space="preserve">8. evals/ Directory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evaluation scripts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scripts designed to test and benchmark the accuracy of the AI — e.g. testing whether the generated SQL structurally matches the expected output without throwing runtime errors.</w:t>
            </w:r>
          </w:p>
        </w:tc>
      </w:tr>
    </w:tbl>
    <w:p>
      <w:pPr>
        <w:pStyle w:val="Heading1"/>
        <w:spacing w:after="160" w:before="360"/>
      </w:pPr>
      <w:r>
        <w:t xml:space="preserve">9. Quick Lookup — “Where do I find…?”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Item</w:t>
            </w:r>
          </w:p>
        </w:tc>
        <w:tc>
          <w:tcPr>
            <w:tcW w:type="dxa" w:w="69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...an API endpoint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api.py (root)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...how the LLM is prompted / which tools it has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(root)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...SQL safety / self-healing logic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tools/sql_tool.py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...how tables get selected for a query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tools/schema_retriever.py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...policy document Q&amp;A logic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tools/rag_tool.py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...chart generation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tools/visualizer_tool.py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...the chat UI / SSE handling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frontend/src/App.js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...the FK / Star Schema definition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data/schema_metadata.json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...the daily email report job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scripts/cron_report_sender.py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...secrets / API keys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.env (root, not committed)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...accuracy testing / benchmarks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evals/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a8314bd281935000c7d85295051a1e231020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2026-07-08T05:51:15.426Z</dcterms:created>
  <dcterms:modified xsi:type="dcterms:W3CDTF">2026-07-08T05:51:15.438Z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