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a1a2e"/>
          <w:sz w:val="56"/>
          <w:szCs w:val="56"/>
        </w:rPr>
        <w:t xml:space="preserve">Enterprise AI Data Analytics Portal</w:t>
      </w:r>
    </w:p>
    <w:p>
      <w:pPr>
        <w:spacing w:after="200" w:before="200"/>
        <w:jc w:val="center"/>
      </w:pPr>
      <w:r>
        <w:rPr>
          <w:color w:val="4c5fd5"/>
          <w:sz w:val="32"/>
          <w:szCs w:val="32"/>
        </w:rPr>
        <w:t xml:space="preserve">Knowledge Transfer &amp; Handover Document</w:t>
      </w:r>
    </w:p>
    <w:p>
      <w:pPr>
        <w:spacing w:before="400"/>
        <w:jc w:val="center"/>
      </w:pPr>
      <w:r>
        <w:rPr>
          <w:i/>
          <w:iCs/>
          <w:color w:val="555555"/>
          <w:sz w:val="22"/>
          <w:szCs w:val="22"/>
        </w:rPr>
        <w:t xml:space="preserve">Prepared for incoming engineering owner(s)</w:t>
      </w:r>
    </w:p>
    <w:p>
      <w:pPr>
        <w:spacing w:before="100"/>
        <w:jc w:val="center"/>
      </w:pPr>
      <w:r>
        <w:rPr>
          <w:color w:val="555555"/>
          <w:sz w:val="20"/>
          <w:szCs w:val="20"/>
        </w:rPr>
        <w:t xml:space="preserve">Covers: architecture, module responsibilities, data flows, AI agent internals, and operational notes.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1. Application Overview</w:t>
      </w:r>
    </w:p>
    <w:p>
      <w:pPr>
        <w:spacing w:after="160"/>
      </w:pPr>
      <w:r>
        <w:t xml:space="preserve">The Enterprise AI Data Analytics Portal is an Agentic Data Analyst: a full-stack, cloud-integrated platform that lets non-technical business users — executives, sales managers, marketers — query relational data using plain English instead of SQL, BI tools, or IT tickets.</w:t>
      </w:r>
    </w:p>
    <w:p>
      <w:pPr>
        <w:spacing w:after="160"/>
      </w:pPr>
      <w:r>
        <w:t xml:space="preserve">It is powered by the Google Gemini Pro LLM and backed by a hardened PostgreSQL cloud database (Supabase). The system translates business questions into safe, optimized SQL, executes them, and returns human-readable insights and interactive charts in real time.</w:t>
      </w:r>
    </w:p>
    <w:p>
      <w:pPr>
        <w:pStyle w:val="Heading2"/>
        <w:spacing w:after="120" w:before="260"/>
      </w:pPr>
      <w:r>
        <w:t xml:space="preserve">1.1 Problem It Solves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The data bottleneck — </w:t>
      </w:r>
      <w:r>
        <w:t xml:space="preserve">business leaders need fast answers, but data teams are overwhelmed with ad-hoc reporting requests.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Siloed knowledge — </w:t>
      </w:r>
      <w:r>
        <w:t xml:space="preserve">quantitative data (sales numbers) is rarely connected to qualitative rules (discount policies, handbooks).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Trust and hallucinations — </w:t>
      </w:r>
      <w:r>
        <w:t xml:space="preserve">most AI tools invent numbers. This system uses a deterministic validation engine to guarantee zero-hallucination quantitative reporting by executing verified, read-only SQL rather than letting the LLM state figures directly.</w:t>
      </w:r>
    </w:p>
    <w:p>
      <w:pPr>
        <w:pStyle w:val="Heading2"/>
        <w:spacing w:after="120" w:before="260"/>
      </w:pPr>
      <w:r>
        <w:t xml:space="preserve">1.2 Core Features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Conversational AI Assistant — </w:t>
      </w:r>
      <w:r>
        <w:t xml:space="preserve">natural-language chat that streams a live “Thought Trace,” auto-joins tables via the Star Schema, and renders Plotly.js charts inline.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Analytical Data Explorer — </w:t>
      </w:r>
      <w:r>
        <w:t xml:space="preserve">a data grid for browsing raw tables, plus a one-click AI Data Quality Scan that returns a structured JSON list of anomalies.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Executive Reporting &amp; Dashboarding — </w:t>
      </w:r>
      <w:r>
        <w:t xml:space="preserve">on-the-fly aggregated charts with LLM-written 3-sentence insights, plus an automated daily HTML report emailed via SMTP.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AI Policy Hub (RAG) — </w:t>
      </w:r>
      <w:r>
        <w:t xml:space="preserve">uploaded .txt policy documents (handbooks, discount rules) are retrieved via pgvector similarity search and blended with structured sales data to answer policy questions.</w:t>
      </w:r>
    </w:p>
    <w:p>
      <w:pPr>
        <w:pStyle w:val="Heading2"/>
        <w:spacing w:after="120" w:before="260"/>
      </w:pPr>
      <w:r>
        <w:t xml:space="preserve">1.3 User Personas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30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Usage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Executive / C-Suite / VP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daily email reports and quick chat-based KPI checks.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/ Marketing Manager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for trend spotting; chat for drilling into regional anomalies.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Engineer / Admin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Explorer for AI Quality Scans; monitors generated SQL and schema health.</w:t>
            </w:r>
          </w:p>
        </w:tc>
      </w:tr>
    </w:tbl>
    <w:p>
      <w:pPr>
        <w:pStyle w:val="Heading1"/>
        <w:spacing w:after="160" w:before="360"/>
      </w:pPr>
      <w:r>
        <w:t xml:space="preserve">2. System Architecture</w:t>
      </w:r>
    </w:p>
    <w:p>
      <w:pPr>
        <w:spacing w:after="160"/>
      </w:pPr>
      <w:r>
        <w:t xml:space="preserve">The application is split into three layers: a React frontend, a FastAPI backend/orchestration layer, and an AI orchestration + data layer built on LangChain, Gemini, and Supabase (Postgres + pgvector).</w:t>
      </w:r>
    </w:p>
    <w:p>
      <w:pPr>
        <w:spacing w:after="60" w:before="120"/>
        <w:jc w:val="center"/>
      </w:pPr>
      <w:r>
        <w:drawing>
          <wp:inline distT="0" distB="0" distL="0" distR="0">
            <wp:extent cx="5852160" cy="40233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High-level system architecture across the three layers.</w:t>
      </w:r>
    </w:p>
    <w:p>
      <w:pPr>
        <w:pStyle w:val="Heading2"/>
        <w:spacing w:after="120" w:before="260"/>
      </w:pPr>
      <w:r>
        <w:t xml:space="preserve">2.1 Layer Responsibilities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Frontend (React) — </w:t>
      </w:r>
      <w:r>
        <w:t xml:space="preserve">manages state, renders data grids and Plotly charts, and consumes Server-Sent Events (SSE) for real-time AI “typing” / thought traces.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Backend API (FastAPI) — </w:t>
      </w:r>
      <w:r>
        <w:t xml:space="preserve">orchestration layer exposing REST endpoints and SSE streams, handling DB connection pooling, and parsing AI responses before they reach the frontend.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AI Orchestration &amp; Data Layer (LangChain + Supabase) — </w:t>
      </w:r>
      <w:r>
        <w:t xml:space="preserve">LangChain coordinates Gemini Pro, which is equipped with specialized tools for SQL, RAG, and chart generation; all data lives in Supabase (Postgres + pgvector).</w:t>
      </w:r>
    </w:p>
    <w:p>
      <w:pPr>
        <w:pStyle w:val="Heading1"/>
        <w:spacing w:after="160" w:before="360"/>
      </w:pPr>
      <w:r>
        <w:t xml:space="preserve">3. Module &amp; File Responsibilities</w:t>
      </w:r>
    </w:p>
    <w:p>
      <w:pPr>
        <w:spacing w:after="60" w:before="120"/>
        <w:jc w:val="center"/>
      </w:pPr>
      <w:r>
        <w:drawing>
          <wp:inline distT="0" distB="0" distL="0" distR="0">
            <wp:extent cx="6035040" cy="43891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Codebase module map.</w:t>
      </w:r>
    </w:p>
    <w:p>
      <w:pPr>
        <w:pStyle w:val="Heading2"/>
        <w:spacing w:after="120" w:before="260"/>
      </w:pPr>
      <w:r>
        <w:t xml:space="preserve">3.1 Core Backend &amp; API Layer (root directory)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api.py — </w:t>
      </w:r>
      <w:r>
        <w:t xml:space="preserve">the main FastAPI server and primary Frontend–Backend interface. Defines all REST endpoints (/api/databases, /api/tables, /api/dashboard/*, /api/report/*) and the critical SSE endpoint /api/chat/stream. Implements a lifespan event that auto-syncs schema relationships to Supabase on startup, and “Ground-Truth Override” logic that intercepts LLM hallucinations and replaces them with actual SQL results.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app.py / main.py — </w:t>
      </w:r>
      <w:r>
        <w:t xml:space="preserve">entry points for running the backend or an interactive terminal CLI version of the AI agent without the React frontend.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agent.py — </w:t>
      </w:r>
      <w:r>
        <w:t xml:space="preserve">the AI orchestration engine. Initializes the LangChain agent with Gemini Pro, binds the SQL/RAG/Visualizer tools to the LLM, and manages conversational memory.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config.py — </w:t>
      </w:r>
      <w:r>
        <w:t xml:space="preserve">centralized configuration: environment variables, database URI construction, and SQLAlchemy connection-pooling settings.</w:t>
      </w:r>
    </w:p>
    <w:p>
      <w:pPr>
        <w:pStyle w:val="Heading2"/>
        <w:spacing w:after="120" w:before="260"/>
      </w:pPr>
      <w:r>
        <w:t xml:space="preserve">3.2 AI Tools Module (/tools/)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sql_tool.py — </w:t>
      </w:r>
      <w:r>
        <w:t xml:space="preserve">bridges the AI and the relational database; executes AI-generated SQL securely (read-only validated) and caches the exact result set in last_query_dataframe. See Section 4.1 for the full flow.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rag_tool.py — </w:t>
      </w:r>
      <w:r>
        <w:t xml:space="preserve">semantic search engine over unstructured policy documents using pgvector. See Section 4.2.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schema_retriever.py — </w:t>
      </w:r>
      <w:r>
        <w:t xml:space="preserve">the “mental map” builder — in-memory Foreign Key graph traversal so the AI knows how to JOIN tables correctly. See Section 4.3.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visualizer_tool.py — </w:t>
      </w:r>
      <w:r>
        <w:t xml:space="preserve">takes pandas DataFrames and generates Plotly JSON objects or static image files per the AI's instructions.</w:t>
      </w:r>
    </w:p>
    <w:p>
      <w:pPr>
        <w:pStyle w:val="Heading2"/>
        <w:spacing w:after="120" w:before="260"/>
      </w:pPr>
      <w:r>
        <w:t xml:space="preserve">3.3 Initialization &amp; Automation Scripts (/scripts/)</w:t>
      </w:r>
    </w:p>
    <w:p>
      <w:pPr>
        <w:spacing w:after="160"/>
      </w:pPr>
      <w:r>
        <w:t xml:space="preserve">Used for setup, migration, and background tasks; not called by the frontend during normal operation.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migrate_to_supabase.py — migrates local SQLite data to the cloud PostgreSQL instance.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sync_schema.py — reads data/schema_metadata.json and pushes FK relationships to the schema_relationships table so all backend instances share the same schema graph.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embed_schema.py — generates vector embeddings for table descriptions and stores them via pgvector.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cron_report_sender.py — background script that uses the AI to generate a daily HTML executive summary and emails it via SMTP.</w:t>
      </w:r>
    </w:p>
    <w:p>
      <w:pPr>
        <w:pStyle w:val="Heading2"/>
        <w:spacing w:after="120" w:before="260"/>
      </w:pPr>
      <w:r>
        <w:t xml:space="preserve">3.4 Frontend Module (/frontend/src/)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App.js — </w:t>
      </w:r>
      <w:r>
        <w:t xml:space="preserve">the monolithic main application component. Manages global state (current database, chat history, active view), handles the SSE connection to /api/chat/stream, and orchestrates transitions between Chat, Data Explorer, and Dashboard views.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LandingPage.js / LoginPage.js — </w:t>
      </w:r>
      <w:r>
        <w:t xml:space="preserve">initial entry and authentication UI components.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index.css / App.css — </w:t>
      </w:r>
      <w:r>
        <w:t xml:space="preserve">vanilla CSS defining the “Glassmorphism” dark-mode aesthetic.</w:t>
      </w:r>
    </w:p>
    <w:p>
      <w:pPr>
        <w:pStyle w:val="Heading1"/>
        <w:spacing w:after="160" w:before="360"/>
      </w:pPr>
      <w:r>
        <w:t xml:space="preserve">4. AI Agents &amp; Tools — Deep Dive</w:t>
      </w:r>
    </w:p>
    <w:p>
      <w:pPr>
        <w:spacing w:after="160"/>
      </w:pPr>
      <w:r>
        <w:t xml:space="preserve">These three tools are the specialized capabilities bound to the Gemini LLM. When the agent decides it needs to act, it invokes one of these.</w:t>
      </w:r>
    </w:p>
    <w:p>
      <w:pPr>
        <w:pStyle w:val="Heading2"/>
        <w:spacing w:after="120" w:before="260"/>
      </w:pPr>
      <w:r>
        <w:t xml:space="preserve">4.1 SQL Agent (tools/sql_tool.py)</w:t>
      </w:r>
    </w:p>
    <w:p>
      <w:pPr>
        <w:spacing w:after="160"/>
      </w:pPr>
      <w:r>
        <w:t xml:space="preserve">Not a simple passthrough — a defensive, self-correcting, read-only SQL execution engine designed to prevent data corruption and eliminate hallucinations.</w:t>
      </w:r>
    </w:p>
    <w:p>
      <w:pPr>
        <w:spacing w:after="60" w:before="120"/>
        <w:jc w:val="center"/>
      </w:pPr>
      <w:r>
        <w:drawing>
          <wp:inline distT="0" distB="0" distL="0" distR="0">
            <wp:extent cx="475488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 — SQL agent self-correcting execution flow.</w:t>
      </w:r>
    </w:p>
    <w:p>
      <w:pPr>
        <w:pStyle w:val="Heading3"/>
        <w:spacing w:after="100" w:before="200"/>
      </w:pPr>
      <w:r>
        <w:t xml:space="preserve">Flow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Read-Only Guardrail: strict regex inspects the first token; blocks all DML/DDL (DROP, DELETE, UPDATE, INSERT, ALTER, etc.) — only SELECT proceeds.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Deterministic AST Validation: the query is parsed via sqlglot; every table/column reference is cross-checked against the live schema through SQLAlchemy.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Auto-Correction: hallucinated column names (e.g. quantity vs qty) are fixed using hardcoded synonyms plus difflib fuzzy matching at an 85% threshold.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Execution &amp; Self-Healing: validated SQL runs against Supabase (or SQLite locally, using ATTACH DATABASE for multi-file joins). On failure, the error/schema/failed SQL go to a dedicated “Healer” Gemini call, retried up to MAX_RETRIES = 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Zero-Hallucination Output: raw rows become a Pandas DataFrame; a deterministic Python/Pandas summary (sums, averages, unique counts) is generated — not the LLM — and cached in last_query_dataframe so the API can inject the verified table directly, bypassing the LLM.</w:t>
      </w:r>
    </w:p>
    <w:p>
      <w:pPr>
        <w:pStyle w:val="Heading2"/>
        <w:spacing w:after="120" w:before="260"/>
      </w:pPr>
      <w:r>
        <w:t xml:space="preserve">4.2 RAG Agent (tools/rag_tool.py)</w:t>
      </w:r>
    </w:p>
    <w:p>
      <w:pPr>
        <w:spacing w:after="160"/>
      </w:pPr>
      <w:r>
        <w:t xml:space="preserve">Connects the AI to unstructured corporate knowledge — .txt policy manuals and product guidelines in the docs/ folder.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Ingestion &amp; Chunking: LangChain's TextLoader loads files; RecursiveCharacterTextSplitter splits into overlapping chunks (size 500, overlap 50).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Embedding: chunks are embedded with Google's gemini-embedding-001, truncated to 1536 dimensions via Matryoshka Representation Learning (MRL).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Storage: cloud mode pushes embeddings to a pgvector store on the same Supabase instance as the relational data (no separate vector DB); local mode falls back to an in-memory NumPy cosine-similarity store.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Retrieval: the user query is embedded, top k = 4 relevant chunks are retrieved, and formatted with source filenames before being fed to the LLM.</w:t>
      </w:r>
    </w:p>
    <w:p>
      <w:pPr>
        <w:pStyle w:val="Heading2"/>
        <w:spacing w:after="120" w:before="260"/>
      </w:pPr>
      <w:r>
        <w:t xml:space="preserve">4.3 Schema Retriever (tools/schema_retriever.py)</w:t>
      </w:r>
    </w:p>
    <w:p>
      <w:pPr>
        <w:spacing w:after="160"/>
      </w:pPr>
      <w:r>
        <w:t xml:space="preserve">Acts as a Semantic Table Router: with hundreds of tables in a typical enterprise DB, feeding the full schema into every prompt wastes tokens and confuses the model, so this component identifies exactly which tables a given query needs.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Semantic Search: embeds the user query with gemini-embedding-001 and searches the table_embeddings table in Supabase (system tables like langchain_pg_collection are excluded).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Dynamic Relative Pruning: keeps all tables within a 0.16 similarity delta of the top match — more robust than a fixed absolute threshold. If the top score is below 0.15 (pure noise), only the single top table is returned.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1-Hop Star Schema Expansion: using the FK graph in schema_relationships, adjacent tables are pulled in only if their own base semantic score is ≥ 0.20, preventing irrelevant bridge tables from leaking 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Hard Capping: the final table list is capped at MAX_TABLES = 8; SQLAlchemy's inspect() then builds a lightweight “Core Schema” block (CREATE TABLE definitions, PKs, FKs) for those tables, injected into the system prompt.</w:t>
      </w:r>
    </w:p>
    <w:p>
      <w:pPr>
        <w:pStyle w:val="Heading1"/>
        <w:spacing w:after="160" w:before="360"/>
      </w:pPr>
      <w:r>
        <w:t xml:space="preserve">5. Key Frontend–Backend Data Flows</w:t>
      </w:r>
    </w:p>
    <w:p>
      <w:pPr>
        <w:spacing w:after="160"/>
      </w:pPr>
      <w:r>
        <w:t xml:space="preserve">Four interactions matter most when working on the UI or API layer.</w:t>
      </w:r>
    </w:p>
    <w:p>
      <w:pPr>
        <w:spacing w:after="60" w:before="120"/>
        <w:jc w:val="center"/>
      </w:pPr>
      <w:r>
        <w:drawing>
          <wp:inline distT="0" distB="0" distL="0" distR="0">
            <wp:extent cx="6035040" cy="3840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 — Chat stream (SSE) sequence.</w:t>
      </w:r>
    </w:p>
    <w:p>
      <w:pPr>
        <w:pStyle w:val="Heading2"/>
        <w:spacing w:after="120" w:before="260"/>
      </w:pPr>
      <w:r>
        <w:t xml:space="preserve">5.1 The Chat Stream — POST /api/chat/stream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Trigger: user submits a chat message.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Transport: Server-Sent Events (SSE); the UI listens for streamed chunks.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Payload types: {type: "tool_call"} → render a Thought Trace indicator (e.g. “AI is querying the database…”); {type: "tool_result"} → raw tool output; {type: "response", content, plotly_json, tokens} → final Markdown answer, rendered with react-plotly.js if plotly_json is present.</w:t>
      </w:r>
    </w:p>
    <w:p>
      <w:pPr>
        <w:pStyle w:val="Heading2"/>
        <w:spacing w:after="120" w:before="260"/>
      </w:pPr>
      <w:r>
        <w:t xml:space="preserve">5.2 AI Data Quality Scan — POST /api/tables/{table_name}/ai-scan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Trigger: user clicks “Run AI Audit” on a table in the Data Explorer.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action: pulls a sample of rows, sends them to Gemini, and requests anomaly detection.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Response shape: [{title, severity, description, recommendation, affected}] — render as warning cards or an audit panel.</w:t>
      </w:r>
    </w:p>
    <w:p>
      <w:pPr>
        <w:pStyle w:val="Heading2"/>
        <w:spacing w:after="120" w:before="260"/>
      </w:pPr>
      <w:r>
        <w:t xml:space="preserve">5.3 Chat Suggestions — GET /api/chat/suggestions?context=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Trigger: page load, or after an AI response completes.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Response: {suggestions: […]} — render as clickable chips above the chat input.</w:t>
      </w:r>
    </w:p>
    <w:p>
      <w:pPr>
        <w:pStyle w:val="Heading2"/>
        <w:spacing w:after="120" w:before="260"/>
      </w:pPr>
      <w:r>
        <w:t xml:space="preserve">5.4 Dashboard Generation — POST /api/dashboard/ai-insight &amp; /api/dashboard/chart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Trigger: user opens the Executive Dashboard.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Flow: UI requests aggregated charts; for each chart's underlying data it can optionally request a 3-sentence AI business insight.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UI requirement: a grid of Plotly charts with insight text cards beneath each one.</w:t>
      </w:r>
    </w:p>
    <w:p>
      <w:pPr>
        <w:pStyle w:val="Heading1"/>
        <w:spacing w:after="160" w:before="360"/>
      </w:pPr>
      <w:r>
        <w:t xml:space="preserve">6. Architectural Notes for the Incoming Owner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State management — </w:t>
      </w:r>
      <w:r>
        <w:t xml:space="preserve">the frontend relies on React's useState and prop drilling — no Redux. Keep state simple unless scaling genuinely requires the Context API.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Resilience — </w:t>
      </w:r>
      <w:r>
        <w:t xml:space="preserve">the backend may restart or drop connections; the UI implements a safeFetch wrapper to handle network errors gracefully without crashing the React tree.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Aesthetic direction — </w:t>
      </w:r>
      <w:r>
        <w:t xml:space="preserve">enterprise audience, premium feel — deep dark themes, subtle gradients, glassmorphism (translucent blurred panels), and micro-animations such as pulsing dots during tool execution. Should read as a modern intelligent workspace (think ChatGPT Enterprise / modern BI tools), not a raw DB admin tool like pgAdmin.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Transparency by design — </w:t>
      </w:r>
      <w:r>
        <w:t xml:space="preserve">the Thought Trace (tool_call / tool_result streaming) is a core UX pillar — don't hide or collapse it away; it's what builds user trust in the AI's answers.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Zero-hallucination guarantee — </w:t>
      </w:r>
      <w:r>
        <w:t xml:space="preserve">any refactor of api.py or sql_tool.py must preserve the Ground-Truth Override — numeric answers must always come from the cached DataFrame, never from raw LLM text.</w:t>
      </w:r>
    </w:p>
    <w:p>
      <w:pPr>
        <w:pStyle w:val="Heading1"/>
        <w:spacing w:after="160" w:before="360"/>
      </w:pPr>
      <w:r>
        <w:t xml:space="preserve">7. Suggested Areas to Review First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 api.py end-to-end to understand endpoint surface and the SSE streaming contract.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Trace one full chat request through agent.py → schema_retriever.py → sql_tool.py to see the tool-binding pattern.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the MAX_RETRIES / self-healing loop in sql_tool.py — a common source of latency or cost spikes if the AI repeatedly fails to write valid SQL.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scripts/sync_schema.py and embed_schema.py — these must be re-run whenever the underlying database schema changes, or the AI's table routing and JOINs will silently go stale.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SMTP credentials and schedule for cron_report_sender.py if daily executive emails are in scope for continued operation.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b3e67955d9e79449e8f50589b35f7c0267b300.png"/><Relationship Id="rId8" Type="http://schemas.openxmlformats.org/officeDocument/2006/relationships/image" Target="media/7cc1e1a91a069e5318c316e9d4b326891ee424f5.png"/><Relationship Id="rId9" Type="http://schemas.openxmlformats.org/officeDocument/2006/relationships/image" Target="media/9180eacbbdcc3585c8481c81a06b535182c72688.png"/><Relationship Id="rId10" Type="http://schemas.openxmlformats.org/officeDocument/2006/relationships/image" Target="media/b403ff7b1960e9ada55d3183250f759f1c8cd6c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2026-07-08T05:45:42.856Z</dcterms:created>
  <dcterms:modified xsi:type="dcterms:W3CDTF">2026-07-08T05:45:42.856Z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