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Lines w:val="false"/>
        <w:numPr>
          <w:ilvl w:val="0"/>
          <w:numId w:val="1"/>
        </w:numPr>
        <w:spacing w:lineRule="auto" w:line="360" w:before="240" w:after="120"/>
        <w:rPr>
          <w:rFonts w:ascii="Liberation Sans" w:hAnsi="Liberation Sans" w:eastAsia="Liberation Sans" w:cs="Liberation Sans"/>
          <w:b/>
          <w:b/>
          <w:sz w:val="36"/>
          <w:szCs w:val="36"/>
        </w:rPr>
      </w:pPr>
      <w:bookmarkStart w:id="0" w:name="_44sinio"/>
      <w:bookmarkEnd w:id="0"/>
      <w:r>
        <w:rPr>
          <w:rFonts w:eastAsia="Liberation Sans" w:cs="Liberation Sans" w:ascii="Liberation Sans" w:hAnsi="Liberation Sans"/>
          <w:b/>
          <w:sz w:val="36"/>
          <w:szCs w:val="36"/>
        </w:rPr>
        <w:t>Robin8 BlockChain BALANCE API</w:t>
      </w:r>
    </w:p>
    <w:p>
      <w:pPr>
        <w:pStyle w:val="Normal"/>
        <w:spacing w:lineRule="auto" w:line="36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This API provides access to information of Robin8 balance module.</w:t>
      </w:r>
    </w:p>
    <w:p>
      <w:pPr>
        <w:pStyle w:val="Normal"/>
        <w:spacing w:lineRule="auto" w:line="360" w:before="0" w:after="0"/>
        <w:rPr/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The API uses the json rpc 2.0 protocol (see </w:t>
      </w:r>
      <w:hyperlink r:id="rId2">
        <w:r>
          <w:rPr>
            <w:rStyle w:val="Style9"/>
            <w:rFonts w:eastAsia="Liberation Serif" w:cs="Liberation Serif" w:ascii="Liberation Serif" w:hAnsi="Liberation Serif"/>
            <w:color w:val="1155CC"/>
            <w:sz w:val="24"/>
            <w:szCs w:val="24"/>
            <w:u w:val="single"/>
          </w:rPr>
          <w:t>Specification</w:t>
        </w:r>
      </w:hyperlink>
      <w:r>
        <w:rPr>
          <w:rFonts w:eastAsia="Liberation Serif" w:cs="Liberation Serif" w:ascii="Liberation Serif" w:hAnsi="Liberation Serif"/>
          <w:sz w:val="24"/>
          <w:szCs w:val="24"/>
        </w:rPr>
        <w:t xml:space="preserve"> ).</w:t>
      </w:r>
    </w:p>
    <w:p>
      <w:pPr>
        <w:pStyle w:val="Normal"/>
        <w:spacing w:lineRule="auto" w:line="36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The following is a description of the API-methods:</w:t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1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FF00FF"/>
                <w:sz w:val="24"/>
                <w:szCs w:val="24"/>
              </w:rPr>
              <w:t>addaddr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type of coins from list [“btc”, “eth”, “ltc”, …] where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btc – Bitcoin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eth – Ethereum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ltc - Litecoin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coin_id=[string]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wallet address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addr=[string]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  <w:highlight w:val="lightGray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user 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uid=[string]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  <w:highlight w:val="lightGray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initial amount of coins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amount=[integer]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Add wallet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2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FF00FF"/>
                <w:sz w:val="24"/>
                <w:szCs w:val="24"/>
              </w:rPr>
              <w:t>incbalance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wallet address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addr=[string]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  <w:highlight w:val="lightGray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amount to which we will increment the balance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amount=[string]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Increment balance</w:t>
            </w:r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3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FF00FF"/>
                <w:sz w:val="24"/>
                <w:szCs w:val="24"/>
              </w:rPr>
              <w:t>decbalance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wallet address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addr=[string]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  <w:highlight w:val="lightGray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amount to which we will increment the balance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amount=[string]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Decrement balance</w:t>
            </w:r>
          </w:p>
        </w:tc>
      </w:tr>
    </w:tbl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4"/>
        <w:tblW w:w="9645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1874"/>
        <w:gridCol w:w="7770"/>
      </w:tblGrid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Method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color w:val="38761D"/>
                <w:sz w:val="24"/>
                <w:szCs w:val="24"/>
              </w:rPr>
              <w:t>getbalance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Params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# user id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  <w:highlight w:val="lightGray"/>
              </w:rPr>
              <w:t>uid=[string]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Sample response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[dictionary]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For example: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 w:eastAsia="Liberation Serif" w:cs="Liberation Serif"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{addr1: balance1, addr2: balance2}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/>
                <w:b/>
                <w:sz w:val="21"/>
                <w:szCs w:val="21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Description:</w:t>
            </w:r>
          </w:p>
        </w:tc>
        <w:tc>
          <w:tcPr>
            <w:tcW w:w="7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88" w:before="0" w:after="140"/>
              <w:rPr/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Return all wallets and amount of coins on them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onrpc.org/specific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LibreOffice/5.4.6.2$Linux_X86_64 LibreOffice_project/40m0$Build-2</Application>
  <Pages>2</Pages>
  <Words>147</Words>
  <Characters>861</Characters>
  <CharactersWithSpaces>962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2018-04-27T11:41:32Z</dcterms:modified>
  <cp:revision>11</cp:revision>
  <dc:subject/>
  <dc:title/>
</cp:coreProperties>
</file>