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91"/>
        <w:gridCol w:w="7313"/>
      </w:tblGrid>
      <w:tr>
        <w:tc>
          <w:tcPr>
            <w:gridSpan w:val="2"/>
            <w:tcMar>
              <w:left w:type="dxa" w:w="0"/>
              <w:bottom w:type="dxa" w:w="487"/>
              <w:right w:type="dxa" w:w="0"/>
            </w:tcMar>
          </w:tcPr>
          <w:p>
            <w:pPr>
              <w:pStyle w:val="AvatarContainer"/>
            </w:pPr>
            <w:r>
              <w:drawing>
                <wp:inline distT="0" distB="0" distL="0" distR="0">
                  <wp:extent cx="628650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ame"/>
            </w:pPr>
            <w:r>
              <w:t xml:space="preserve">ROBIN  HOFFPAUIR </w:t>
            </w:r>
          </w:p>
          <w:tbl>
            <w:tblPr>
              <w:tblW w:type="auto" w:w="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503"/>
            </w:tblGrid>
            <w:tr>
              <w:tc>
                <w:p>
                  <w:pPr>
                    <w:pStyle w:val="Caption"/>
                  </w:pPr>
                  <w:r>
                    <w:t xml:space="preserve">PARTNERSHIPS &amp; ALLIANCES EXPERT | DRIVING HYPERSCALER ECOSYSTEMS • CO-SELL ACCELERATION • GTM STRATEGY </w:t>
                  </w:r>
                  <w:r>
                    <w:rPr>
                      <w:sz w:val="15"/>
                      <w:szCs w:val="15"/>
                    </w:rPr>
                    <w:t xml:space="preserve">    ●    </w:t>
                  </w:r>
                  <w:r>
                    <w:t xml:space="preserve">78 JOSIE ROAD, MARY ESTHER, FL, 32569, UNITED STATES</w:t>
                  </w:r>
                  <w:r>
                    <w:rPr>
                      <w:sz w:val="15"/>
                      <w:szCs w:val="15"/>
                    </w:rPr>
                    <w:t xml:space="preserve">    ●    </w:t>
                  </w:r>
                  <w:r>
                    <w:t xml:space="preserve">8502257539</w:t>
                  </w:r>
                </w:p>
              </w:tc>
            </w:tr>
          </w:tbl>
          <w:p/>
        </w:tc>
      </w:tr>
      <w:tr>
        <w:tc>
          <w:tcPr>
            <w:tcW w:type="dxa" w:w="2891"/>
            <w:tcMar>
              <w:left w:type="dxa" w:w="0"/>
              <w:right w:type="dxa" w:w="0"/>
            </w:tcMar>
          </w:tcPr>
          <w:p>
            <w:pPr>
              <w:pStyle w:val="SidebarTopSpacing"/>
            </w:pPr>
          </w:p>
          <w:p>
            <w:pPr>
              <w:pStyle w:val="Heading3"/>
            </w:pPr>
            <w:r>
              <w:t xml:space="preserve">DETAILS</w:t>
            </w:r>
          </w:p>
          <w:p>
            <w:pPr>
              <w:pStyle w:val="NoMargins"/>
              <w:jc w:val="center"/>
            </w:pPr>
            <w:r>
              <w:t xml:space="preserve">78 Josie Road, Mary Esther, FL, 32569, United States</w:t>
            </w:r>
          </w:p>
          <w:p>
            <w:pPr>
              <w:pStyle w:val="NoMargins"/>
              <w:jc w:val="center"/>
            </w:pPr>
            <w:r>
              <w:t xml:space="preserve">8502257539</w:t>
            </w:r>
          </w:p>
          <w:p>
            <w:pPr>
              <w:pStyle w:val="NoMargins"/>
              <w:jc w:val="center"/>
            </w:pPr>
            <w:hyperlink w:history="1" r:id="rIdrq2aw_gckwsjokprp41ie">
              <w:r>
                <w:rPr>
                  <w:rStyle w:val="Hyperlink"/>
                </w:rPr>
                <w:t xml:space="preserve">hoffpauirrobin​@gmail​.com</w:t>
              </w:r>
              <w:r>
                <w:t xml:space="preserve"> </w:t>
              </w:r>
            </w:hyperlink>
          </w:p>
          <w:p>
            <w:pPr>
              <w:pStyle w:val="SidebarSectionsSpacing"/>
            </w:pPr>
          </w:p>
          <w:p>
            <w:pPr>
              <w:pStyle w:val="Heading3"/>
            </w:pPr>
            <w:r>
              <w:t xml:space="preserve">LINKS</w:t>
            </w:r>
          </w:p>
          <w:p>
            <w:pPr>
              <w:pStyle w:val="NormalCenter"/>
              <w:jc w:val="center"/>
            </w:pPr>
            <w:hyperlink w:history="1" r:id="rId-jz3ypcapbpdtf8jl2az5">
              <w:r>
                <w:rPr>
                  <w:rStyle w:val="Hyperlink"/>
                </w:rPr>
                <w:t xml:space="preserve">Portfolio</w:t>
              </w:r>
              <w:r>
                <w:t xml:space="preserve"> </w:t>
              </w:r>
            </w:hyperlink>
          </w:p>
          <w:p>
            <w:pPr>
              <w:pStyle w:val="NormalCenter"/>
              <w:jc w:val="center"/>
            </w:pPr>
            <w:hyperlink w:history="1" r:id="rIdjqkie9eabwdrq7iwg9bb3">
              <w:r>
                <w:rPr>
                  <w:rStyle w:val="Hyperlink"/>
                </w:rPr>
                <w:t xml:space="preserve">LinkedIn </w:t>
              </w:r>
              <w:r>
                <w:t xml:space="preserve"> </w:t>
              </w:r>
            </w:hyperlink>
          </w:p>
          <w:p>
            <w:pPr>
              <w:pStyle w:val="SidebarSectionsSpacing"/>
            </w:pPr>
          </w:p>
          <w:p>
            <w:pPr>
              <w:pStyle w:val="Heading3"/>
            </w:pPr>
            <w:r>
              <w:t xml:space="preserve">SKILLS</w:t>
            </w:r>
          </w:p>
          <w:p>
            <w:pPr>
              <w:pStyle w:val="SkillTitle"/>
            </w:pPr>
            <w:r>
              <w:t xml:space="preserve">GTM Strategy 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Client Engagement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Hyperscaler Partnership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Coselling with partners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Marketing Strategies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Data Analysis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Strategic Planning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Negotiation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Revenue Growth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Client Relationship Management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Channel Partner Management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Sales Management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Revenue Generation 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Partner Ecosystem Growth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Enterprise Sales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BANT/MEDDIC/MEDDPIC</w:t>
            </w:r>
          </w:p>
          <w:p>
            <w:pPr>
              <w:pStyle w:val="SkillSectionSpacing"/>
            </w:pPr>
          </w:p>
          <w:p>
            <w:pPr>
              <w:pStyle w:val="SidebarSectionsSpacing"/>
            </w:pPr>
          </w:p>
          <w:p>
            <w:pPr>
              <w:pStyle w:val="Heading3"/>
            </w:pPr>
            <w:r>
              <w:t xml:space="preserve">LANGUAGES</w:t>
            </w:r>
          </w:p>
          <w:tbl>
            <w:tblPr>
              <w:tblW w:type="dxa" w:w="2023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1194"/>
              <w:gridCol w:w="829"/>
            </w:tblGrid>
            <w:tr>
              <w:tc>
                <w:tcPr>
                  <w:tcW w:type="dxa" w:w="2023"/>
                  <w:gridSpan w:val="2"/>
                </w:tcPr>
                <w:p>
                  <w:pPr>
                    <w:pStyle w:val="SkillTitle"/>
                  </w:pPr>
                  <w:r>
                    <w:t xml:space="preserve">Spanish</w:t>
                  </w:r>
                </w:p>
              </w:tc>
            </w:tr>
            <w:tr>
              <w:tc>
                <w:tcPr>
                  <w:tcW w:type="dxa" w:w="1194"/>
                  <w:shd w:fill="0F141F" w:color="auto" w:val="clear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  <w:tc>
                <w:tcPr>
                  <w:tcW w:type="dxa" w:w="829"/>
                  <w:shd w:fill="CFD6E6" w:color="auto" w:val="clear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ectionSpacing"/>
            </w:pPr>
          </w:p>
          <w:tbl>
            <w:tblPr>
              <w:tblW w:type="dxa" w:w="2023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2003"/>
              <w:gridCol w:w="20"/>
            </w:tblGrid>
            <w:tr>
              <w:tc>
                <w:tcPr>
                  <w:tcW w:type="dxa" w:w="2023"/>
                  <w:gridSpan w:val="2"/>
                </w:tcPr>
                <w:p>
                  <w:pPr>
                    <w:pStyle w:val="SkillTitle"/>
                  </w:pPr>
                  <w:r>
                    <w:t xml:space="preserve">English</w:t>
                  </w:r>
                </w:p>
              </w:tc>
            </w:tr>
            <w:tr>
              <w:tc>
                <w:tcPr>
                  <w:tcW w:type="dxa" w:w="2003"/>
                  <w:shd w:fill="0F141F" w:color="auto" w:val="clear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  <w:tc>
                <w:tcPr>
                  <w:tcW w:type="dxa" w:w="20"/>
                  <w:shd w:fill="0F141F" w:color="auto" w:val="clear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ectionSpacing"/>
            </w:pPr>
          </w:p>
          <w:p>
            <w:pPr>
              <w:pStyle w:val="SidebarSectionsSpacing"/>
            </w:pPr>
          </w:p>
        </w:tc>
        <w:tc>
          <w:tcPr>
            <w:tcW w:type="dxa" w:w="7313"/>
            <w:tcMar>
              <w:left w:type="dxa" w:w="0"/>
              <w:right w:type="dxa" w:w="0"/>
            </w:tcMar>
          </w:tcPr>
          <w:tbl>
            <w:tblPr>
              <w:tblW w:type="dxa" w:w="7313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left w:type="dxa" w:w="0"/>
                <w:bottom w:type="dxa" w:w="0"/>
                <w:right w:type="dxa" w:w="0"/>
              </w:tblCellMar>
            </w:tblPr>
            <w:tblGrid>
              <w:gridCol w:w="150"/>
              <w:gridCol w:w="246"/>
              <w:gridCol w:w="6916"/>
            </w:tblGrid>
            <w:tr>
              <w:tc>
                <w:tcPr>
                  <w:tcW w:type="dxa" w:w="396"/>
                  <w:gridSpan w:val="2"/>
                  <w:tcMar>
                    <w:left w:type="dxa" w:w="0"/>
                    <w:right w:type="dxa" w:w="0"/>
                  </w:tcMar>
                  <w:vAlign w:val="top"/>
                </w:tcPr>
                <w:p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916"/>
                  <w:tcMar>
                    <w:left w:type="dxa" w:w="0"/>
                    <w:right w:type="dxa" w:w="0"/>
                  </w:tcMar>
                  <w:vAlign w:val="center"/>
                </w:tcPr>
                <w:p>
                  <w:pPr>
                    <w:pStyle w:val="Heading1"/>
                  </w:pPr>
                  <w:r>
                    <w:t xml:space="preserve">PROFILE</w:t>
                  </w:r>
                </w:p>
              </w:tc>
            </w:tr>
          </w:tbl>
          <w:tbl>
            <w:tblPr>
              <w:tblW w:type="dxa" w:w="7313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50"/>
              <w:gridCol w:w="246"/>
              <w:gridCol w:w="6916"/>
            </w:tblGrid>
            <w:tr>
              <w:tc>
                <w:tcPr>
                  <w:tcW w:type="dxa" w:w="150"/>
                  <w:tcMar>
                    <w:left w:type="dxa" w:w="0"/>
                    <w:right w:type="dxa" w:w="0"/>
                  </w:tcMar>
                </w:tcPr>
                <w:p/>
              </w:tc>
              <w:tc>
                <w:tcPr>
                  <w:tcW w:type="dxa" w:w="246"/>
                  <w:tcBorders>
                    <w:left w:val="thick" w:color="0F141F" w:sz="4"/>
                  </w:tcBorders>
                  <w:tcMar>
                    <w:left w:type="dxa" w:w="0"/>
                    <w:right w:type="dxa" w:w="0"/>
                  </w:tcMar>
                </w:tcPr>
                <w:p/>
              </w:tc>
              <w:tc>
                <w:tcPr>
                  <w:tcW w:type="dxa" w:w="7313"/>
                  <w:tcMar>
                    <w:left w:type="dxa" w:w="0"/>
                    <w:right w:type="dxa" w:w="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Expert in Partnerships &amp; Alliances with nearly a decade of experience driving SaaS and cloud ecosystem growth. Skilled in developing hyperscaler and CSP relationships, co-sell programs, and scalable revenue pipelines. Former college baseball athlete who brings a competitive, team-driven mindset. Founded and successfully exited a SaaS analytics startup, combining entrepreneurial vision with enterprise execution to achieve 132%+ quota and 105% YoY partner revenue growth. </w:t>
                  </w:r>
                </w:p>
              </w:tc>
            </w:tr>
          </w:tbl>
          <w:p>
            <w:pPr>
              <w:pStyle w:val="MainSectionsSpacing"/>
            </w:pPr>
          </w:p>
          <w:tbl>
            <w:tblPr>
              <w:tblW w:type="dxa" w:w="7313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left w:type="dxa" w:w="0"/>
                <w:bottom w:type="dxa" w:w="0"/>
                <w:right w:type="dxa" w:w="0"/>
              </w:tblCellMar>
            </w:tblPr>
            <w:tblGrid>
              <w:gridCol w:w="150"/>
              <w:gridCol w:w="246"/>
              <w:gridCol w:w="6916"/>
            </w:tblGrid>
            <w:tr>
              <w:tc>
                <w:tcPr>
                  <w:tcW w:type="dxa" w:w="396"/>
                  <w:gridSpan w:val="2"/>
                  <w:tcMar>
                    <w:left w:type="dxa" w:w="0"/>
                    <w:right w:type="dxa" w:w="0"/>
                  </w:tcMar>
                  <w:vAlign w:val="top"/>
                </w:tcPr>
                <w:p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916"/>
                  <w:tcMar>
                    <w:left w:type="dxa" w:w="0"/>
                    <w:right w:type="dxa" w:w="0"/>
                  </w:tcMar>
                  <w:vAlign w:val="center"/>
                </w:tcPr>
                <w:p>
                  <w:pPr>
                    <w:pStyle w:val="Heading1"/>
                  </w:pPr>
                  <w:r>
                    <w:t xml:space="preserve">EMPLOYMENT HISTORY</w:t>
                  </w:r>
                </w:p>
              </w:tc>
            </w:tr>
          </w:tbl>
          <w:tbl>
            <w:tblPr>
              <w:tblW w:type="dxa" w:w="7313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50"/>
              <w:gridCol w:w="246"/>
              <w:gridCol w:w="6916"/>
            </w:tblGrid>
            <w:tr>
              <w:tc>
                <w:tcPr>
                  <w:tcW w:type="dxa" w:w="150"/>
                  <w:tcMar>
                    <w:left w:type="dxa" w:w="0"/>
                    <w:right w:type="dxa" w:w="0"/>
                  </w:tcMar>
                </w:tcPr>
                <w:p/>
              </w:tc>
              <w:tc>
                <w:tcPr>
                  <w:tcW w:type="dxa" w:w="246"/>
                  <w:tcBorders>
                    <w:left w:val="thick" w:color="0F141F" w:sz="4"/>
                  </w:tcBorders>
                  <w:tcMar>
                    <w:left w:type="dxa" w:w="0"/>
                    <w:right w:type="dxa" w:w="0"/>
                  </w:tcMar>
                </w:tcPr>
                <w:p/>
              </w:tc>
              <w:tc>
                <w:tcPr>
                  <w:tcW w:type="dxa" w:w="7313"/>
                  <w:tcMar>
                    <w:left w:type="dxa" w:w="0"/>
                    <w:right w:type="dxa" w:w="0"/>
                  </w:tcMar>
                  <w:vAlign w:val="top"/>
                </w:tcPr>
                <w:p>
                  <w:pPr>
                    <w:pStyle w:val="Heading2"/>
                  </w:pPr>
                  <w:r>
                    <w:t xml:space="preserve">Solutions Sales Manager  at Navagis Inc., United States</w:t>
                  </w:r>
                </w:p>
                <w:p>
                  <w:pPr>
                    <w:pStyle w:val="Date"/>
                  </w:pPr>
                  <w:r>
                    <w:t xml:space="preserve">October 2024 — Present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Lead North American go-to-market strategy with Google Cloud and Google Maps Platform, driving 40%+ growth in enterprise opportunities. 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Drive co-sell alignment with hyperscaler partners, generating multi-million-dollar opportunities in mobility, logistics, and retail. 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Translate complex APIs into actionable business outcomes, collaborating with Product and Marketing for effective GTM strategies. 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Negotiate and structure partner engagements that enhance cloud adoption and optimize client ROI. 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Mentor account teams on partner-led selling motions and co-marketing initiatives, improving forecast accuracy and usage growth. </w:t>
                  </w:r>
                </w:p>
                <w:p>
                  <w:pPr>
                    <w:pStyle w:val="CardsSectionSpacing"/>
                  </w:pPr>
                </w:p>
                <w:p>
                  <w:pPr>
                    <w:pStyle w:val="Heading2"/>
                  </w:pPr>
                  <w:r>
                    <w:t xml:space="preserve">Channel Partner Sales Manager at ISI Analytics, Chicago, Illinois, United States</w:t>
                  </w:r>
                </w:p>
                <w:p>
                  <w:pPr>
                    <w:pStyle w:val="Date"/>
                  </w:pPr>
                  <w:r>
                    <w:t xml:space="preserve">June 2022 — September 2024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Owned partner channel strategy for enterprise SaaS expansion, driving 132%+ quota attainment for eight consecutive quarters and 105% YoY revenue growth. 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Negotiated and activated CSP incentive programs, doubling average deal size and improving partner retention by 50%. 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Collaborated with marketing and product teams to create vertical-specific enablement content and dashboards used by 25+ partner organizations. 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Introduced structured partner QBR cadence and pipeline tracking, increasing co-sell efficiency and deal conversion rates. </w:t>
                  </w:r>
                </w:p>
                <w:p>
                  <w:pPr>
                    <w:pStyle w:val="CardsSectionSpacing"/>
                  </w:pPr>
                </w:p>
                <w:p>
                  <w:pPr>
                    <w:pStyle w:val="Heading2"/>
                  </w:pPr>
                  <w:r>
                    <w:t xml:space="preserve">Founder/Chief Revenue Officer at Parlayking, United States</w:t>
                  </w:r>
                </w:p>
                <w:p>
                  <w:pPr>
                    <w:pStyle w:val="Date"/>
                  </w:pPr>
                  <w:r>
                    <w:t xml:space="preserve">May 2020 — June 2022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Founded and scaled a SaaS analytics platform specializing in predictive compensation modeling; achieved profitable growth leading to acquisition in 2022. 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Built a partner-led GTM model integrating API access, OEM distribution, and co-marketing with compensation analytics providers. 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Recruited and led a six-person GTM and sales organization focused on revenue analytics and PLG motions, improving CAC by 35%. 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Implemented pricing and packaging strategy aligned with ARR scalability and marketplace listing requirements. </w:t>
                  </w:r>
                </w:p>
                <w:p>
                  <w:pPr>
                    <w:pStyle w:val="CardsSectionSpacing"/>
                  </w:pPr>
                </w:p>
                <w:p>
                  <w:pPr>
                    <w:pStyle w:val="Heading2"/>
                  </w:pPr>
                  <w:r>
                    <w:t xml:space="preserve">Partner Development Representative  at Compliance Solutions, Denver, Colorado, United States</w:t>
                  </w:r>
                </w:p>
                <w:p>
                  <w:pPr>
                    <w:pStyle w:val="Date"/>
                  </w:pPr>
                  <w:r>
                    <w:t xml:space="preserve">August 2018 — May 2020</w:t>
                  </w:r>
                </w:p>
                <w:p>
                  <w:pPr>
                    <w:pStyle w:val="ListParagraph"/>
                    <w:numPr>
                      <w:ilvl w:val="0"/>
                      <w:numId w:val="5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Expanded enterprise partner network by 300% through onboarding and enablement of solution providers. </w:t>
                  </w:r>
                </w:p>
                <w:p>
                  <w:pPr>
                    <w:pStyle w:val="ListParagraph"/>
                    <w:numPr>
                      <w:ilvl w:val="0"/>
                      <w:numId w:val="5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Shortened average sales cycle by 25% by introducing consultative frameworks and measurable performance tracking. </w:t>
                  </w:r>
                </w:p>
                <w:p>
                  <w:pPr>
                    <w:pStyle w:val="ListParagraph"/>
                    <w:numPr>
                      <w:ilvl w:val="0"/>
                      <w:numId w:val="5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Supported partner revenue forecasting and collaborated with leadership to improve CRM data visibility and alignment.Oversaw account management and sales initiatives, consistently achieving monthly targets while fostering new client relationships. </w:t>
                  </w:r>
                </w:p>
                <w:p>
                  <w:pPr>
                    <w:pStyle w:val="ListParagraph"/>
                    <w:numPr>
                      <w:ilvl w:val="0"/>
                      <w:numId w:val="5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Surpassed sales objectives by over 10% each month. </w:t>
                  </w:r>
                </w:p>
                <w:p>
                  <w:pPr>
                    <w:pStyle w:val="ListParagraph"/>
                    <w:numPr>
                      <w:ilvl w:val="0"/>
                      <w:numId w:val="5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Acquired new clients through strategic networking and content marketing efforts. </w:t>
                  </w:r>
                </w:p>
                <w:p>
                  <w:pPr>
                    <w:pStyle w:val="ListParagraph"/>
                    <w:numPr>
                      <w:ilvl w:val="0"/>
                      <w:numId w:val="5"/>
                    </w:numPr>
                    <w:spacing w:line="240" w:before="0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</w:rPr>
                    <w:t xml:space="preserve">Handled budgeting, goal establishment, and performance analytics for accounts. </w:t>
                  </w:r>
                </w:p>
              </w:tc>
            </w:tr>
          </w:tbl>
          <w:p>
            <w:pPr>
              <w:pStyle w:val="MainSectionsSpacing"/>
            </w:pPr>
          </w:p>
          <w:tbl>
            <w:tblPr>
              <w:tblW w:type="dxa" w:w="7313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left w:type="dxa" w:w="0"/>
                <w:bottom w:type="dxa" w:w="0"/>
                <w:right w:type="dxa" w:w="0"/>
              </w:tblCellMar>
            </w:tblPr>
            <w:tblGrid>
              <w:gridCol w:w="150"/>
              <w:gridCol w:w="246"/>
              <w:gridCol w:w="6916"/>
            </w:tblGrid>
            <w:tr>
              <w:tc>
                <w:tcPr>
                  <w:tcW w:type="dxa" w:w="396"/>
                  <w:gridSpan w:val="2"/>
                  <w:tcMar>
                    <w:left w:type="dxa" w:w="0"/>
                    <w:right w:type="dxa" w:w="0"/>
                  </w:tcMar>
                  <w:vAlign w:val="top"/>
                </w:tcPr>
                <w:p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916"/>
                  <w:tcMar>
                    <w:left w:type="dxa" w:w="0"/>
                    <w:right w:type="dxa" w:w="0"/>
                  </w:tcMar>
                  <w:vAlign w:val="center"/>
                </w:tcPr>
                <w:p>
                  <w:pPr>
                    <w:pStyle w:val="Heading1"/>
                  </w:pPr>
                  <w:r>
                    <w:t xml:space="preserve">EDUCATION</w:t>
                  </w:r>
                </w:p>
              </w:tc>
            </w:tr>
          </w:tbl>
          <w:tbl>
            <w:tblPr>
              <w:tblW w:type="dxa" w:w="7313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50"/>
              <w:gridCol w:w="246"/>
              <w:gridCol w:w="6916"/>
            </w:tblGrid>
            <w:tr>
              <w:tc>
                <w:tcPr>
                  <w:tcW w:type="dxa" w:w="150"/>
                  <w:tcMar>
                    <w:left w:type="dxa" w:w="0"/>
                    <w:right w:type="dxa" w:w="0"/>
                  </w:tcMar>
                </w:tcPr>
                <w:p/>
              </w:tc>
              <w:tc>
                <w:tcPr>
                  <w:tcW w:type="dxa" w:w="246"/>
                  <w:tcBorders>
                    <w:left w:val="thick" w:color="0F141F" w:sz="4"/>
                  </w:tcBorders>
                  <w:tcMar>
                    <w:left w:type="dxa" w:w="0"/>
                    <w:right w:type="dxa" w:w="0"/>
                  </w:tcMar>
                </w:tcPr>
                <w:p/>
              </w:tc>
              <w:tc>
                <w:tcPr>
                  <w:tcW w:type="dxa" w:w="7313"/>
                  <w:tcMar>
                    <w:left w:type="dxa" w:w="0"/>
                    <w:right w:type="dxa" w:w="0"/>
                  </w:tcMar>
                  <w:vAlign w:val="top"/>
                </w:tcPr>
                <w:p>
                  <w:pPr>
                    <w:pStyle w:val="Heading2"/>
                  </w:pPr>
                  <w:r>
                    <w:t xml:space="preserve">Bachelor's degree in Business &amp; Management &amp; Marketing &amp; and Related Support Services, Metropolitan State University of Denver</w:t>
                  </w:r>
                </w:p>
                <w:p>
                  <w:pPr>
                    <w:pStyle w:val="Date"/>
                  </w:pPr>
                  <w:r>
                    <w:t xml:space="preserve">January 2013 — January 2015</w:t>
                  </w:r>
                </w:p>
              </w:tc>
            </w:tr>
          </w:tbl>
          <w:p>
            <w:pPr>
              <w:pStyle w:val="MainSectionsSpacing"/>
            </w:pPr>
          </w:p>
        </w:tc>
      </w:tr>
    </w:tbl>
    <w:sectPr>
      <w:pgSz w:w="11952" w:h="16848" w:orient="portrait"/>
      <w:pgMar w:top="617" w:right="793" w:bottom="623" w:left="793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144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AvatarContainer">
    <w:name w:val="Avatar container"/>
    <w:qFormat/>
    <w:pPr>
      <w:spacing w:line="192" w:before="0" w:after="357.60339999999997"/>
      <w:jc w:val="center"/>
    </w:pPr>
    <w:rPr>
      <w:sz w:val="2"/>
      <w:szCs w:val="2"/>
    </w:rPr>
  </w:style>
  <w:style w:type="paragraph" w:styleId="Caption">
    <w:name w:val="Caption"/>
    <w:pPr>
      <w:spacing w:line="230.39999999999998" w:before="195.0564" w:after="0"/>
      <w:jc w:val="center"/>
    </w:pPr>
    <w:rPr>
      <w:color w:val="0F141F"/>
      <w:sz w:val="16"/>
      <w:szCs w:val="16"/>
      <w:rFonts w:ascii="Roboto Mono" w:cs="Roboto Mono" w:eastAsia="Roboto Mono" w:hAnsi="Roboto Mono"/>
    </w:rPr>
  </w:style>
  <w:style w:type="paragraph" w:styleId="CardsSectionSpacing">
    <w:name w:val="Cards section spacing"/>
    <w:basedOn w:val="Normal"/>
    <w:qFormat/>
    <w:pPr>
      <w:spacing w:line="0" w:before="0" w:after="162.547"/>
    </w:pPr>
  </w:style>
  <w:style w:type="paragraph" w:styleId="Date">
    <w:name w:val="Date"/>
    <w:basedOn w:val="Normal"/>
    <w:next w:val="Date"/>
    <w:qFormat/>
    <w:pPr>
      <w:spacing w:line="192" w:before="32.5094" w:after="32.5094"/>
    </w:pPr>
    <w:rPr>
      <w:color w:val="7A8599"/>
      <w:sz w:val="16"/>
      <w:szCs w:val="16"/>
    </w:rPr>
  </w:style>
  <w:style w:type="paragraph" w:styleId="Heading1">
    <w:name w:val="Heading 1"/>
    <w:pPr>
      <w:spacing w:line="192" w:before="0" w:after="16.2547"/>
    </w:pPr>
    <w:rPr>
      <w:color w:val="0F141F"/>
      <w:sz w:val="20"/>
      <w:szCs w:val="20"/>
      <w:rFonts w:ascii="Roboto Mono" w:cs="Roboto Mono" w:eastAsia="Roboto Mono" w:hAnsi="Roboto Mono"/>
      <w:spacing w:val="15"/>
    </w:rPr>
  </w:style>
  <w:style w:type="paragraph" w:styleId="Heading2">
    <w:name w:val="Heading 2"/>
    <w:basedOn w:val="Normal"/>
    <w:next w:val="Normal"/>
    <w:qFormat/>
    <w:pPr>
      <w:spacing w:line="192" w:before="0" w:after="0"/>
    </w:pPr>
    <w:rPr>
      <w:b/>
      <w:bCs/>
      <w:sz w:val="18"/>
      <w:szCs w:val="18"/>
    </w:rPr>
  </w:style>
  <w:style w:type="paragraph" w:styleId="Heading3">
    <w:name w:val="Heading 3"/>
    <w:pPr>
      <w:spacing w:line="192" w:before="0" w:after="162.547"/>
      <w:jc w:val="center"/>
    </w:pPr>
    <w:rPr>
      <w:color w:val="0F141F"/>
      <w:sz w:val="20"/>
      <w:szCs w:val="20"/>
      <w:rFonts w:ascii="Roboto Mono" w:cs="Roboto Mono" w:eastAsia="Roboto Mono" w:hAnsi="Roboto Mono"/>
      <w:spacing w:val="15"/>
    </w:rPr>
  </w:style>
  <w:style w:type="paragraph" w:styleId="Heading4">
    <w:name w:val="Heading 4"/>
    <w:basedOn w:val="Normal"/>
    <w:next w:val="Normal"/>
    <w:qFormat/>
    <w:pPr>
      <w:spacing w:line="192" w:before="113.7829" w:after="32.5094"/>
      <w:jc w:val="center"/>
    </w:pPr>
    <w:rPr>
      <w:color w:val="7A8599"/>
    </w:rPr>
  </w:style>
  <w:style w:type="paragraph" w:styleId="Name">
    <w:name w:val="Name"/>
    <w:pPr>
      <w:spacing w:line="192" w:before="0" w:after="0"/>
      <w:jc w:val="center"/>
    </w:pPr>
    <w:rPr>
      <w:color w:val="0F141F"/>
      <w:sz w:val="40"/>
      <w:szCs w:val="40"/>
      <w:rFonts w:ascii="Roboto Mono" w:cs="Roboto Mono" w:eastAsia="Roboto Mono" w:hAnsi="Roboto Mono"/>
      <w:spacing w:val="20"/>
    </w:rPr>
  </w:style>
  <w:style w:type="paragraph" w:styleId="NoBottomMargin">
    <w:name w:val="No bottom margin"/>
    <w:basedOn w:val="Normal"/>
    <w:qFormat/>
    <w:pPr>
      <w:spacing w:after="0"/>
    </w:pPr>
  </w:style>
  <w:style w:type="paragraph" w:styleId="NoMargins">
    <w:name w:val="No margins"/>
    <w:basedOn w:val="Normal"/>
    <w:qFormat/>
    <w:pPr>
      <w:spacing w:before="0" w:after="0"/>
    </w:pPr>
  </w:style>
  <w:style w:type="paragraph" w:styleId="NormalCenter">
    <w:name w:val="Normal Center"/>
    <w:qFormat/>
    <w:pPr>
      <w:spacing w:line="211.20000000000002" w:before="80" w:after="80"/>
      <w:jc w:val="center"/>
    </w:pPr>
    <w:rPr>
      <w:color w:val="0F141F"/>
      <w:sz w:val="19"/>
      <w:szCs w:val="19"/>
      <w:rFonts w:ascii="Roboto Mono" w:cs="Roboto Mono" w:eastAsia="Roboto Mono" w:hAnsi="Roboto Mono"/>
    </w:rPr>
  </w:style>
  <w:style w:type="paragraph" w:styleId="Normal">
    <w:name w:val="Normal"/>
    <w:qFormat/>
    <w:pPr>
      <w:spacing w:line="211.20000000000002" w:before="80" w:after="80"/>
    </w:pPr>
    <w:rPr>
      <w:color w:val="0F141F"/>
      <w:sz w:val="19"/>
      <w:szCs w:val="19"/>
      <w:rFonts w:ascii="Roboto Mono" w:cs="Roboto Mono" w:eastAsia="Roboto Mono" w:hAnsi="Roboto Mono"/>
    </w:rPr>
  </w:style>
  <w:style w:type="paragraph" w:styleId="MainSectionsSpacing">
    <w:name w:val="Main sections spacing"/>
    <w:basedOn w:val="Normal"/>
    <w:qFormat/>
    <w:pPr>
      <w:spacing w:line="0" w:before="0" w:after="113.7829"/>
    </w:pPr>
  </w:style>
  <w:style w:type="paragraph" w:styleId="SidebarSectionsSpacing">
    <w:name w:val="Sidebar sections spacing"/>
    <w:basedOn w:val="Normal"/>
    <w:qFormat/>
    <w:pPr>
      <w:spacing w:line="0" w:before="0" w:after="325.094"/>
    </w:pPr>
  </w:style>
  <w:style w:type="paragraph" w:styleId="SidebarTopSpacing">
    <w:name w:val="Sidebar sections spacing"/>
    <w:basedOn w:val="Normal"/>
    <w:qFormat/>
    <w:pPr>
      <w:spacing w:line="0" w:before="0" w:after="81.2735"/>
    </w:pPr>
  </w:style>
  <w:style w:type="paragraph" w:styleId="SkilBar">
    <w:name w:val="Skill Bar"/>
    <w:basedOn w:val="Normal"/>
    <w:next w:val="Normal"/>
    <w:qFormat/>
    <w:pPr>
      <w:spacing w:line="48" w:before="0" w:after="0"/>
    </w:pPr>
    <w:rPr>
      <w:color w:val="0F141F"/>
    </w:rPr>
  </w:style>
  <w:style w:type="paragraph" w:styleId="SkillSectionSpacing">
    <w:name w:val="Skill section spacing"/>
    <w:basedOn w:val="Normal"/>
    <w:qFormat/>
    <w:pPr>
      <w:spacing w:line="108" w:before="48.7641" w:after="0"/>
    </w:pPr>
  </w:style>
  <w:style w:type="paragraph" w:styleId="SkillTitle">
    <w:name w:val="Job Title"/>
    <w:basedOn w:val="Normal"/>
    <w:next w:val="Normal"/>
    <w:qFormat/>
    <w:pPr>
      <w:spacing w:before="0" w:after="0"/>
      <w:jc w:val="center"/>
    </w:pPr>
  </w:style>
  <w:style w:type="character" w:styleId="Hyperlink">
    <w:name w:val="Hyperlink"/>
    <w:uiPriority w:val="99"/>
    <w:unhideWhenUsed/>
    <w:rPr>
      <w:u w:val="single" w:color="0F141F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q2aw_gckwsjokprp41ie" Type="http://schemas.openxmlformats.org/officeDocument/2006/relationships/hyperlink" Target="mailto:hoffpauirrobin&#8203;@gmail&#8203;.com" TargetMode="External"/><Relationship Id="rId-jz3ypcapbpdtf8jl2az5" Type="http://schemas.openxmlformats.org/officeDocument/2006/relationships/hyperlink" Target="Robinchoffpauir.github.io" TargetMode="External"/><Relationship Id="rIdjqkie9eabwdrq7iwg9bb3" Type="http://schemas.openxmlformats.org/officeDocument/2006/relationships/hyperlink" Target="LinkedIn.com/in/robinchoffpauir" TargetMode="External"/><Relationship Id="rId6" Type="http://schemas.openxmlformats.org/officeDocument/2006/relationships/image" Target="media/0a8083eca4afb9796475fed0c8c09223d1f65abc.jpg"/><Relationship Id="rId7" Type="http://schemas.openxmlformats.org/officeDocument/2006/relationships/image" Target="media/e36552ef3246cbec2404587544cef2c575c59b3d.png"/><Relationship Id="rId8" Type="http://schemas.openxmlformats.org/officeDocument/2006/relationships/image" Target="media/c3315affa3a6f8f0ca9d338794c1775204cb1ef1.png"/><Relationship Id="rId9" Type="http://schemas.openxmlformats.org/officeDocument/2006/relationships/image" Target="media/6bd3ee75ecbb416ddf7d44f66633b550c39b2cca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2025-10-27T19:16:22.737Z</dcterms:created>
  <dcterms:modified xsi:type="dcterms:W3CDTF">2025-10-27T19:16:22.737Z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