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CoDIR IA</w:t>
      </w:r>
    </w:p>
    <w:p>
      <w:pPr>
        <w:pStyle w:val="Title"/>
        <w:jc w:val="center"/>
      </w:pPr>
      <w:r>
        <w:t>Guide de démarrage rapide — Installation</w:t>
      </w:r>
    </w:p>
    <w:p>
      <w:pPr>
        <w:jc w:val="center"/>
      </w:pPr>
      <w:r>
        <w:t>Version courante : voir l’en-tête</w:t>
      </w:r>
    </w:p>
    <w:p>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01A4A"/>
          </w:tcPr>
          <w:p>
            <w:r>
              <w:rPr>
                <w:b/>
                <w:color w:val="FFFFFF"/>
              </w:rPr>
              <w:t>Build</w:t>
            </w:r>
          </w:p>
        </w:tc>
        <w:tc>
          <w:tcPr>
            <w:tcW w:type="dxa" w:w="5040"/>
          </w:tcPr>
          <w:p>
            <w:r>
              <w:t>v17.4.3.62.13.9.4.65-M6B-B1.3.62.13.9.4.65</w:t>
            </w:r>
          </w:p>
        </w:tc>
      </w:tr>
      <w:tr>
        <w:trPr>
          <w:cantSplit/>
        </w:trPr>
        <w:tc>
          <w:tcPr>
            <w:tcW w:type="dxa" w:w="5040"/>
            <w:shd w:fill="101A4A"/>
          </w:tcPr>
          <w:p>
            <w:r>
              <w:rPr>
                <w:b/>
                <w:color w:val="FFFFFF"/>
              </w:rPr>
              <w:t>Document</w:t>
            </w:r>
          </w:p>
        </w:tc>
        <w:tc>
          <w:tcPr>
            <w:tcW w:type="dxa" w:w="5040"/>
          </w:tcPr>
          <w:p>
            <w:r>
              <w:t>Guide de démarrage rapide — Installation</w:t>
            </w:r>
          </w:p>
        </w:tc>
      </w:tr>
      <w:tr>
        <w:trPr>
          <w:cantSplit/>
        </w:trPr>
        <w:tc>
          <w:tcPr>
            <w:tcW w:type="dxa" w:w="5040"/>
            <w:shd w:fill="101A4A"/>
          </w:tcPr>
          <w:p>
            <w:r>
              <w:rPr>
                <w:b/>
                <w:color w:val="FFFFFF"/>
              </w:rPr>
              <w:t>Révision</w:t>
            </w:r>
          </w:p>
        </w:tc>
        <w:tc>
          <w:tcPr>
            <w:tcW w:type="dxa" w:w="5040"/>
          </w:tcPr>
          <w:p>
            <w:r>
              <w:t>18 octobre 2026</w:t>
            </w:r>
          </w:p>
        </w:tc>
      </w:tr>
      <w:tr>
        <w:trPr>
          <w:cantSplit/>
        </w:trPr>
        <w:tc>
          <w:tcPr>
            <w:tcW w:type="dxa" w:w="5040"/>
            <w:shd w:fill="101A4A"/>
          </w:tcPr>
          <w:p>
            <w:r>
              <w:rPr>
                <w:b/>
                <w:color w:val="FFFFFF"/>
              </w:rPr>
              <w:t>Statut</w:t>
            </w:r>
          </w:p>
        </w:tc>
        <w:tc>
          <w:tcPr>
            <w:tcW w:type="dxa" w:w="5040"/>
          </w:tcPr>
          <w:p>
            <w:r>
              <w:t>v17.0 — usage professionnel supervisé</w:t>
            </w:r>
          </w:p>
        </w:tc>
      </w:tr>
    </w:tbl>
    <w:p>
      <w:r/>
    </w:p>
    <w:p>
      <w:pPr>
        <w:jc w:val="center"/>
      </w:pPr>
      <w:r>
        <w:t>Ce manuel ne constitue pas un conseil juridique. La revue humaine reste obligatoire.</w:t>
      </w:r>
    </w:p>
    <w:p>
      <w:r/>
    </w:p>
    <w:p>
      <w:pPr>
        <w:pStyle w:val="Heading1"/>
      </w:pPr>
      <w:r>
        <w:t>Installer et vérifier</w:t>
      </w:r>
    </w:p>
    <w:p>
      <w:pPr>
        <w:pStyle w:val="ListNumber"/>
        <w:numPr>
          <w:ilvl w:val="0"/>
          <w:numId w:val="1001"/>
        </w:numPr>
      </w:pPr>
      <w:r>
        <w:t>Télécharger le ZIP depuis la source communiquée. Vérifier son SHA-256 externe puis SHA256SUMS après extraction. Une différence impose l’arrêt.</w:t>
      </w:r>
    </w:p>
    <w:p>
      <w:pPr>
        <w:pStyle w:val="ListNumber"/>
        <w:numPr>
          <w:ilvl w:val="0"/>
          <w:numId w:val="1001"/>
        </w:numPr>
      </w:pPr>
      <w:r>
        <w:t>Extraire dans un dossier local non synchronisé. Windows : DEMARRER_CODIR_IA.bat. macOS : Demarrer_Mac.command. Ne pas lancer directement dans le ZIP.</w:t>
      </w:r>
    </w:p>
    <w:p>
      <w:pPr>
        <w:pStyle w:val="ListNumber"/>
        <w:numPr>
          <w:ilvl w:val="0"/>
          <w:numId w:val="1001"/>
        </w:numPr>
      </w:pPr>
      <w:r>
        <w:t>Utiliser un CPython standard compatible. Lire le journal et INSTALL_MODE.txt : un repli requirements.txt ne correspond plus exactement au verrou/SBOM.</w:t>
      </w:r>
    </w:p>
    <w:p>
      <w:pPr>
        <w:pStyle w:val="ListNumber"/>
        <w:numPr>
          <w:ilvl w:val="0"/>
          <w:numId w:val="1001"/>
        </w:numPr>
      </w:pPr>
      <w:r>
        <w:t>Enregistrer une clé par fournisseur activé dans Paramètres, contrôler les comptes et quotas. Ne mettre aucune clé dans le brief.</w:t>
      </w:r>
    </w:p>
    <w:p>
      <w:pPr>
        <w:pStyle w:val="ListNumber"/>
        <w:numPr>
          <w:ilvl w:val="0"/>
          <w:numId w:val="1001"/>
        </w:numPr>
      </w:pPr>
      <w:r>
        <w:t>Faire un premier essai avec des pièces non sensibles autorisées ; contrôler les fichiers produits et les journaux. Consulter le manuel complet pour dépannage et effacement. Cette version n’intègre pas d’OCR : une pièce scannée sans couche texte doit être fournie en version texte.</w:t>
      </w:r>
    </w:p>
    <w:p>
      <w:pPr>
        <w:pStyle w:val="Heading2"/>
      </w:pPr>
      <w:r>
        <w:t>Ce que vous recevez</w:t>
      </w:r>
    </w:p>
    <w:p>
      <w:r>
        <w:t>Les deux Word sont les livrables principaux : analyse détaillée et synthèse décisionnelle. Le PPTX est une ébauche de présentation à reprendre après lecture des Word, non un document autonome prêt à remettre. Une ébauche PPTX incomplète n’est pas, en soi, un échec de l’analyse. Le volume dépend du brief et de la matière ; les nombres de pages ou de slides sont des repères, pas une garantie. Le paquet complet réunit les fichiers effectivement produits, les diagnostics, les registres disponibles, le journal de préparation et le manifeste.</w:t>
      </w:r>
    </w:p>
    <w:p>
      <w:pPr>
        <w:pStyle w:val="Heading2"/>
      </w:pPr>
      <w:r>
        <w:t>La couche de contrôle et ses limites</w:t>
      </w:r>
    </w:p>
    <w:p>
      <w:r>
        <w:t>Gardes déterministes. Après la génération par les modèles, des règles Python locales examinent les textes et les données structurées. Aucun modèle n’est appelé pour décider dans ces gardes. Doctrine « tout livrer, tout signaler en place » : le principe est de conserver ; une quantité non étayée reste à sa place, surlignée et suivie de « ⚠ à vérifier — motif ». Exceptions (calculs personnels écartés, cadre de prudence Finance) et réserves détaillées dans le manuel complet. Relire les Word avant tout usage.</w:t>
      </w:r>
    </w:p>
    <w:p>
      <w:pPr>
        <w:pStyle w:val="Heading2"/>
      </w:pPr>
      <w:r>
        <w:t>Lanceurs et alertes du système</w:t>
      </w:r>
    </w:p>
    <w:p>
      <w:r>
        <w:t>Artefacts réellement livrés : lanceurs Windows .bat et scripts macOS .command non signés, distribués dans un ZIP ; le raccourci .app peut être créé localement. Le ZIP n’est pas présenté comme Authenticode-signé ; aucun ensemble applicatif Developer ID notarisé n’est fourni. Les avertissements du système sont attendus. Vérifiez la provenance, l’empreinte externe du ZIP et le manifeste ; ne désactivez pas globalement SmartScreen ou Gatekeeper. La décision sur les signatures, les preuves de test et l’approbation de diffusion restent hors de l’archive.</w:t>
      </w:r>
    </w:p>
    <w:p>
      <w:r>
        <w:t>macOS : après un blocage non identifié, provenance/SHA vérifiés et politique du poste respectée, Réglages Système &gt; Confidentialité et sécurité &gt; Ouvrir quand même peut être proposé. Ne contournez jamais une alerte de logiciel malveillant ou altéré.</w:t>
      </w:r>
    </w:p>
    <w:p>
      <w:pPr>
        <w:pStyle w:val="Heading2"/>
      </w:pPr>
      <w:r>
        <w:t>Modèle et sources publiques</w:t>
      </w:r>
    </w:p>
    <w:p>
      <w:pPr/>
      <w:r>
        <w:t>Modèle Anthropic par défaut : Claude Sonnet 5.5 (claude-sonnet-5-5). Claude Sonnet 4.5 est retiré de l'API le 24/11/2026 ; un réglage enregistré sur un ancien Sonnet est migré automatiquement au premier lancement. La température n'est plus transmise aux modèles Claude 4.7 et suivants, qui la refusent.</w:t>
      </w:r>
    </w:p>
    <w:p>
      <w:pPr/>
      <w:r>
        <w:t>Sources publiques : contact SEC, clés Companies House et Pappers, à saisir dans Réglages (voir le Manuel d'installation).</w:t>
      </w:r>
    </w:p>
    <w:p>
      <w:pPr>
        <w:pStyle w:val="Heading2"/>
      </w:pPr>
      <w:r>
        <w:t>Données, droits et sécurité</w:t>
      </w:r>
    </w:p>
    <w:p>
      <w:r>
        <w:t>Local ne signifie pas hors ligne. L’interface, le stockage et les gardes s’exécutent sur le poste ; les fournisseurs d’IA, registres et recherches activés reçoivent les contenus nécessaires selon les fonctions. Les gardes ne constituent ni une anonymisation ni un pare-feu avant transmission. Le brief, les extraits et, selon le contexte transmis, des éléments d’historique peuvent quitter le poste. Vérifiez vos droits et les comptes fournisseurs avant lancement. Aucune télémétrie éditeur ; les clés restent en clair en local : ne partagez jamais secrets.json.</w:t>
      </w:r>
    </w:p>
    <w:p>
      <w:r>
        <w:t>Le logiciel relève de FSL-1.1-ALv2 ; la marque relève de TRADEMARKS.md. Les documents produits peuvent être remis dans les conditions des Terms, après revue humaine, sans autorisation supplémentaire de l’éditeur pour cet usage. L’anglais demeure en préversion, sans parité métier certifiée.</w:t>
      </w:r>
    </w:p>
    <w:p>
      <w:r>
        <w:t>Signalement : security@vauquigneux.com, objet [SECURITY CoDIR IA] ; https://robinsauzet.com/contact/ en repli. Fournir version, plateforme et description non sensible ; ni clés, ni documents clients. La réception du canal reste une preuve distincte.</w:t>
      </w:r>
    </w:p>
    <w:p>
      <w:pPr>
        <w:pStyle w:val="Heading2"/>
      </w:pPr>
      <w:r>
        <w:t>Autorité temporelle</w:t>
      </w:r>
    </w:p>
    <w:p>
      <w:r>
        <w:t>Autorité temporelle et factuelle. Indiquez une date d’analyse précise, distincte de la date de génération. Avant de lancer, vérifiez la date et le périmètre retenus dans les paramètres ; ne présumez pas que le texte du brief suffit à les imposer. Après export, contrôlez l’admissibilité des pièces et les échéances. En cas d’écart, ne qualifiez pas le résultat et demandez une reprise du cadrage.</w:t>
      </w:r>
    </w:p>
    <w:p>
      <w:r>
        <w:t>Version : CoDIR IA v17.0 — build v17.4.3.62.13.9.4.65-M6B-B1.3.62.13.9.4.65 — nouveautés et limites connues dans les notes de version · révision documentaire du 18 octobre 2026, voir LIRE_LA_DOCUMENTATION_FR.md.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70"/>
        <w:sz w:val="16"/>
      </w:rPr>
      <w:t>Documentation de travail assistée par IA — revue humaine requise</w:t>
    </w:r>
    <w:r>
      <w:rPr>
        <w:sz w:val="16"/>
      </w:rPr>
      <w:t xml:space="preserve">  ·  Page </w:t>
    </w:r>
    <w:fldSimple w:instr="PAGE">
      <w:r>
        <w:rPr>
          <w:sz w:val="16"/>
        </w:rPr>
        <w:t>1</w:t>
      </w:r>
    </w:fldSimple>
    <w:r>
      <w:rPr>
        <w:sz w:val="16"/>
      </w:rPr>
      <w:t xml:space="preserve"> / </w:t>
    </w:r>
    <w:fldSimple w:instr="NUMPAGES">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470"/>
        <w:sz w:val="16"/>
      </w:rPr>
      <w:t>CoDIR IA · v17.4.3.62.13.9.4.65-M6B-B1.3.62.13.9.4.65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1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C64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démarrage rapide — Installation</dc:title>
  <dc:subject/>
  <dc:creator>python-docx</dc:creator>
  <cp:keywords/>
  <dc:description>CoDIR IA v17.0 — build 9.4.65 — documentation révisée le 18 octobre 2026.</dc:description>
  <cp:lastModifiedBy>CoDIR IA — révision documentaire 9.4.61</cp:lastModifiedBy>
  <cp:revision>2</cp:revision>
  <dcterms:created xsi:type="dcterms:W3CDTF">2013-12-23T23:15:00Z</dcterms:created>
  <dcterms:modified xsi:type="dcterms:W3CDTF">2026-10-18T16:22:48Z</dcterms:modified>
  <cp:category/>
  <cp:version>v17.4.3.62.13.9.4.65-M6B-B1.3.62.13.9.4.65 · 9.4.65-20261018</cp:version>
</cp:coreProperties>
</file>