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CoDIR IA</w:t>
      </w:r>
    </w:p>
    <w:p>
      <w:pPr>
        <w:pStyle w:val="Title"/>
        <w:jc w:val="center"/>
      </w:pPr>
      <w:r>
        <w:t>Guide de démarrage rapide — Utilisateur</w:t>
      </w:r>
    </w:p>
    <w:p>
      <w:pPr>
        <w:jc w:val="center"/>
      </w:pPr>
      <w:r>
        <w:t>Version courante : voir l’en-tête</w:t>
      </w:r>
    </w:p>
    <w:p>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101A4A"/>
          </w:tcPr>
          <w:p>
            <w:r>
              <w:rPr>
                <w:b/>
                <w:color w:val="FFFFFF"/>
              </w:rPr>
              <w:t>Build</w:t>
            </w:r>
          </w:p>
        </w:tc>
        <w:tc>
          <w:tcPr>
            <w:tcW w:type="dxa" w:w="5040"/>
          </w:tcPr>
          <w:p>
            <w:r>
              <w:t>v17.4.3.62.13.9.4.65-M6B-B1.3.62.13.9.4.65</w:t>
            </w:r>
          </w:p>
        </w:tc>
      </w:tr>
      <w:tr>
        <w:trPr>
          <w:cantSplit/>
        </w:trPr>
        <w:tc>
          <w:tcPr>
            <w:tcW w:type="dxa" w:w="5040"/>
            <w:shd w:fill="101A4A"/>
          </w:tcPr>
          <w:p>
            <w:r>
              <w:rPr>
                <w:b/>
                <w:color w:val="FFFFFF"/>
              </w:rPr>
              <w:t>Document</w:t>
            </w:r>
          </w:p>
        </w:tc>
        <w:tc>
          <w:tcPr>
            <w:tcW w:type="dxa" w:w="5040"/>
          </w:tcPr>
          <w:p>
            <w:r>
              <w:t>Guide de démarrage rapide — Utilisateur</w:t>
            </w:r>
          </w:p>
        </w:tc>
      </w:tr>
      <w:tr>
        <w:trPr>
          <w:cantSplit/>
        </w:trPr>
        <w:tc>
          <w:tcPr>
            <w:tcW w:type="dxa" w:w="5040"/>
            <w:shd w:fill="101A4A"/>
          </w:tcPr>
          <w:p>
            <w:r>
              <w:rPr>
                <w:b/>
                <w:color w:val="FFFFFF"/>
              </w:rPr>
              <w:t>Révision</w:t>
            </w:r>
          </w:p>
        </w:tc>
        <w:tc>
          <w:tcPr>
            <w:tcW w:type="dxa" w:w="5040"/>
          </w:tcPr>
          <w:p>
            <w:r>
              <w:t>18 octobre 2026</w:t>
            </w:r>
          </w:p>
        </w:tc>
      </w:tr>
      <w:tr>
        <w:trPr>
          <w:cantSplit/>
        </w:trPr>
        <w:tc>
          <w:tcPr>
            <w:tcW w:type="dxa" w:w="5040"/>
            <w:shd w:fill="101A4A"/>
          </w:tcPr>
          <w:p>
            <w:r>
              <w:rPr>
                <w:b/>
                <w:color w:val="FFFFFF"/>
              </w:rPr>
              <w:t>Statut</w:t>
            </w:r>
          </w:p>
        </w:tc>
        <w:tc>
          <w:tcPr>
            <w:tcW w:type="dxa" w:w="5040"/>
          </w:tcPr>
          <w:p>
            <w:r>
              <w:t>v17.0 — usage professionnel supervisé</w:t>
            </w:r>
          </w:p>
        </w:tc>
      </w:tr>
    </w:tbl>
    <w:p>
      <w:r/>
    </w:p>
    <w:p>
      <w:pPr>
        <w:jc w:val="center"/>
      </w:pPr>
      <w:r>
        <w:t>Ce manuel ne constitue pas un conseil juridique. La revue humaine reste obligatoire.</w:t>
      </w:r>
    </w:p>
    <w:p>
      <w:r/>
    </w:p>
    <w:p>
      <w:pPr>
        <w:pStyle w:val="Heading1"/>
      </w:pPr>
      <w:r>
        <w:t>Préparer un CoDIR</w:t>
      </w:r>
    </w:p>
    <w:p>
      <w:pPr>
        <w:pStyle w:val="ListNumber"/>
        <w:numPr>
          <w:ilvl w:val="0"/>
          <w:numId w:val="1001"/>
        </w:numPr>
      </w:pPr>
      <w:r>
        <w:t>Vérifier la distribution et l’installation ; configurer les clés des fournisseurs activés.</w:t>
      </w:r>
    </w:p>
    <w:p>
      <w:pPr>
        <w:pStyle w:val="ListNumber"/>
        <w:numPr>
          <w:ilvl w:val="0"/>
          <w:numId w:val="1001"/>
        </w:numPr>
      </w:pPr>
      <w:r>
        <w:t>Rédiger le brief : identité, entités/périmètre, décision attendue, contraintes et pièces. Séparer réalisé, budget, hypothèses et actions déjà décidées. Confirmer ensuite la cible légale proposée à l’écran (Utiliser ou Changer).</w:t>
      </w:r>
    </w:p>
    <w:p>
      <w:pPr>
        <w:pStyle w:val="ListNumber"/>
        <w:numPr>
          <w:ilvl w:val="0"/>
          <w:numId w:val="1001"/>
        </w:numPr>
      </w:pPr>
      <w:r>
        <w:t>Fixer la date d’analyse au format AAAA-MM-JJ, puis l’horizon calculé depuis cette date. Arbitrez toute contradiction avec la date de fin avant lancement. Le bouton d’adoption du bandeau reprend la date de votre brief.</w:t>
      </w:r>
    </w:p>
    <w:p>
      <w:pPr>
        <w:pStyle w:val="ListNumber"/>
        <w:numPr>
          <w:ilvl w:val="0"/>
          <w:numId w:val="1001"/>
        </w:numPr>
      </w:pPr>
      <w:r>
        <w:t>Joindre des pièces à texte exploitable. Cette version n’intègre pas d’OCR ; une pièce jointe n’est pas automatiquement entièrement analysée.</w:t>
      </w:r>
    </w:p>
    <w:p>
      <w:pPr>
        <w:pStyle w:val="ListNumber"/>
        <w:numPr>
          <w:ilvl w:val="0"/>
          <w:numId w:val="1001"/>
        </w:numPr>
      </w:pPr>
      <w:r>
        <w:t>Lancer, conserver les diagnostics et récupérer les deux Word, le PPTX et le paquet disponibles. Lire la synthèse, approfondir dans le CR, puis préparer le deck.</w:t>
      </w:r>
    </w:p>
    <w:p>
      <w:pPr>
        <w:pStyle w:val="Heading2"/>
      </w:pPr>
      <w:r>
        <w:t>Ce que vous recevez</w:t>
      </w:r>
    </w:p>
    <w:p>
      <w:r>
        <w:t>Les deux Word sont les livrables principaux : analyse détaillée et synthèse décisionnelle. Le PPTX est une ébauche de présentation à reprendre après lecture des Word, non un document autonome prêt à remettre. Une ébauche PPTX incomplète n’est pas, en soi, un échec de l’analyse. Le volume dépend du brief et de la matière ; les nombres de pages ou de slides sont des repères, pas une garantie. Le paquet complet réunit les fichiers effectivement produits, les diagnostics, les registres disponibles, le journal de préparation et le manifeste.</w:t>
      </w:r>
    </w:p>
    <w:p>
      <w:pPr>
        <w:pStyle w:val="Heading2"/>
      </w:pPr>
      <w:r>
        <w:t>La couche de contrôle et ses limites</w:t>
      </w:r>
    </w:p>
    <w:p>
      <w:r>
        <w:t>Gardes déterministes. Après la génération par les modèles, des règles Python locales examinent les textes et les données structurées. Aucun modèle n’est appelé pour décider dans ces gardes. Doctrine « tout livrer, tout signaler en place » : le principe est de conserver ; une quantité non étayée reste à sa place, surlignée et suivie de « ⚠ à vérifier — motif ». Exceptions (calculs personnels écartés, cadre de prudence Finance) et réserves détaillées dans le manuel complet. Relire les Word avant tout usage.</w:t>
      </w:r>
    </w:p>
    <w:p>
      <w:pPr>
        <w:pStyle w:val="Heading2"/>
      </w:pPr>
      <w:r>
        <w:t>Lire les statuts</w:t>
      </w:r>
    </w:p>
    <w:p>
      <w:r>
        <w:t>Niveaux de confirmation. « Confirmé à la page » indique un rapprochement effectué par le logiciel avec une pièce et une page ; vérifiez la valeur ET son libellé, le signe, l’unité et l’échelle, la période et le périmètre. « Confirmé au registre » renvoie à un registre interrogé, avec sa date de consultation ; ce n’est pas nécessairement l’exercice analysé et cette voie est inactive en analyse rétrospective. « Déclaré non confirmé » signifie que le rapprochement requis n’est pas établi. Causes possibles : source absente, extraction insuffisante, libellé, unité, échelle, période ou périmètre non rapprochés ; le statut n’indique pas laquelle. L’étiquette [NON SOURCÉ] / [UNSOURCED] signifie ici « déclaré non confirmé », non « aucune source n’existe ». La nature (réalisé, budget, hypothèse, cible), la preuve et l’approbation restent distinctes.</w:t>
      </w:r>
    </w:p>
    <w:p>
      <w:pPr>
        <w:pStyle w:val="Heading2"/>
      </w:pPr>
      <w:r>
        <w:t>Nouveautés de la version</w:t>
      </w:r>
    </w:p>
    <w:p>
      <w:pPr/>
      <w:r>
        <w:t>Conserver et signaler : tout passage douteux est livré et signalé en place (exceptions décrites dans le manuel). Écrans de suivi. Statuts d'actions dans le brief.</w:t>
      </w:r>
    </w:p>
    <w:p>
      <w:pPr>
        <w:pStyle w:val="Heading2"/>
      </w:pPr>
      <w:r>
        <w:t>Continuer au CoDIR suivant</w:t>
      </w:r>
    </w:p>
    <w:p>
      <w:r>
        <w:t>Mémoire entre CoDIR. Chaque dossier garde un historique local et un registre d'actions horodaté. Réutilisez le même « Libellé de dossier » d'une séance à l'autre et vérifiez l'entité, la date d'analyse et le répertoire de données. En fin de nouveau brief, une ligne par action (« — action — porteur — réalisée le JJ/MM/AAAA », « reportée au … », « abandonnée ») et la décision du conseil ; vérifiez l'aperçu « Statuts lus par CoDIR IA ». Une proposition ne devient pas approuvée par simple répétition. Les modes rétrospectif/futur n'écrivent pas le registre vivant ; la case « Repartir de zéro — ignorer l'historique de ce dossier » neutralise la reprise pour un test isolé. Ce n'est ni une mémoire de toutes les conversations ni un apprentissage du modèle. La reprise exhaustive des décisions, actions et questions sur deux séances n’est pas certifiée par cette révision documentaire ; elle reste à vérifier sur votre dossier.</w:t>
      </w:r>
    </w:p>
    <w:p>
      <w:pPr>
        <w:pStyle w:val="Heading2"/>
      </w:pPr>
      <w:r>
        <w:t xml:space="preserve">Pendant et après le traitement</w:t>
      </w:r>
    </w:p>
    <w:p>
      <w:r>
        <w:t>Suivi en douze étapes, puis « Dossier prêt » : livrables, dossier complet, nouvelle séance, quitter. Statuts d'actions et décision du conseil : une ligne par action en fin de brief (voir le manuel).</w:t>
      </w:r>
    </w:p>
    <w:p>
      <w:pPr>
        <w:pStyle w:val="Heading2"/>
      </w:pPr>
      <w:r>
        <w:t>Données, droits et sécurité</w:t>
      </w:r>
    </w:p>
    <w:p>
      <w:r>
        <w:t>Local ne signifie pas hors ligne. L’interface, le stockage et les gardes s’exécutent sur le poste ; les fournisseurs d’IA, registres et recherches activés reçoivent les contenus nécessaires selon les fonctions. Les gardes ne constituent ni une anonymisation ni un pare-feu avant transmission. Le brief, les extraits et, selon le contexte transmis, des éléments d’historique peuvent quitter le poste. Vérifiez vos droits et les comptes fournisseurs avant lancement. Aucune télémétrie éditeur ; les clés restent en clair en local : ne partagez jamais secrets.json.</w:t>
      </w:r>
    </w:p>
    <w:p>
      <w:r>
        <w:t>Le logiciel relève de FSL-1.1-ALv2 ; la marque relève de TRADEMARKS.md. Les documents produits peuvent être remis dans les conditions des Terms, après revue humaine, sans autorisation supplémentaire de l’éditeur pour cet usage. L’anglais demeure en préversion, sans parité métier certifiée.</w:t>
      </w:r>
    </w:p>
    <w:p>
      <w:r>
        <w:t>Signalement : security@vauquigneux.com, objet [SECURITY CoDIR IA] ; https://robinsauzet.com/contact/ en repli. Fournir version, plateforme et description non sensible ; ni clés, ni documents clients. La réception du canal reste une preuve distincte.</w:t>
      </w:r>
    </w:p>
    <w:p>
      <w:pPr>
        <w:pStyle w:val="Heading2"/>
      </w:pPr>
      <w:r>
        <w:t>Autorité temporelle</w:t>
      </w:r>
    </w:p>
    <w:p>
      <w:r>
        <w:t>Autorité temporelle et factuelle. Indiquez une date d’analyse précise, distincte de la date de génération. Avant de lancer, vérifiez la date et le périmètre retenus dans les paramètres ; ne présumez pas que le texte du brief suffit à les imposer. Après export, contrôlez l’admissibilité des pièces et les échéances. En cas d’écart, ne qualifiez pas le résultat et demandez une reprise du cadrage.</w:t>
      </w:r>
    </w:p>
    <w:p>
      <w:r>
        <w:t>Version : CoDIR IA v17.0 — build v17.4.3.62.13.9.4.65-M6B-B1.3.62.13.9.4.65 — nouveautés et limites connues dans les notes de version · révision documentaire du 18 octobre 2026, voir LIRE_LA_DOCUMENTATION_FR.md ; historique des versions et addenda techniques dans le manuel complet.</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470"/>
        <w:sz w:val="16"/>
      </w:rPr>
      <w:t>Documentation de travail assistée par IA — revue humaine requise</w:t>
    </w:r>
    <w:r>
      <w:rPr>
        <w:sz w:val="16"/>
      </w:rPr>
      <w:t xml:space="preserve">  ·  Page </w:t>
    </w:r>
    <w:fldSimple w:instr="PAGE">
      <w:r>
        <w:rPr>
          <w:sz w:val="16"/>
        </w:rPr>
        <w:t>1</w:t>
      </w:r>
    </w:fldSimple>
    <w:r>
      <w:rPr>
        <w:sz w:val="16"/>
      </w:rPr>
      <w:t xml:space="preserve"> / </w:t>
    </w:r>
    <w:fldSimple w:instr="NUMPAGES">
      <w:r>
        <w:rPr>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C6470"/>
        <w:sz w:val="16"/>
      </w:rPr>
      <w:t>CoDIR IA · v17.4.3.62.13.9.4.65-M6B-B1.3.62.13.9.4.65</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1A4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01A4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C647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1A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de démarrage rapide — Utilisateur</dc:title>
  <dc:subject/>
  <dc:creator>python-docx</dc:creator>
  <cp:keywords/>
  <dc:description>CoDIR IA v17.0 — build 9.4.65 — documentation révisée le 18 octobre 2026.</dc:description>
  <cp:lastModifiedBy>CoDIR IA — révision documentaire 9.4.61</cp:lastModifiedBy>
  <cp:revision>2</cp:revision>
  <dcterms:created xsi:type="dcterms:W3CDTF">2013-12-23T23:15:00Z</dcterms:created>
  <dcterms:modified xsi:type="dcterms:W3CDTF">2026-10-18T16:22:48Z</dcterms:modified>
  <cp:category/>
  <cp:version>v17.4.3.62.13.9.4.65-M6B-B1.3.62.13.9.4.65 · 9.4.65-20261018</cp:version>
</cp:coreProperties>
</file>