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CoDIR IA</w:t>
      </w:r>
    </w:p>
    <w:p>
      <w:pPr>
        <w:pStyle w:val="Title"/>
        <w:jc w:val="center"/>
      </w:pPr>
      <w:r>
        <w:t>Complete Installation Manual</w:t>
      </w:r>
    </w:p>
    <w:p>
      <w:pPr>
        <w:jc w:val="center"/>
      </w:pPr>
      <w:r>
        <w:t>Windows · macOS · Linux · security · uninstall</w:t>
      </w:r>
    </w:p>
    <w:p>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01A4A"/>
          </w:tcPr>
          <w:p>
            <w:r>
              <w:rPr>
                <w:b/>
                <w:color w:val="FFFFFF"/>
              </w:rPr>
              <w:t>Build</w:t>
            </w:r>
          </w:p>
        </w:tc>
        <w:tc>
          <w:tcPr>
            <w:tcW w:type="dxa" w:w="5040"/>
          </w:tcPr>
          <w:p>
            <w:r>
              <w:t>v17.4.3.62.13.9.4.65-M6B-B1.3.62.13.9.4.65</w:t>
            </w:r>
          </w:p>
        </w:tc>
      </w:tr>
      <w:tr>
        <w:trPr>
          <w:cantSplit/>
        </w:trPr>
        <w:tc>
          <w:tcPr>
            <w:tcW w:type="dxa" w:w="5040"/>
            <w:shd w:fill="101A4A"/>
          </w:tcPr>
          <w:p>
            <w:r>
              <w:rPr>
                <w:b/>
                <w:color w:val="FFFFFF"/>
              </w:rPr>
              <w:t>Document</w:t>
            </w:r>
          </w:p>
        </w:tc>
        <w:tc>
          <w:tcPr>
            <w:tcW w:type="dxa" w:w="5040"/>
          </w:tcPr>
          <w:p>
            <w:r>
              <w:t>Installation Manual EN</w:t>
            </w:r>
          </w:p>
        </w:tc>
      </w:tr>
      <w:tr>
        <w:trPr>
          <w:cantSplit/>
        </w:trPr>
        <w:tc>
          <w:tcPr>
            <w:tcW w:type="dxa" w:w="5040"/>
            <w:shd w:fill="101A4A"/>
          </w:tcPr>
          <w:p>
            <w:r>
              <w:rPr>
                <w:b/>
                <w:color w:val="FFFFFF"/>
              </w:rPr>
              <w:t>Revision</w:t>
            </w:r>
          </w:p>
        </w:tc>
        <w:tc>
          <w:tcPr>
            <w:tcW w:type="dxa" w:w="5040"/>
          </w:tcPr>
          <w:p>
            <w:r>
              <w:t>18 October 2026</w:t>
            </w:r>
          </w:p>
        </w:tc>
      </w:tr>
      <w:tr>
        <w:trPr>
          <w:cantSplit/>
        </w:trPr>
        <w:tc>
          <w:tcPr>
            <w:tcW w:type="dxa" w:w="5040"/>
            <w:shd w:fill="101A4A"/>
          </w:tcPr>
          <w:p>
            <w:r>
              <w:rPr>
                <w:b/>
                <w:color w:val="FFFFFF"/>
              </w:rPr>
              <w:t>Status</w:t>
            </w:r>
          </w:p>
        </w:tc>
        <w:tc>
          <w:tcPr>
            <w:tcW w:type="dxa" w:w="5040"/>
          </w:tcPr>
          <w:p>
            <w:r>
              <w:t>v17.0 — supervised professional use</w:t>
            </w:r>
          </w:p>
        </w:tc>
      </w:tr>
    </w:tbl>
    <w:p>
      <w:r/>
    </w:p>
    <w:p>
      <w:pPr>
        <w:jc w:val="center"/>
      </w:pPr>
      <w:r>
        <w:t>This manual does not constitute legal advice. Human review remains mandatory.</w:t>
      </w:r>
    </w:p>
    <w:p>
      <w:pPr>
        <w:pStyle w:val="Heading2"/>
      </w:pPr>
      <w:r>
        <w:t>What you receive, and under which licence</w:t>
      </w:r>
    </w:p>
    <w:p>
      <w:pPr>
        <w:jc w:val="center"/>
      </w:pPr>
      <w:r>
        <w:t>Deterministic guards. After model generation, local Python rules examine text and structured data. No model is called to make decisions within these guards. Doctrine “deliver everything, flag in place”: the principle is to keep. An unsupported quantity stays where it is, highlighted and followed by “⚠ to verify — reason”; a figure contradicted by a document carries the document’s value; the first-page box counts and lists the flagged passages, and the register records them. Current exceptions: personal calculations (remuneration, dividends, self-employed status) are removed; without primary financial statements for the perimeter, the Finance note of a one-person company (SASU, EURL, sole trader) or a very short note is replaced by a prudence frame; some accounting wordings receive a standard reservation, which must itself be checked against the documents. Only a technical failure prevents delivery. These checks reduce some risks; they guarantee neither error-free results, completeness nor a complete trace of every transformation. Legitimate content may be over-labelled or masked; incorrect content may escape detection. Review the Word documents and compare reservations, registers and sources before use.</w:t>
      </w:r>
    </w:p>
    <w:p>
      <w:pPr>
        <w:jc w:val="center"/>
      </w:pPr>
      <w:r>
        <w:t>The two Word documents are the main deliverables: detailed analysis and decision synthesis. The PPTX is a presentation draft to revise after reading them, not a standalone document ready to hand over. Length depends on the brief and available material; page and slide counts are indicative, not guaranteed. The complete package brings together the files actually generated, diagnostics, available registers, preparation journal and manifest.</w:t>
      </w:r>
    </w:p>
    <w:p>
      <w:pPr>
        <w:jc w:val="center"/>
      </w:pPr>
      <w:r>
        <w:t>Evidence and scenario rules are detailed in the user manual. Successful installation does not validate the accuracy of future analyses.</w:t>
      </w:r>
    </w:p>
    <w:p>
      <w:pPr>
        <w:jc w:val="center"/>
      </w:pPr>
      <w:r>
        <w:t>The code is distributed under the source-available FSL-1.1-ALv2 licence. That licence grants third parties no rights over the CoDIR IA trademark or its logo.</w:t>
      </w:r>
    </w:p>
    <w:p>
      <w:pPr>
        <w:jc w:val="center"/>
      </w:pPr>
      <w:r>
        <w:t>Languages. The interface, the deliverables and the manuals are available in French and in English. English is offered as a preview in this version: available features and known limitations are listed in the release notes; parity of the editorial and financial controls with French is not certified in this version. Preview status does not remove the requirement to preserve the meaning of decisions, values, dates and responsibilities.</w:t>
      </w:r>
    </w:p>
    <w:p>
      <w:r/>
    </w:p>
    <w:p>
      <w:pPr>
        <w:pStyle w:val="Heading1"/>
      </w:pPr>
      <w:r>
        <w:t>Contents</w:t>
      </w:r>
    </w:p>
    <w:p>
      <w:pPr>
        <w:pStyle w:val="ListBullet"/>
      </w:pPr>
      <w:r>
        <w:t>1. Supported scope</w:t>
      </w:r>
    </w:p>
    <w:p>
      <w:pPr>
        <w:pStyle w:val="ListBullet"/>
      </w:pPr>
      <w:r>
        <w:t>2. Verify the distribution</w:t>
      </w:r>
    </w:p>
    <w:p>
      <w:pPr>
        <w:pStyle w:val="ListBullet"/>
      </w:pPr>
      <w:r>
        <w:t>3. Windows installation</w:t>
      </w:r>
    </w:p>
    <w:p>
      <w:pPr>
        <w:pStyle w:val="ListBullet"/>
      </w:pPr>
      <w:r>
        <w:t>4. macOS installation</w:t>
      </w:r>
    </w:p>
    <w:p>
      <w:pPr>
        <w:pStyle w:val="ListBullet"/>
      </w:pPr>
      <w:r>
        <w:t>5. Linux / developer launch</w:t>
      </w:r>
    </w:p>
    <w:p>
      <w:pPr>
        <w:pStyle w:val="ListBullet"/>
      </w:pPr>
      <w:r>
        <w:t>6. Keys, configuration and paths</w:t>
      </w:r>
    </w:p>
    <w:p>
      <w:pPr>
        <w:pStyle w:val="ListBullet"/>
      </w:pPr>
      <w:r>
        <w:t>7. Update and migration</w:t>
      </w:r>
    </w:p>
    <w:p>
      <w:pPr>
        <w:pStyle w:val="ListBullet"/>
      </w:pPr>
      <w:r>
        <w:t>8. Troubleshooting</w:t>
      </w:r>
    </w:p>
    <w:p>
      <w:pPr>
        <w:pStyle w:val="ListBullet"/>
      </w:pPr>
      <w:r>
        <w:t>9. Uninstall and deletion</w:t>
      </w:r>
    </w:p>
    <w:p>
      <w:pPr>
        <w:pStyle w:val="ListBullet"/>
      </w:pPr>
      <w:r>
        <w:t>10. Security, legal and release gates</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Key point</w:t>
            </w:r>
          </w:p>
        </w:tc>
      </w:tr>
      <w:tr>
        <w:trPr>
          <w:cantSplit/>
        </w:trPr>
        <w:tc>
          <w:tcPr>
            <w:tcW w:type="dxa" w:w="10080"/>
            <w:shd w:fill="F3F5F8"/>
          </w:tcPr>
          <w:p>
            <w:r>
              <w:t>Local does not mean offline. The interface, storage and guards run on the computer; enabled AI providers, registries and searches receive content needed by their functions. The guards are neither anonymisation nor a firewall before transmission. The brief, excerpts and, depending on submitted context, history items may leave the computer. Check your rights and provider accounts before running.</w:t>
            </w:r>
          </w:p>
        </w:tc>
      </w:tr>
    </w:tbl>
    <w:p>
      <w:r/>
    </w:p>
    <w:p>
      <w:pPr>
        <w:pStyle w:val="Heading1"/>
      </w:pPr>
      <w:r>
        <w:t>1. Supported scope</w:t>
      </w:r>
    </w:p>
    <w:p>
      <w:r>
        <w:t>The launcher looks for a compatible standard CPython: 3.11–3.14 on Windows, 3.11–3.13 on macOS; on an ARM PC running Windows 11, an x64 Python run by Windows emulation. If locked installation fails and requirements.txt fallback is used, the environment no longer exactly matches the lock or SBOM: retain INSTALL_MODE.txt and the log, then have the deployment checked. A launcher’s presence does not certify a platform or architecture; consult the applicable native-test matrix.</w:t>
      </w:r>
    </w:p>
    <w:p>
      <w:r>
        <w:t>CoDIR IA v17.0 (technical build 9.4.65) is a source-available release intended for supervised use. The build number and the SHA-256 fingerprint of the published archive identify this package.</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Item</w:t>
            </w:r>
          </w:p>
        </w:tc>
        <w:tc>
          <w:tcPr>
            <w:tcW w:type="dxa" w:w="5040"/>
            <w:shd w:fill="101A4A"/>
          </w:tcPr>
          <w:p>
            <w:pPr>
              <w:keepNext/>
            </w:pPr>
            <w:r>
              <w:rPr>
                <w:b/>
                <w:color w:val="FFFFFF"/>
              </w:rPr>
              <w:t>Support</w:t>
            </w:r>
          </w:p>
        </w:tc>
      </w:tr>
      <w:tr>
        <w:trPr>
          <w:cantSplit/>
        </w:trPr>
        <w:tc>
          <w:tcPr>
            <w:tcW w:type="dxa" w:w="5040"/>
            <w:vAlign w:val="center"/>
          </w:tcPr>
          <w:p>
            <w:r>
              <w:t>OS</w:t>
            </w:r>
          </w:p>
        </w:tc>
        <w:tc>
          <w:tcPr>
            <w:tcW w:type="dxa" w:w="5040"/>
            <w:vAlign w:val="center"/>
          </w:tcPr>
          <w:p>
            <w:r>
              <w:t>64-bit Windows 10/11 on Intel/AMD PCs, Windows 11 on ARM PCs (emulated x64 Python); macOS 11+ on Apple Silicon Macs; recent Linux</w:t>
            </w:r>
          </w:p>
        </w:tc>
      </w:tr>
      <w:tr>
        <w:trPr>
          <w:cantSplit/>
        </w:trPr>
        <w:tc>
          <w:tcPr>
            <w:tcW w:type="dxa" w:w="5040"/>
            <w:vAlign w:val="center"/>
          </w:tcPr>
          <w:p>
            <w:r>
              <w:t>Python</w:t>
            </w:r>
          </w:p>
        </w:tc>
        <w:tc>
          <w:tcPr>
            <w:tcW w:type="dxa" w:w="5040"/>
            <w:vAlign w:val="center"/>
          </w:tcPr>
          <w:p>
            <w:r>
              <w:t>Standard CPython 3.11–3.14 on Windows, 3.11–3.13 on macOS; 3.11/3.12 recommended; free-threaded/no-GIL rejected</w:t>
            </w:r>
          </w:p>
        </w:tc>
      </w:tr>
      <w:tr>
        <w:trPr>
          <w:cantSplit/>
        </w:trPr>
        <w:tc>
          <w:tcPr>
            <w:tcW w:type="dxa" w:w="5040"/>
            <w:vAlign w:val="center"/>
          </w:tcPr>
          <w:p>
            <w:r>
              <w:t>Network</w:t>
            </w:r>
          </w:p>
        </w:tc>
        <w:tc>
          <w:tcPr>
            <w:tcW w:type="dxa" w:w="5040"/>
            <w:vAlign w:val="center"/>
          </w:tcPr>
          <w:p>
            <w:r>
              <w:t>HTTPS access to enabled providers and registries</w:t>
            </w:r>
          </w:p>
        </w:tc>
      </w:tr>
      <w:tr>
        <w:trPr>
          <w:cantSplit/>
        </w:trPr>
        <w:tc>
          <w:tcPr>
            <w:tcW w:type="dxa" w:w="5040"/>
            <w:vAlign w:val="center"/>
          </w:tcPr>
          <w:p>
            <w:r>
              <w:t>Office</w:t>
            </w:r>
          </w:p>
        </w:tc>
        <w:tc>
          <w:tcPr>
            <w:tcW w:type="dxa" w:w="5040"/>
            <w:vAlign w:val="center"/>
          </w:tcPr>
          <w:p>
            <w:r>
              <w:t>Word/PowerPoint recommended; LibreOffice supported for reading and QA</w:t>
            </w:r>
          </w:p>
        </w:tc>
      </w:tr>
      <w:tr>
        <w:trPr>
          <w:cantSplit/>
        </w:trPr>
        <w:tc>
          <w:tcPr>
            <w:tcW w:type="dxa" w:w="5040"/>
            <w:vAlign w:val="center"/>
          </w:tcPr>
          <w:p>
            <w:r>
              <w:t>OCR</w:t>
            </w:r>
          </w:p>
        </w:tc>
        <w:tc>
          <w:tcPr>
            <w:tcW w:type="dxa" w:w="5040"/>
            <w:vAlign w:val="center"/>
          </w:tcPr>
          <w:p>
            <w:r>
              <w:t>No OCR in this version; supply an authorised text version</w:t>
            </w:r>
          </w:p>
        </w:tc>
      </w:tr>
    </w:tbl>
    <w:p>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Important</w:t>
            </w:r>
          </w:p>
        </w:tc>
      </w:tr>
      <w:tr>
        <w:trPr>
          <w:cantSplit/>
        </w:trPr>
        <w:tc>
          <w:tcPr>
            <w:tcW w:type="dxa" w:w="10080"/>
            <w:shd w:fill="F3F5F8"/>
          </w:tcPr>
          <w:p>
            <w:r>
              <w:t>Declared compatibility does not replace native testing and wheel availability for every architecture.</w:t>
            </w:r>
          </w:p>
        </w:tc>
      </w:tr>
    </w:tbl>
    <w:p>
      <w:r/>
    </w:p>
    <w:p>
      <w:pPr>
        <w:pStyle w:val="Heading1"/>
      </w:pPr>
      <w:r>
        <w:t>2. Verify the distribution</w:t>
      </w:r>
    </w:p>
    <w:p>
      <w:r>
        <w:t>Two separate checks. Before extraction, calculate the ZIP SHA-256: in PowerShell, Get-FileHash -LiteralPath ".\EXACT_ZIP_NAME.zip" -Algorithm SHA256; on macOS, shasum -a 256 "EXACT_ZIP_NAME.zip". Replace this example name with the received filename and compare the result with a fingerprint published by a trusted source. After extraction, from the folder containing SHA256SUMS, check every file: macOS, shasum -a 256 -c SHA256SUMS; Linux, sha256sum -c SHA256SUMS. The Windows launcher provides a manifest check before unblocking. Do not continue after a fingerprint mismatch or a missing file.</w:t>
      </w:r>
    </w:p>
    <w:p>
      <w:pPr>
        <w:pStyle w:val="ListNumber"/>
        <w:numPr>
          <w:ilvl w:val="0"/>
          <w:numId w:val="1001"/>
        </w:numPr>
      </w:pPr>
      <w:r>
        <w:t>Download from the communicated source.</w:t>
      </w:r>
    </w:p>
    <w:p>
      <w:pPr>
        <w:pStyle w:val="ListNumber"/>
        <w:numPr>
          <w:ilvl w:val="0"/>
          <w:numId w:val="1001"/>
        </w:numPr>
      </w:pPr>
      <w:r>
        <w:t>Compare the ZIP SHA-256 with the sealing report.</w:t>
      </w:r>
    </w:p>
    <w:p>
      <w:pPr>
        <w:pStyle w:val="ListNumber"/>
        <w:numPr>
          <w:ilvl w:val="0"/>
          <w:numId w:val="1001"/>
        </w:numPr>
      </w:pPr>
      <w:r>
        <w:t>Extract into a local, non-synchronised folder.</w:t>
      </w:r>
    </w:p>
    <w:p>
      <w:pPr>
        <w:pStyle w:val="ListNumber"/>
        <w:numPr>
          <w:ilvl w:val="0"/>
          <w:numId w:val="1001"/>
        </w:numPr>
      </w:pPr>
      <w:r>
        <w:t>Launch only after a clean verification.</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Signature</w:t>
            </w:r>
          </w:p>
        </w:tc>
      </w:tr>
      <w:tr>
        <w:trPr>
          <w:cantSplit/>
        </w:trPr>
        <w:tc>
          <w:tcPr>
            <w:tcW w:type="dxa" w:w="10080"/>
            <w:shd w:fill="FFF3CD"/>
          </w:tcPr>
          <w:p>
            <w:r>
              <w:t>Artifacts actually supplied: unsigned Windows .bat launchers and macOS .command scripts in a ZIP; an .app shortcut may be created locally. The ZIP is not represented as Authenticode-signed; no Developer ID-signed and notarized application bundle is supplied. Operating-system warnings are expected. Verify provenance, the external ZIP hash and the manifest; do not disable SmartScreen or Gatekeeper globally. The signing decision, native-test evidence and release approval remain outside the archive.</w:t>
            </w:r>
          </w:p>
        </w:tc>
      </w:tr>
    </w:tbl>
    <w:p>
      <w:r/>
    </w:p>
    <w:p>
      <w:pPr>
        <w:pStyle w:val="Heading1"/>
      </w:pPr>
      <w:r>
        <w:t>3. Windows installation</w:t>
      </w:r>
    </w:p>
    <w:p>
      <w:pPr>
        <w:pStyle w:val="ListNumber"/>
        <w:numPr>
          <w:ilvl w:val="0"/>
          <w:numId w:val="1002"/>
        </w:numPr>
      </w:pPr>
      <w:r>
        <w:t>Extract the ZIP, ideally to C:\CoDIR-IA.</w:t>
      </w:r>
    </w:p>
    <w:p>
      <w:pPr>
        <w:pStyle w:val="ListNumber"/>
        <w:numPr>
          <w:ilvl w:val="0"/>
          <w:numId w:val="1002"/>
        </w:numPr>
      </w:pPr>
      <w:r>
        <w:t>Double-click DEMARRER_CODIR_IA.bat.</w:t>
      </w:r>
    </w:p>
    <w:p>
      <w:pPr>
        <w:pStyle w:val="ListNumber"/>
        <w:numPr>
          <w:ilvl w:val="0"/>
          <w:numId w:val="1002"/>
        </w:numPr>
      </w:pPr>
      <w:r>
        <w:t>The launcher checks SHA256SUMS before any Unblock-File action.</w:t>
      </w:r>
    </w:p>
    <w:p>
      <w:pPr>
        <w:pStyle w:val="ListNumber"/>
        <w:numPr>
          <w:ilvl w:val="0"/>
          <w:numId w:val="1002"/>
        </w:numPr>
      </w:pPr>
      <w:r>
        <w:t>The launcher selects standard CPython 3.11–3.14 and creates the venv under %LOCALAPPDATA%\CoDIR-IA.</w:t>
      </w:r>
    </w:p>
    <w:p>
      <w:pPr>
        <w:pStyle w:val="ListNumber"/>
        <w:numPr>
          <w:ilvl w:val="0"/>
          <w:numId w:val="1002"/>
        </w:numPr>
      </w:pPr>
      <w:r>
        <w:t>Installation checks dependencies and displays the local URL. With the public launchers, port 8501 is used; open the local address displayed in the log.</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Message</w:t>
            </w:r>
          </w:p>
        </w:tc>
        <w:tc>
          <w:tcPr>
            <w:tcW w:type="dxa" w:w="5040"/>
            <w:shd w:fill="101A4A"/>
          </w:tcPr>
          <w:p>
            <w:pPr>
              <w:keepNext/>
            </w:pPr>
            <w:r>
              <w:rPr>
                <w:b/>
                <w:color w:val="FFFFFF"/>
              </w:rPr>
              <w:t>Action</w:t>
            </w:r>
          </w:p>
        </w:tc>
      </w:tr>
      <w:tr>
        <w:trPr>
          <w:cantSplit/>
        </w:trPr>
        <w:tc>
          <w:tcPr>
            <w:tcW w:type="dxa" w:w="5040"/>
            <w:vAlign w:val="center"/>
          </w:tcPr>
          <w:p>
            <w:r>
              <w:t>SmartScreen</w:t>
            </w:r>
          </w:p>
        </w:tc>
        <w:tc>
          <w:tcPr>
            <w:tcW w:type="dxa" w:w="5040"/>
            <w:vAlign w:val="center"/>
          </w:tcPr>
          <w:p>
            <w:r>
              <w:t>Verify source/SHA, then More info &gt; Run anyway</w:t>
            </w:r>
          </w:p>
        </w:tc>
      </w:tr>
      <w:tr>
        <w:trPr>
          <w:cantSplit/>
        </w:trPr>
        <w:tc>
          <w:tcPr>
            <w:tcW w:type="dxa" w:w="5040"/>
            <w:vAlign w:val="center"/>
          </w:tcPr>
          <w:p>
            <w:r>
              <w:t>Hash mismatch</w:t>
            </w:r>
          </w:p>
        </w:tc>
        <w:tc>
          <w:tcPr>
            <w:tcW w:type="dxa" w:w="5040"/>
            <w:vAlign w:val="center"/>
          </w:tcPr>
          <w:p>
            <w:r>
              <w:t>Delete the folder and download again</w:t>
            </w:r>
          </w:p>
        </w:tc>
      </w:tr>
      <w:tr>
        <w:trPr>
          <w:cantSplit/>
        </w:trPr>
        <w:tc>
          <w:tcPr>
            <w:tcW w:type="dxa" w:w="5040"/>
            <w:vAlign w:val="center"/>
          </w:tcPr>
          <w:p>
            <w:r>
              <w:t>Python free-threaded</w:t>
            </w:r>
          </w:p>
        </w:tc>
        <w:tc>
          <w:tcPr>
            <w:tcW w:type="dxa" w:w="5040"/>
            <w:vAlign w:val="center"/>
          </w:tcPr>
          <w:p>
            <w:r>
              <w:t>Install or accept the standard Python 3.12 fallback</w:t>
            </w:r>
          </w:p>
        </w:tc>
      </w:tr>
      <w:tr>
        <w:trPr>
          <w:cantSplit/>
        </w:trPr>
        <w:tc>
          <w:tcPr>
            <w:tcW w:type="dxa" w:w="5040"/>
            <w:vAlign w:val="center"/>
          </w:tcPr>
          <w:p>
            <w:r>
              <w:t>Missing wheel on 3.14</w:t>
            </w:r>
          </w:p>
        </w:tc>
        <w:tc>
          <w:tcPr>
            <w:tcW w:type="dxa" w:w="5040"/>
            <w:vAlign w:val="center"/>
          </w:tcPr>
          <w:p>
            <w:r>
              <w:t>Automatic 3.12 fallback</w:t>
            </w:r>
          </w:p>
        </w:tc>
      </w:tr>
    </w:tbl>
    <w:p>
      <w:r/>
    </w:p>
    <w:p>
      <w:pPr>
        <w:pStyle w:val="Heading1"/>
      </w:pPr>
      <w:r>
        <w:t>4. macOS installation</w:t>
      </w:r>
    </w:p>
    <w:p>
      <w:pPr>
        <w:pStyle w:val="ListNumber"/>
        <w:numPr>
          <w:ilvl w:val="0"/>
          <w:numId w:val="1003"/>
        </w:numPr>
      </w:pPr>
      <w:r>
        <w:t>Verify the ZIP hash and manifest.</w:t>
      </w:r>
    </w:p>
    <w:p>
      <w:pPr>
        <w:pStyle w:val="ListNumber"/>
        <w:numPr>
          <w:ilvl w:val="0"/>
          <w:numId w:val="1003"/>
        </w:numPr>
      </w:pPr>
      <w:r>
        <w:t>Open Demarrer_Mac.command. After an unidentified-app block, once provenance and integrity are checked and device policy permits, use System Settings &gt; Privacy &amp; Security &gt; Open Anyway where offered. Stop if the system reports malware or tampering.</w:t>
      </w:r>
    </w:p>
    <w:p>
      <w:pPr>
        <w:pStyle w:val="ListNumber"/>
        <w:numPr>
          <w:ilvl w:val="0"/>
          <w:numId w:val="1003"/>
        </w:numPr>
      </w:pPr>
      <w:r>
        <w:t>If Homebrew is absent, the script displays the official URL and asks for explicit confirmation before execution.</w:t>
      </w:r>
    </w:p>
    <w:p>
      <w:pPr>
        <w:pStyle w:val="ListNumber"/>
        <w:numPr>
          <w:ilvl w:val="0"/>
          <w:numId w:val="1003"/>
        </w:numPr>
      </w:pPr>
      <w:r>
        <w:t>Quarantine removal with xattr is offered only for CoDIR IA files and can be refused.</w:t>
      </w:r>
    </w:p>
    <w:p>
      <w:pPr>
        <w:pStyle w:val="ListNumber"/>
        <w:numPr>
          <w:ilvl w:val="0"/>
          <w:numId w:val="1003"/>
        </w:numPr>
      </w:pPr>
      <w:r>
        <w:t>A locally created .app shortcut does not turn the script into a signed/notarised application.</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Gatekeeper</w:t>
            </w:r>
          </w:p>
        </w:tc>
      </w:tr>
      <w:tr>
        <w:trPr>
          <w:cantSplit/>
        </w:trPr>
        <w:tc>
          <w:tcPr>
            <w:tcW w:type="dxa" w:w="10080"/>
            <w:shd w:fill="FFF3CD"/>
          </w:tcPr>
          <w:p>
            <w:r>
              <w:t>Do not disable Gatekeeper globally. Permitted routes depend on the system and organisational policy.</w:t>
            </w:r>
          </w:p>
        </w:tc>
      </w:tr>
    </w:tbl>
    <w:p>
      <w:r/>
    </w:p>
    <w:p>
      <w:pPr>
        <w:pStyle w:val="Heading1"/>
      </w:pPr>
      <w:r>
        <w:t>5. Linux / developer launch</w:t>
      </w:r>
    </w:p>
    <w:p>
      <w:r>
        <w:t>Linux is a technical path: standard Python 3.11–3.14, venv, install from requirements.lock, then streamlit run app.py. Set CODIR_CONFIG_DIR, CODIR_CACHE_DIR and CODIR_DATA_DIR according to your XDG policy.</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Variable</w:t>
            </w:r>
          </w:p>
        </w:tc>
        <w:tc>
          <w:tcPr>
            <w:tcW w:type="dxa" w:w="5040"/>
            <w:shd w:fill="101A4A"/>
          </w:tcPr>
          <w:p>
            <w:pPr>
              <w:keepNext/>
            </w:pPr>
            <w:r>
              <w:rPr>
                <w:b/>
                <w:color w:val="FFFFFF"/>
              </w:rPr>
              <w:t>Purpose</w:t>
            </w:r>
          </w:p>
        </w:tc>
      </w:tr>
      <w:tr>
        <w:trPr>
          <w:cantSplit/>
        </w:trPr>
        <w:tc>
          <w:tcPr>
            <w:tcW w:type="dxa" w:w="5040"/>
            <w:vAlign w:val="center"/>
          </w:tcPr>
          <w:p>
            <w:r>
              <w:t>CODIR_CONFIG_DIR</w:t>
            </w:r>
          </w:p>
        </w:tc>
        <w:tc>
          <w:tcPr>
            <w:tcW w:type="dxa" w:w="5040"/>
            <w:vAlign w:val="center"/>
          </w:tcPr>
          <w:p>
            <w:r>
              <w:t>settings, secrets, application logs</w:t>
            </w:r>
          </w:p>
        </w:tc>
      </w:tr>
      <w:tr>
        <w:trPr>
          <w:cantSplit/>
        </w:trPr>
        <w:tc>
          <w:tcPr>
            <w:tcW w:type="dxa" w:w="5040"/>
            <w:vAlign w:val="center"/>
          </w:tcPr>
          <w:p>
            <w:r>
              <w:t>CODIR_CACHE_DIR</w:t>
            </w:r>
          </w:p>
        </w:tc>
        <w:tc>
          <w:tcPr>
            <w:tcW w:type="dxa" w:w="5040"/>
            <w:vAlign w:val="center"/>
          </w:tcPr>
          <w:p>
            <w:r>
              <w:t>registry/document caches</w:t>
            </w:r>
          </w:p>
        </w:tc>
      </w:tr>
      <w:tr>
        <w:trPr>
          <w:cantSplit/>
        </w:trPr>
        <w:tc>
          <w:tcPr>
            <w:tcW w:type="dxa" w:w="5040"/>
            <w:vAlign w:val="center"/>
          </w:tcPr>
          <w:p>
            <w:r>
              <w:t>CODIR_DATA_DIR</w:t>
            </w:r>
          </w:p>
        </w:tc>
        <w:tc>
          <w:tcPr>
            <w:tcW w:type="dxa" w:w="5040"/>
            <w:vAlign w:val="center"/>
          </w:tcPr>
          <w:p>
            <w:r>
              <w:t>history and CoDIR register</w:t>
            </w:r>
          </w:p>
        </w:tc>
      </w:tr>
      <w:tr>
        <w:trPr>
          <w:cantSplit/>
        </w:trPr>
        <w:tc>
          <w:tcPr>
            <w:tcW w:type="dxa" w:w="5040"/>
            <w:vAlign w:val="center"/>
          </w:tcPr>
          <w:p>
            <w:r>
              <w:t>CODIR_PARSE_ENGINE</w:t>
            </w:r>
          </w:p>
        </w:tc>
        <w:tc>
          <w:tcPr>
            <w:tcW w:type="dxa" w:w="5040"/>
            <w:vAlign w:val="center"/>
          </w:tcPr>
          <w:p>
            <w:r>
              <w:t>thread by default</w:t>
            </w:r>
          </w:p>
        </w:tc>
      </w:tr>
    </w:tbl>
    <w:p>
      <w:r/>
    </w:p>
    <w:p>
      <w:pPr>
        <w:pStyle w:val="Heading1"/>
      </w:pPr>
      <w:r>
        <w:t>6. Keys, configuration and paths</w:t>
      </w:r>
    </w:p>
    <w:p>
      <w:r>
        <w:t>Exact step for keys: open the application's Settings page, paste the provider's key into its field, save; the page shows the configuration folder where it is stored in clear text and the cache folder. Then check one provider at a time: a short session on a test brief confirms the key and the balance. Never paste a key into the brief, a support ticket or a shared log.</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trPr>
        <w:tc>
          <w:tcPr>
            <w:tcW w:type="dxa" w:w="2520"/>
            <w:shd w:fill="101A4A"/>
          </w:tcPr>
          <w:p>
            <w:pPr>
              <w:keepNext/>
            </w:pPr>
            <w:r>
              <w:rPr>
                <w:b/>
                <w:color w:val="FFFFFF"/>
              </w:rPr>
              <w:t>Platform</w:t>
            </w:r>
          </w:p>
        </w:tc>
        <w:tc>
          <w:tcPr>
            <w:tcW w:type="dxa" w:w="2520"/>
            <w:shd w:fill="101A4A"/>
          </w:tcPr>
          <w:p>
            <w:pPr>
              <w:keepNext/>
            </w:pPr>
            <w:r>
              <w:rPr>
                <w:b/>
                <w:color w:val="FFFFFF"/>
              </w:rPr>
              <w:t>Configuration</w:t>
            </w:r>
          </w:p>
        </w:tc>
        <w:tc>
          <w:tcPr>
            <w:tcW w:type="dxa" w:w="2520"/>
            <w:shd w:fill="101A4A"/>
          </w:tcPr>
          <w:p>
            <w:pPr>
              <w:keepNext/>
            </w:pPr>
            <w:r>
              <w:rPr>
                <w:b/>
                <w:color w:val="FFFFFF"/>
              </w:rPr>
              <w:t>Cache</w:t>
            </w:r>
          </w:p>
        </w:tc>
        <w:tc>
          <w:tcPr>
            <w:tcW w:type="dxa" w:w="2520"/>
            <w:shd w:fill="101A4A"/>
          </w:tcPr>
          <w:p>
            <w:pPr>
              <w:keepNext/>
            </w:pPr>
            <w:r>
              <w:rPr>
                <w:b/>
                <w:color w:val="FFFFFF"/>
              </w:rPr>
              <w:t>Venv / install logs</w:t>
            </w:r>
          </w:p>
        </w:tc>
      </w:tr>
      <w:tr>
        <w:trPr>
          <w:cantSplit/>
        </w:trPr>
        <w:tc>
          <w:tcPr>
            <w:tcW w:type="dxa" w:w="2520"/>
            <w:vAlign w:val="center"/>
          </w:tcPr>
          <w:p>
            <w:r>
              <w:t>Windows</w:t>
            </w:r>
          </w:p>
        </w:tc>
        <w:tc>
          <w:tcPr>
            <w:tcW w:type="dxa" w:w="2520"/>
            <w:vAlign w:val="center"/>
          </w:tcPr>
          <w:p>
            <w:r>
              <w:t>%APPDATA%\CoDIR-IA</w:t>
            </w:r>
          </w:p>
        </w:tc>
        <w:tc>
          <w:tcPr>
            <w:tcW w:type="dxa" w:w="2520"/>
            <w:vAlign w:val="center"/>
          </w:tcPr>
          <w:p>
            <w:r>
              <w:t>%LOCALAPPDATA%\CoDIR-IA\cache</w:t>
            </w:r>
          </w:p>
        </w:tc>
        <w:tc>
          <w:tcPr>
            <w:tcW w:type="dxa" w:w="2520"/>
            <w:vAlign w:val="center"/>
          </w:tcPr>
          <w:p>
            <w:r>
              <w:t>%LOCALAPPDATA%\CoDIR-IA</w:t>
            </w:r>
          </w:p>
        </w:tc>
      </w:tr>
      <w:tr>
        <w:trPr>
          <w:cantSplit/>
        </w:trPr>
        <w:tc>
          <w:tcPr>
            <w:tcW w:type="dxa" w:w="2520"/>
            <w:vAlign w:val="center"/>
          </w:tcPr>
          <w:p>
            <w:r>
              <w:t>macOS</w:t>
            </w:r>
          </w:p>
        </w:tc>
        <w:tc>
          <w:tcPr>
            <w:tcW w:type="dxa" w:w="2520"/>
            <w:vAlign w:val="center"/>
          </w:tcPr>
          <w:p>
            <w:r>
              <w:t>~/Library/Application Support/CoDIR-IA</w:t>
            </w:r>
          </w:p>
        </w:tc>
        <w:tc>
          <w:tcPr>
            <w:tcW w:type="dxa" w:w="2520"/>
            <w:vAlign w:val="center"/>
          </w:tcPr>
          <w:p>
            <w:r>
              <w:t>…/CoDIR-IA/cache</w:t>
            </w:r>
          </w:p>
        </w:tc>
        <w:tc>
          <w:tcPr>
            <w:tcW w:type="dxa" w:w="2520"/>
            <w:vAlign w:val="center"/>
          </w:tcPr>
          <w:p>
            <w:r>
              <w:t>application folder/.venv</w:t>
            </w:r>
          </w:p>
        </w:tc>
      </w:tr>
      <w:tr>
        <w:trPr>
          <w:cantSplit/>
        </w:trPr>
        <w:tc>
          <w:tcPr>
            <w:tcW w:type="dxa" w:w="2520"/>
            <w:vAlign w:val="center"/>
          </w:tcPr>
          <w:p>
            <w:r>
              <w:t>Linux</w:t>
            </w:r>
          </w:p>
        </w:tc>
        <w:tc>
          <w:tcPr>
            <w:tcW w:type="dxa" w:w="2520"/>
            <w:vAlign w:val="center"/>
          </w:tcPr>
          <w:p>
            <w:r>
              <w:t>$XDG_CONFIG_HOME/CoDIR-IA</w:t>
            </w:r>
          </w:p>
        </w:tc>
        <w:tc>
          <w:tcPr>
            <w:tcW w:type="dxa" w:w="2520"/>
            <w:vAlign w:val="center"/>
          </w:tcPr>
          <w:p>
            <w:r>
              <w:t>${XDG_CACHE_HOME}/CoDIR-IA</w:t>
            </w:r>
          </w:p>
        </w:tc>
        <w:tc>
          <w:tcPr>
            <w:tcW w:type="dxa" w:w="2520"/>
            <w:vAlign w:val="center"/>
          </w:tcPr>
          <w:p>
            <w:r>
              <w:t>application folder/.venv</w:t>
            </w:r>
          </w:p>
        </w:tc>
      </w:tr>
    </w:tbl>
    <w:p>
      <w:r/>
    </w:p>
    <w:p>
      <w:r>
        <w:t>Keys are stored locally in secrets.json. Use the application settings and never share the file. Potential providers and transfers are documented in SUBPROCESSORS_AND_TRANSFERS.md.</w:t>
      </w:r>
    </w:p>
    <w:p>
      <w:pPr>
        <w:pStyle w:val="Heading2"/>
      </w:pPr>
      <w:r>
        <w:t>Model and public sources</w:t>
      </w:r>
    </w:p>
    <w:p>
      <w:pPr/>
      <w:r>
        <w:t>Default Anthropic model: Claude Sonnet 5.5 (claude-sonnet-5-5). Claude Sonnet 4.5 is retired from the API on 24/11/2026; a setting saved on an older Sonnet is migrated automatically at first launch. Temperature is no longer sent to Claude 4.7 and later models, which reject it.</w:t>
      </w:r>
    </w:p>
    <w:p>
      <w:pPr/>
      <w:r>
        <w:t>Models by role (settings of 10/10/2026, "quality first"): minutes, Finance and Strategy — claude-sonnet-5-5; General management, Marketing, CEO and Supply Chain pre-filter — gpt-5.4; Supply Chain primary — gpt-5.4; Finance second opinion and Supply Chain challenger — gemini-3.6-flash; Sales — grok-4.3; Decision synthesis and web search — Perplexity through the Agent API (perplexity/sonar); last-resort fallback in every role — Mistral AI (Paris), European provider, mistral-medium-latest. A setting or environment variable left on a retired model is migrated automatically; the Settings page flags a variable that overrides a setting.</w:t>
      </w:r>
    </w:p>
    <w:p>
      <w:pPr/>
      <w:r>
        <w:t>Test before the first run: in Settings, “Test connection” checks each key; “Test reading” also checks that published amounts can be read (SEC — 10-K, Pappers — financials, Companies House — iXBRL accounts on a UK company number entered).</w:t>
      </w:r>
    </w:p>
    <w:p>
      <w:pPr/>
      <w:r>
        <w:t>Public sources: SEC contact (SEC_EDGAR_USER_AGENT, “First Last address@domain”) for US-listed companies; Companies House key (COMPANIES_HOUSE_API_KEY, optionally COMPANIES_HOUSE_DOCUMENT_API_KEY) for UK companies; Pappers key (PAPPERS_API_KEY, optional) for French companies. These settings are entered on the Settings page and saved in the configuration folder (Windows: %APPDATA%\CoDIR-IA; macOS: ~/Library/Application Support/CoDIR-IA). Only the company identifier is sent to these services.</w:t>
      </w:r>
    </w:p>
    <w:p>
      <w:pPr>
        <w:pStyle w:val="Heading2"/>
      </w:pPr>
      <w:r>
        <w:t>Storage and case history</w:t>
      </w:r>
    </w:p>
    <w:p>
      <w:r>
        <w:t>Memory between meetings. The code includes local case history and a timestamped action register. Reuse the same case — the same “Dossier label” from one meeting to the next — and check the entity, identifier, data directory and analysis date. State genuinely approved decisions, completed or deferred actions and explicit closures in the next brief. Then review carried-over items and changes: repetition does not approve a proposal. Retrospective/future modes do not write to the live register; the “Start fresh — ignore this folder’s history” box (technical variable CODIR_IGNORE_HISTORY) disables carry-over for an isolated test. This documentation revision does not certify exhaustive decision, action and question continuity across two meetings; verify it for your case. This is not memory of all conversations or model training.</w:t>
      </w:r>
    </w:p>
    <w:p>
      <w:pPr>
        <w:pStyle w:val="Heading1"/>
      </w:pPr>
      <w:r>
        <w:t>7. Update and migration</w:t>
      </w:r>
    </w:p>
    <w:p>
      <w:pPr>
        <w:pStyle w:val="ListNumber"/>
        <w:numPr>
          <w:ilvl w:val="0"/>
          <w:numId w:val="1004"/>
        </w:numPr>
      </w:pPr>
      <w:r>
        <w:t>Keep an encrypted backup of useful settings, without sharing keys.</w:t>
      </w:r>
    </w:p>
    <w:p>
      <w:pPr>
        <w:pStyle w:val="ListNumber"/>
        <w:numPr>
          <w:ilvl w:val="0"/>
          <w:numId w:val="1004"/>
        </w:numPr>
      </w:pPr>
      <w:r>
        <w:t>Install the new version in a new folder.</w:t>
      </w:r>
    </w:p>
    <w:p>
      <w:pPr>
        <w:pStyle w:val="ListNumber"/>
        <w:numPr>
          <w:ilvl w:val="0"/>
          <w:numId w:val="1004"/>
        </w:numPr>
      </w:pPr>
      <w:r>
        <w:t>Verify SHA and manifest.</w:t>
      </w:r>
    </w:p>
    <w:p>
      <w:pPr>
        <w:pStyle w:val="ListNumber"/>
        <w:numPr>
          <w:ilvl w:val="0"/>
          <w:numId w:val="1004"/>
        </w:numPr>
      </w:pPr>
      <w:r>
        <w:t>On Windows, the launcher detects a Python environment built for another version: it sets it aside as .venv-precedent, installs the supplied lock and recreates the Desktop shortcut at the next launch. Close CoDIR IA before running the new version, then check that INSTALL_MODE.txt says locked requirements.lock. Do not delete %APPDATA%\CoDIR-IA, which holds your settings and data.</w:t>
      </w:r>
    </w:p>
    <w:p>
      <w:pPr>
        <w:pStyle w:val="ListNumber"/>
        <w:numPr>
          <w:ilvl w:val="0"/>
          <w:numId w:val="1004"/>
        </w:numPr>
      </w:pPr>
      <w:r>
        <w:t>Check the remembered target and analysis date before a run.</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Migration</w:t>
            </w:r>
          </w:p>
        </w:tc>
      </w:tr>
      <w:tr>
        <w:trPr>
          <w:cantSplit/>
        </w:trPr>
        <w:tc>
          <w:tcPr>
            <w:tcW w:type="dxa" w:w="10080"/>
            <w:shd w:fill="F3F5F8"/>
          </w:tcPr>
          <w:p>
            <w:r>
              <w:t>Legacy ~/.codir_ia paths may still contain data. v62.13.4 reads them only for migration; delete them after verification.</w:t>
            </w:r>
          </w:p>
        </w:tc>
      </w:tr>
    </w:tbl>
    <w:p>
      <w:r/>
    </w:p>
    <w:p>
      <w:pPr>
        <w:pStyle w:val="Heading1"/>
      </w:pPr>
      <w:r>
        <w:t>8. Troubleshooting</w:t>
      </w:r>
    </w:p>
    <w:p>
      <w:pPr>
        <w:pStyle w:val="Heading2"/>
      </w:pPr>
      <w:r>
        <w:t>Diagnosis in six cases</w:t>
      </w:r>
    </w:p>
    <w:p>
      <w:pPr>
        <w:pStyle w:val="ListBullet"/>
      </w:pPr>
      <w:r>
        <w:t>Dependencies still downloading: the installation window shows pip lines; wait for the end, then read the installation log (locked mode succeeded, or requirements.txt fallback used).</w:t>
      </w:r>
    </w:p>
    <w:p>
      <w:pPr>
        <w:pStyle w:val="ListBullet"/>
      </w:pPr>
      <w:r>
        <w:t>Provider refusing a request: the message names the provider and the cause (invalid key, balance, quota, unavailable model); fix it on the provider account, then relaunch. This is not an installation failure.</w:t>
      </w:r>
    </w:p>
    <w:p>
      <w:pPr>
        <w:pStyle w:val="ListBullet"/>
      </w:pPr>
      <w:r>
        <w:t>The public launchers use port 8501. If this port is in use, close the other instance or ask your administrator to free the port, then relaunch. The launcher does not automatically select another port.</w:t>
      </w:r>
    </w:p>
    <w:p>
      <w:pPr>
        <w:pStyle w:val="ListBullet"/>
      </w:pPr>
      <w:r>
        <w:t>Withheld deliverable or control warning: read the message, diagnostics and actual available files. Deck checks may trigger warnings. The PPTX remains a draft; prioritise the two Word documents for substantive review.</w:t>
      </w:r>
    </w:p>
    <w:p>
      <w:pPr>
        <w:pStyle w:val="ListBullet"/>
      </w:pPr>
      <w:r>
        <w:t>Resuming an export: keep the complete package. Replay depends on saved responses, compatibility and a technical procedure; a new analysis may still be needed.</w:t>
      </w:r>
    </w:p>
    <w:p>
      <w:pPr>
        <w:pStyle w:val="ListBullet"/>
      </w:pPr>
      <w:r>
        <w:t>Attachment not read: the report's extractability card lists the attachments without usable text ("OCR required"); provide a text version or an extraction, then relaunch.</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fill="101A4A"/>
          </w:tcPr>
          <w:p>
            <w:pPr>
              <w:keepNext/>
            </w:pPr>
            <w:r>
              <w:rPr>
                <w:b/>
                <w:color w:val="FFFFFF"/>
              </w:rPr>
              <w:t>Symptom</w:t>
            </w:r>
          </w:p>
        </w:tc>
        <w:tc>
          <w:tcPr>
            <w:tcW w:type="dxa" w:w="3360"/>
            <w:shd w:fill="101A4A"/>
          </w:tcPr>
          <w:p>
            <w:pPr>
              <w:keepNext/>
            </w:pPr>
            <w:r>
              <w:rPr>
                <w:b/>
                <w:color w:val="FFFFFF"/>
              </w:rPr>
              <w:t>Diagnostic</w:t>
            </w:r>
          </w:p>
        </w:tc>
        <w:tc>
          <w:tcPr>
            <w:tcW w:type="dxa" w:w="3360"/>
            <w:shd w:fill="101A4A"/>
          </w:tcPr>
          <w:p>
            <w:pPr>
              <w:keepNext/>
            </w:pPr>
            <w:r>
              <w:rPr>
                <w:b/>
                <w:color w:val="FFFFFF"/>
              </w:rPr>
              <w:t>Action</w:t>
            </w:r>
          </w:p>
        </w:tc>
      </w:tr>
      <w:tr>
        <w:trPr>
          <w:cantSplit/>
        </w:trPr>
        <w:tc>
          <w:tcPr>
            <w:tcW w:type="dxa" w:w="3360"/>
            <w:vAlign w:val="center"/>
          </w:tcPr>
          <w:p>
            <w:r>
              <w:t>Browser does not open</w:t>
            </w:r>
          </w:p>
        </w:tc>
        <w:tc>
          <w:tcPr>
            <w:tcW w:type="dxa" w:w="3360"/>
            <w:vAlign w:val="center"/>
          </w:tcPr>
          <w:p>
            <w:r>
              <w:t>Port 8501 or Streamlit</w:t>
            </w:r>
          </w:p>
        </w:tc>
        <w:tc>
          <w:tcPr>
            <w:tcW w:type="dxa" w:w="3360"/>
            <w:vAlign w:val="center"/>
          </w:tcPr>
          <w:p>
            <w:r>
              <w:t>Open the complete URL shown by the launcher; review the logs. With the public launchers, port 8501 is used (http://127.0.0.1:8501).</w:t>
            </w:r>
          </w:p>
        </w:tc>
      </w:tr>
      <w:tr>
        <w:trPr>
          <w:cantSplit/>
        </w:trPr>
        <w:tc>
          <w:tcPr>
            <w:tcW w:type="dxa" w:w="3360"/>
            <w:vAlign w:val="center"/>
          </w:tcPr>
          <w:p>
            <w:r>
              <w:t>RuntimeError</w:t>
            </w:r>
          </w:p>
        </w:tc>
        <w:tc>
          <w:tcPr>
            <w:tcW w:type="dxa" w:w="3360"/>
            <w:vAlign w:val="center"/>
          </w:tcPr>
          <w:p>
            <w:r>
              <w:t>Post-control or dependency</w:t>
            </w:r>
          </w:p>
        </w:tc>
        <w:tc>
          <w:tcPr>
            <w:tcW w:type="dxa" w:w="3360"/>
            <w:vAlign w:val="center"/>
          </w:tcPr>
          <w:p>
            <w:r>
              <w:t>Copy the technical report without secrets</w:t>
            </w:r>
          </w:p>
        </w:tc>
      </w:tr>
      <w:tr>
        <w:trPr>
          <w:cantSplit/>
        </w:trPr>
        <w:tc>
          <w:tcPr>
            <w:tcW w:type="dxa" w:w="3360"/>
            <w:vAlign w:val="center"/>
          </w:tcPr>
          <w:p>
            <w:r>
              <w:t>PPTX withheld</w:t>
            </w:r>
          </w:p>
        </w:tc>
        <w:tc>
          <w:tcPr>
            <w:tcW w:type="dxa" w:w="3360"/>
            <w:vAlign w:val="center"/>
          </w:tcPr>
          <w:p>
            <w:r>
              <w:t>Numeric/truth guard</w:t>
            </w:r>
          </w:p>
        </w:tc>
        <w:tc>
          <w:tcPr>
            <w:tcW w:type="dxa" w:w="3360"/>
            <w:vAlign w:val="center"/>
          </w:tcPr>
          <w:p>
            <w:r>
              <w:t>Read diagnostics and annex; do not disable the gate</w:t>
            </w:r>
          </w:p>
        </w:tc>
      </w:tr>
      <w:tr>
        <w:trPr>
          <w:cantSplit/>
        </w:trPr>
        <w:tc>
          <w:tcPr>
            <w:tcW w:type="dxa" w:w="3360"/>
            <w:vAlign w:val="center"/>
          </w:tcPr>
          <w:p>
            <w:r>
              <w:t>PDF not read</w:t>
            </w:r>
          </w:p>
        </w:tc>
        <w:tc>
          <w:tcPr>
            <w:tcW w:type="dxa" w:w="3360"/>
            <w:vAlign w:val="center"/>
          </w:tcPr>
          <w:p>
            <w:r>
              <w:t>Image-only/no text layer</w:t>
            </w:r>
          </w:p>
        </w:tc>
        <w:tc>
          <w:tcPr>
            <w:tcW w:type="dxa" w:w="3360"/>
            <w:vAlign w:val="center"/>
          </w:tcPr>
          <w:p>
            <w:r>
              <w:t>OCR_REQUIRED; provide a text-based version</w:t>
            </w:r>
          </w:p>
        </w:tc>
      </w:tr>
      <w:tr>
        <w:trPr>
          <w:cantSplit/>
        </w:trPr>
        <w:tc>
          <w:tcPr>
            <w:tcW w:type="dxa" w:w="3360"/>
            <w:vAlign w:val="center"/>
          </w:tcPr>
          <w:p>
            <w:r>
              <w:t>Incorrect target</w:t>
            </w:r>
          </w:p>
        </w:tc>
        <w:tc>
          <w:tcPr>
            <w:tcW w:type="dxa" w:w="3360"/>
            <w:vAlign w:val="center"/>
          </w:tcPr>
          <w:p>
            <w:r>
              <w:t>Ambiguous resolution</w:t>
            </w:r>
          </w:p>
        </w:tc>
        <w:tc>
          <w:tcPr>
            <w:tcW w:type="dxa" w:w="3360"/>
            <w:vAlign w:val="center"/>
          </w:tcPr>
          <w:p>
            <w:r>
              <w:t>Change target and confirm the legal identifier</w:t>
            </w:r>
          </w:p>
        </w:tc>
      </w:tr>
      <w:tr>
        <w:trPr>
          <w:cantSplit/>
        </w:trPr>
        <w:tc>
          <w:tcPr>
            <w:tcW w:type="dxa" w:w="3360"/>
            <w:vAlign w:val="center"/>
          </w:tcPr>
          <w:p>
            <w:r>
              <w:t>Phantom date</w:t>
            </w:r>
          </w:p>
        </w:tc>
        <w:tc>
          <w:tcPr>
            <w:tcW w:type="dxa" w:w="3360"/>
            <w:vAlign w:val="center"/>
          </w:tcPr>
          <w:p>
            <w:r>
              <w:t>Persistent setting</w:t>
            </w:r>
          </w:p>
        </w:tc>
        <w:tc>
          <w:tcPr>
            <w:tcW w:type="dxa" w:w="3360"/>
            <w:vAlign w:val="center"/>
          </w:tcPr>
          <w:p>
            <w:r>
              <w:t>Check the intended analysis date and mode; do not switch to LIVE to bypass a retrospective analysis.</w:t>
            </w:r>
          </w:p>
        </w:tc>
      </w:tr>
    </w:tbl>
    <w:p>
      <w:r/>
    </w:p>
    <w:p>
      <w:r>
        <w:t>The crash log is under the configuration/logs directory. Logs may contain paths and file names; review them before sharing.</w:t>
      </w:r>
    </w:p>
    <w:p>
      <w:pPr>
        <w:pStyle w:val="Heading1"/>
      </w:pPr>
      <w:r>
        <w:t>9. Uninstall and deletion</w:t>
      </w:r>
    </w:p>
    <w:p>
      <w:r>
        <w:t>Deleting the application alone does not erase local data.</w:t>
      </w:r>
    </w:p>
    <w:p>
      <w:pPr>
        <w:pStyle w:val="ListBullet"/>
      </w:pPr>
      <w:r>
        <w:t>Close CoDIR IA and the terminal.</w:t>
      </w:r>
    </w:p>
    <w:p>
      <w:pPr>
        <w:pStyle w:val="ListBullet"/>
      </w:pPr>
      <w:r>
        <w:t>Delete the installation folder and outputs.</w:t>
      </w:r>
    </w:p>
    <w:p>
      <w:pPr>
        <w:pStyle w:val="ListBullet"/>
      </w:pPr>
      <w:r>
        <w:t>Delete configuration, cache and venv directories.</w:t>
      </w:r>
    </w:p>
    <w:p>
      <w:pPr>
        <w:pStyle w:val="ListBullet"/>
      </w:pPr>
      <w:r>
        <w:t>Review and delete legacy ~/.codir_ia.</w:t>
      </w:r>
    </w:p>
    <w:p>
      <w:pPr>
        <w:pStyle w:val="ListBullet"/>
      </w:pPr>
      <w:r>
        <w:t>Revoke provider API keys where appropriate.</w:t>
      </w:r>
    </w:p>
    <w:p>
      <w:pPr>
        <w:pStyle w:val="ListBullet"/>
      </w:pPr>
      <w:r>
        <w:t>Delete shortcuts and backups.</w:t>
      </w:r>
    </w:p>
    <w:p>
      <w:pPr>
        <w:pStyle w:val="Heading1"/>
      </w:pPr>
      <w:r>
        <w:t>10. Security, legal and release gates</w:t>
      </w:r>
    </w:p>
    <w:p>
      <w:r>
        <w:t>Status of the v17.0 publication evidence (private documents are kept by the publisher outside the archive):</w:t>
      </w:r>
    </w:p>
    <w:p>
      <w:pPr>
        <w:pStyle w:val="ListBullet"/>
      </w:pPr>
      <w:r>
        <w:t>AI Act applicability note and chain of title: kept by the publisher;</w:t>
      </w:r>
    </w:p>
    <w:p>
      <w:pPr>
        <w:pStyle w:val="ListBullet"/>
      </w:pPr>
      <w:r>
        <w:t>signing: v17.0 published without code signing (unsigned launchers); signing planned for v18;</w:t>
      </w:r>
    </w:p>
    <w:p>
      <w:pPr>
        <w:pStyle w:val="ListBullet"/>
      </w:pPr>
      <w:r>
        <w:t>warnings expected at first launch: described in the README and the installation guides;</w:t>
      </w:r>
    </w:p>
    <w:p>
      <w:pPr>
        <w:pStyle w:val="ListBullet"/>
      </w:pPr>
      <w:r>
        <w:t>native tests: macOS on 17 October 2026 and Windows on 18 October 2026, on the public archive;</w:t>
      </w:r>
    </w:p>
    <w:p>
      <w:pPr>
        <w:pStyle w:val="ListBullet"/>
      </w:pPr>
      <w:r>
        <w:t>security channel: security@vauquigneux.com, procedure in SECURITY_EN.md;</w:t>
      </w:r>
    </w:p>
    <w:p>
      <w:pPr>
        <w:pStyle w:val="ListBullet"/>
      </w:pPr>
      <w:r>
        <w:t>vulnerability scan: pip-audit of 17 October 2026 on the distributed lock, no known vulnerability; raw output and fingerprint in VULNERABILITY_SCAN_STATUS.md.</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Contact</w:t>
            </w:r>
          </w:p>
        </w:tc>
      </w:tr>
      <w:tr>
        <w:trPr>
          <w:cantSplit/>
        </w:trPr>
        <w:tc>
          <w:tcPr>
            <w:tcW w:type="dxa" w:w="10080"/>
            <w:shd w:fill="F3F5F8"/>
          </w:tcPr>
          <w:p>
            <w:r>
              <w:t>security@vauquigneux.com (main channel), subject [SECURITY CoDIR IA]; https://robinsauzet.com/contact/ as fallback.</w:t>
            </w:r>
          </w:p>
        </w:tc>
      </w:tr>
    </w:tbl>
    <w:p>
      <w:r/>
    </w:p>
    <w:p>
      <w:pPr>
        <w:pStyle w:val="Heading1"/>
      </w:pPr>
      <w:r>
        <w:t>Appendix A — Installation architecture and trust chain</w:t>
      </w:r>
    </w:p>
    <w:p>
      <w:r>
        <w:t>The root launcher, Python selector, virtual environment and application have separate responsibilities. The root launcher verifies the integrity of the distribution (SHA256SUMS), on Windows and macOS, and stops with exit code 11 on failure. Setup selects a standard CPython implementation, builds the isolated environment and installs locked versions. The application should start only after those steps. This separation supports auditability and prevents analytical fixes from depending on installer behaviour.</w:t>
      </w:r>
    </w:p>
    <w:p>
      <w:pPr>
        <w:pStyle w:val="ListBullet"/>
      </w:pPr>
      <w:r>
        <w:t>Trust chain: ZIP source → announced SHA → ZIP SHA → internal SHA256SUMS → extracted files → launch.</w:t>
      </w:r>
    </w:p>
    <w:p>
      <w:pPr>
        <w:pStyle w:val="ListBullet"/>
      </w:pPr>
      <w:r>
        <w:t>Integrity verification does not replace digital signing, but detects alteration between sealing and the workstation.</w:t>
      </w:r>
    </w:p>
    <w:p>
      <w:pPr>
        <w:pStyle w:val="ListBullet"/>
      </w:pPr>
      <w:r>
        <w:t>The venv isolates application dependencies; it is not a security sandbox.</w:t>
      </w:r>
    </w:p>
    <w:p>
      <w:pPr>
        <w:pStyle w:val="ListBullet"/>
      </w:pPr>
      <w:r>
        <w:t>Keys stay outside the ZIP and should be protected by the OS account or an enterprise vault.</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fill="101A4A"/>
          </w:tcPr>
          <w:p>
            <w:pPr>
              <w:keepNext/>
            </w:pPr>
            <w:r>
              <w:rPr>
                <w:b/>
                <w:color w:val="FFFFFF"/>
              </w:rPr>
              <w:t>Component</w:t>
            </w:r>
          </w:p>
        </w:tc>
        <w:tc>
          <w:tcPr>
            <w:tcW w:type="dxa" w:w="3360"/>
            <w:shd w:fill="101A4A"/>
          </w:tcPr>
          <w:p>
            <w:pPr>
              <w:keepNext/>
            </w:pPr>
            <w:r>
              <w:rPr>
                <w:b/>
                <w:color w:val="FFFFFF"/>
              </w:rPr>
              <w:t>Responsibility</w:t>
            </w:r>
          </w:p>
        </w:tc>
        <w:tc>
          <w:tcPr>
            <w:tcW w:type="dxa" w:w="3360"/>
            <w:shd w:fill="101A4A"/>
          </w:tcPr>
          <w:p>
            <w:pPr>
              <w:keepNext/>
            </w:pPr>
            <w:r>
              <w:rPr>
                <w:b/>
                <w:color w:val="FFFFFF"/>
              </w:rPr>
              <w:t>Expected failure</w:t>
            </w:r>
          </w:p>
        </w:tc>
      </w:tr>
      <w:tr>
        <w:trPr>
          <w:cantSplit/>
        </w:trPr>
        <w:tc>
          <w:tcPr>
            <w:tcW w:type="dxa" w:w="3360"/>
            <w:vAlign w:val="center"/>
          </w:tcPr>
          <w:p>
            <w:r>
              <w:t>SHA256SUMS</w:t>
            </w:r>
          </w:p>
        </w:tc>
        <w:tc>
          <w:tcPr>
            <w:tcW w:type="dxa" w:w="3360"/>
            <w:vAlign w:val="center"/>
          </w:tcPr>
          <w:p>
            <w:r>
              <w:t>File integrity</w:t>
            </w:r>
          </w:p>
        </w:tc>
        <w:tc>
          <w:tcPr>
            <w:tcW w:type="dxa" w:w="3360"/>
            <w:vAlign w:val="center"/>
          </w:tcPr>
          <w:p>
            <w:r>
              <w:t>Stop code 11</w:t>
            </w:r>
          </w:p>
        </w:tc>
      </w:tr>
      <w:tr>
        <w:trPr>
          <w:cantSplit/>
        </w:trPr>
        <w:tc>
          <w:tcPr>
            <w:tcW w:type="dxa" w:w="3360"/>
            <w:vAlign w:val="center"/>
          </w:tcPr>
          <w:p>
            <w:r>
              <w:t>python_runtime_probe.py</w:t>
            </w:r>
          </w:p>
        </w:tc>
        <w:tc>
          <w:tcPr>
            <w:tcW w:type="dxa" w:w="3360"/>
            <w:vAlign w:val="center"/>
          </w:tcPr>
          <w:p>
            <w:r>
              <w:t>Version/implementation/no-GIL</w:t>
            </w:r>
          </w:p>
        </w:tc>
        <w:tc>
          <w:tcPr>
            <w:tcW w:type="dxa" w:w="3360"/>
            <w:vAlign w:val="center"/>
          </w:tcPr>
          <w:p>
            <w:r>
              <w:t>Candidate rejected</w:t>
            </w:r>
          </w:p>
        </w:tc>
      </w:tr>
      <w:tr>
        <w:trPr>
          <w:cantSplit/>
        </w:trPr>
        <w:tc>
          <w:tcPr>
            <w:tcW w:type="dxa" w:w="3360"/>
            <w:vAlign w:val="center"/>
          </w:tcPr>
          <w:p>
            <w:r>
              <w:t>requirements.lock</w:t>
            </w:r>
          </w:p>
        </w:tc>
        <w:tc>
          <w:tcPr>
            <w:tcW w:type="dxa" w:w="3360"/>
            <w:vAlign w:val="center"/>
          </w:tcPr>
          <w:p>
            <w:r>
              <w:t>Reproducibility</w:t>
            </w:r>
          </w:p>
        </w:tc>
        <w:tc>
          <w:tcPr>
            <w:tcW w:type="dxa" w:w="3360"/>
            <w:vAlign w:val="center"/>
          </w:tcPr>
          <w:p>
            <w:r>
              <w:t>Fallback or explicit stop</w:t>
            </w:r>
          </w:p>
        </w:tc>
      </w:tr>
      <w:tr>
        <w:trPr>
          <w:cantSplit/>
        </w:trPr>
        <w:tc>
          <w:tcPr>
            <w:tcW w:type="dxa" w:w="3360"/>
            <w:vAlign w:val="center"/>
          </w:tcPr>
          <w:p>
            <w:r>
              <w:t>verify_installation.py</w:t>
            </w:r>
          </w:p>
        </w:tc>
        <w:tc>
          <w:tcPr>
            <w:tcW w:type="dxa" w:w="3360"/>
            <w:vAlign w:val="center"/>
          </w:tcPr>
          <w:p>
            <w:r>
              <w:t>Package contracts</w:t>
            </w:r>
          </w:p>
        </w:tc>
        <w:tc>
          <w:tcPr>
            <w:tcW w:type="dxa" w:w="3360"/>
            <w:vAlign w:val="center"/>
          </w:tcPr>
          <w:p>
            <w:r>
              <w:t>Report of checks actually executed and their results</w:t>
            </w:r>
          </w:p>
        </w:tc>
      </w:tr>
      <w:tr>
        <w:trPr>
          <w:cantSplit/>
        </w:trPr>
        <w:tc>
          <w:tcPr>
            <w:tcW w:type="dxa" w:w="3360"/>
            <w:vAlign w:val="center"/>
          </w:tcPr>
          <w:p>
            <w:r>
              <w:t>codir-ia.log</w:t>
            </w:r>
          </w:p>
        </w:tc>
        <w:tc>
          <w:tcPr>
            <w:tcW w:type="dxa" w:w="3360"/>
            <w:vAlign w:val="center"/>
          </w:tcPr>
          <w:p>
            <w:r>
              <w:t>Application crash</w:t>
            </w:r>
          </w:p>
        </w:tc>
        <w:tc>
          <w:tcPr>
            <w:tcW w:type="dxa" w:w="3360"/>
            <w:vAlign w:val="center"/>
          </w:tcPr>
          <w:p>
            <w:r>
              <w:t>Filtered, rotating trace</w:t>
            </w:r>
          </w:p>
        </w:tc>
      </w:tr>
    </w:tbl>
    <w:p>
      <w:r/>
    </w:p>
    <w:p>
      <w:pPr>
        <w:pStyle w:val="Heading1"/>
      </w:pPr>
      <w:r>
        <w:t>Appendix B — Network, proxy and enterprise workstations</w:t>
      </w:r>
    </w:p>
    <w:p>
      <w:r>
        <w:t>On a managed workstation, outbound access, TLS certificates, proxies and EDR rules may block APIs or wheel downloads. Deployment should be prepared with IT. The software must not bypass a proxy, TLS inspection or execution policy. Allowlisted URLs and domains should match only the providers actually enabled.</w:t>
      </w:r>
    </w:p>
    <w:p>
      <w:pPr>
        <w:pStyle w:val="ListBullet"/>
      </w:pPr>
      <w:r>
        <w:t>Test DNS and HTTPS for each provider.</w:t>
      </w:r>
    </w:p>
    <w:p>
      <w:pPr>
        <w:pStyle w:val="ListBullet"/>
      </w:pPr>
      <w:r>
        <w:t>Install enterprise certificates through IT procedures, never in the ZIP.</w:t>
      </w:r>
    </w:p>
    <w:p>
      <w:pPr>
        <w:pStyle w:val="ListBullet"/>
      </w:pPr>
      <w:r>
        <w:t>Configure proxy variables at OS/venv level where authorised.</w:t>
      </w:r>
    </w:p>
    <w:p>
      <w:pPr>
        <w:pStyle w:val="ListBullet"/>
      </w:pPr>
      <w:r>
        <w:t>Document domains, ports, owners and review date.</w:t>
      </w:r>
    </w:p>
    <w:p>
      <w:pPr>
        <w:pStyle w:val="ListBullet"/>
      </w:pPr>
      <w:r>
        <w:t>Plan a no-external-enrichment mode for sensitive cases.</w:t>
      </w:r>
    </w:p>
    <w:p>
      <w:pPr>
        <w:pStyle w:val="Heading1"/>
      </w:pPr>
      <w:r>
        <w:t>Appendix C — Controlled update procedure</w:t>
      </w:r>
    </w:p>
    <w:p>
      <w:r>
        <w:t>An update should never overwrite a validated working folder directly. Retain the ZIP, SHA, sealing report and reference outputs. Install the new version in a new directory, verify the manifest, then run a smoke test with non-sensitive data. Compare diagnostics and migrate target/settings only after confirmation. On Windows, the launcher automatically sets aside the shared Python environment (%LOCALAPPDATA%\CoDIR-IA\.venv) when it was built for another version, then installs the supplied lock (Windows installation guide, “Updating from an earlier version”).</w:t>
      </w:r>
    </w:p>
    <w:p>
      <w:pPr>
        <w:pStyle w:val="ListBullet"/>
      </w:pPr>
      <w:r>
        <w:t>Archive the previous version and hashes.</w:t>
      </w:r>
    </w:p>
    <w:p>
      <w:pPr>
        <w:pStyle w:val="ListBullet"/>
      </w:pPr>
      <w:r>
        <w:t>Extract the new version into a new folder.</w:t>
      </w:r>
    </w:p>
    <w:p>
      <w:pPr>
        <w:pStyle w:val="ListBullet"/>
      </w:pPr>
      <w:r>
        <w:t>Verify SHA and manifest.</w:t>
      </w:r>
    </w:p>
    <w:p>
      <w:pPr>
        <w:pStyle w:val="ListBullet"/>
      </w:pPr>
      <w:r>
        <w:t>Run verify_installation.</w:t>
      </w:r>
    </w:p>
    <w:p>
      <w:pPr>
        <w:pStyle w:val="ListBullet"/>
      </w:pPr>
      <w:r>
        <w:t>Test startup, target, attachments, Word/PPTX and logs.</w:t>
      </w:r>
    </w:p>
    <w:p>
      <w:pPr>
        <w:pStyle w:val="ListBullet"/>
      </w:pPr>
      <w:r>
        <w:t>Approve cutover and retain a documented rollback.</w:t>
      </w:r>
    </w:p>
    <w:p>
      <w:pPr>
        <w:pStyle w:val="Heading1"/>
      </w:pPr>
      <w:r>
        <w:t>Appendix D — Detailed troubleshooting</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fill="101A4A"/>
          </w:tcPr>
          <w:p>
            <w:pPr>
              <w:keepNext/>
            </w:pPr>
            <w:r>
              <w:rPr>
                <w:b/>
                <w:color w:val="FFFFFF"/>
              </w:rPr>
              <w:t>Symptom</w:t>
            </w:r>
          </w:p>
        </w:tc>
        <w:tc>
          <w:tcPr>
            <w:tcW w:type="dxa" w:w="3360"/>
            <w:shd w:fill="101A4A"/>
          </w:tcPr>
          <w:p>
            <w:pPr>
              <w:keepNext/>
            </w:pPr>
            <w:r>
              <w:rPr>
                <w:b/>
                <w:color w:val="FFFFFF"/>
              </w:rPr>
              <w:t>Likely cause</w:t>
            </w:r>
          </w:p>
        </w:tc>
        <w:tc>
          <w:tcPr>
            <w:tcW w:type="dxa" w:w="3360"/>
            <w:shd w:fill="101A4A"/>
          </w:tcPr>
          <w:p>
            <w:pPr>
              <w:keepNext/>
            </w:pPr>
            <w:r>
              <w:rPr>
                <w:b/>
                <w:color w:val="FFFFFF"/>
              </w:rPr>
              <w:t>Action</w:t>
            </w:r>
          </w:p>
        </w:tc>
      </w:tr>
      <w:tr>
        <w:trPr>
          <w:cantSplit/>
        </w:trPr>
        <w:tc>
          <w:tcPr>
            <w:tcW w:type="dxa" w:w="3360"/>
            <w:vAlign w:val="center"/>
          </w:tcPr>
          <w:p>
            <w:r>
              <w:t>Hash mismatch</w:t>
            </w:r>
          </w:p>
        </w:tc>
        <w:tc>
          <w:tcPr>
            <w:tcW w:type="dxa" w:w="3360"/>
            <w:vAlign w:val="center"/>
          </w:tcPr>
          <w:p>
            <w:r>
              <w:t>Modified file or incomplete extraction</w:t>
            </w:r>
          </w:p>
        </w:tc>
        <w:tc>
          <w:tcPr>
            <w:tcW w:type="dxa" w:w="3360"/>
            <w:vAlign w:val="center"/>
          </w:tcPr>
          <w:p>
            <w:r>
              <w:t>Delete and download again; do not unblock.</w:t>
            </w:r>
          </w:p>
        </w:tc>
      </w:tr>
      <w:tr>
        <w:trPr>
          <w:cantSplit/>
        </w:trPr>
        <w:tc>
          <w:tcPr>
            <w:tcW w:type="dxa" w:w="3360"/>
            <w:vAlign w:val="center"/>
          </w:tcPr>
          <w:p>
            <w:r>
              <w:t>Venv rebuilt every run</w:t>
            </w:r>
          </w:p>
        </w:tc>
        <w:tc>
          <w:tcPr>
            <w:tcW w:type="dxa" w:w="3360"/>
            <w:vAlign w:val="center"/>
          </w:tcPr>
          <w:p>
            <w:r>
              <w:t>Different selected Python or corrupt venv</w:t>
            </w:r>
          </w:p>
        </w:tc>
        <w:tc>
          <w:tcPr>
            <w:tcW w:type="dxa" w:w="3360"/>
            <w:vAlign w:val="center"/>
          </w:tcPr>
          <w:p>
            <w:r>
              <w:t>Review setup log; delete venv once and relaunch.</w:t>
            </w:r>
          </w:p>
        </w:tc>
      </w:tr>
      <w:tr>
        <w:trPr>
          <w:cantSplit/>
        </w:trPr>
        <w:tc>
          <w:tcPr>
            <w:tcW w:type="dxa" w:w="3360"/>
            <w:vAlign w:val="center"/>
          </w:tcPr>
          <w:p>
            <w:r>
              <w:t>Module not found</w:t>
            </w:r>
          </w:p>
        </w:tc>
        <w:tc>
          <w:tcPr>
            <w:tcW w:type="dxa" w:w="3360"/>
            <w:vAlign w:val="center"/>
          </w:tcPr>
          <w:p>
            <w:r>
              <w:t>Incomplete wheel installation</w:t>
            </w:r>
          </w:p>
        </w:tc>
        <w:tc>
          <w:tcPr>
            <w:tcW w:type="dxa" w:w="3360"/>
            <w:vAlign w:val="center"/>
          </w:tcPr>
          <w:p>
            <w:r>
              <w:t>Check Python/architecture and requirements.lock.</w:t>
            </w:r>
          </w:p>
        </w:tc>
      </w:tr>
      <w:tr>
        <w:trPr>
          <w:cantSplit/>
        </w:trPr>
        <w:tc>
          <w:tcPr>
            <w:tcW w:type="dxa" w:w="3360"/>
            <w:vAlign w:val="center"/>
          </w:tcPr>
          <w:p>
            <w:r>
              <w:t>Port 8501 busy</w:t>
            </w:r>
          </w:p>
        </w:tc>
        <w:tc>
          <w:tcPr>
            <w:tcW w:type="dxa" w:w="3360"/>
            <w:vAlign w:val="center"/>
          </w:tcPr>
          <w:p>
            <w:r>
              <w:t>Another Streamlit/process</w:t>
            </w:r>
          </w:p>
        </w:tc>
        <w:tc>
          <w:tcPr>
            <w:tcW w:type="dxa" w:w="3360"/>
            <w:vAlign w:val="center"/>
          </w:tcPr>
          <w:p>
            <w:r>
              <w:t>Stop the process or change port in development.</w:t>
            </w:r>
          </w:p>
        </w:tc>
      </w:tr>
      <w:tr>
        <w:trPr>
          <w:cantSplit/>
        </w:trPr>
        <w:tc>
          <w:tcPr>
            <w:tcW w:type="dxa" w:w="3360"/>
            <w:vAlign w:val="center"/>
          </w:tcPr>
          <w:p>
            <w:r>
              <w:t>PPTX withheld</w:t>
            </w:r>
          </w:p>
        </w:tc>
        <w:tc>
          <w:tcPr>
            <w:tcW w:type="dxa" w:w="3360"/>
            <w:vAlign w:val="center"/>
          </w:tcPr>
          <w:p>
            <w:r>
              <w:t>Truth or geometry control</w:t>
            </w:r>
          </w:p>
        </w:tc>
        <w:tc>
          <w:tcPr>
            <w:tcW w:type="dxa" w:w="3360"/>
            <w:vAlign w:val="center"/>
          </w:tcPr>
          <w:p>
            <w:r>
              <w:t>Read control JSON; do not disable the gate.</w:t>
            </w:r>
          </w:p>
        </w:tc>
      </w:tr>
      <w:tr>
        <w:trPr>
          <w:cantSplit/>
        </w:trPr>
        <w:tc>
          <w:tcPr>
            <w:tcW w:type="dxa" w:w="3360"/>
            <w:vAlign w:val="center"/>
          </w:tcPr>
          <w:p>
            <w:r>
              <w:t>macOS blocks the file</w:t>
            </w:r>
          </w:p>
        </w:tc>
        <w:tc>
          <w:tcPr>
            <w:tcW w:type="dxa" w:w="3360"/>
            <w:vAlign w:val="center"/>
          </w:tcPr>
          <w:p>
            <w:r>
              <w:t>Quarantine/unsigned package</w:t>
            </w:r>
          </w:p>
        </w:tc>
        <w:tc>
          <w:tcPr>
            <w:tcW w:type="dxa" w:w="3360"/>
            <w:vAlign w:val="center"/>
          </w:tcPr>
          <w:p>
            <w:r>
              <w:t>Verify SHA/provenance and device policy; follow §4. Do not bypass a malware/tampering warning.</w:t>
            </w:r>
          </w:p>
        </w:tc>
      </w:tr>
    </w:tbl>
    <w:p>
      <w:r/>
    </w:p>
    <w:p>
      <w:pPr>
        <w:pStyle w:val="Heading1"/>
      </w:pPr>
      <w:r>
        <w:t>Appendix E — Support evidence pack</w:t>
      </w:r>
    </w:p>
    <w:p>
      <w:r>
        <w:t>Before opening a support request, collect without secrets: full build, ZIP SHA, OS/architecture, selected Python version, time, stage, diagnostics CSV/JSON, output names, reviewed log excerpt and a minimal reproduction. Redact user paths and client names where unnecessary.</w:t>
      </w:r>
    </w:p>
    <w:p>
      <w:pPr>
        <w:pStyle w:val="ListBullet"/>
      </w:pPr>
      <w:r>
        <w:t>Never attach secrets.json.</w:t>
      </w:r>
    </w:p>
    <w:p>
      <w:pPr>
        <w:pStyle w:val="ListBullet"/>
      </w:pPr>
      <w:r>
        <w:t>Never copy a confidential brief without permission.</w:t>
      </w:r>
    </w:p>
    <w:p>
      <w:pPr>
        <w:pStyle w:val="ListBullet"/>
      </w:pPr>
      <w:r>
        <w:t>Prefer a synthetic fixture.</w:t>
      </w:r>
    </w:p>
    <w:p>
      <w:pPr>
        <w:pStyle w:val="ListBullet"/>
      </w:pPr>
      <w:r>
        <w:t>Retain artifact timestamps and hashes.</w:t>
      </w:r>
    </w:p>
    <w:p>
      <w:pPr>
        <w:pStyle w:val="ListBullet"/>
      </w:pPr>
      <w:r>
        <w:t>Use [SECURITY CoDIR IA] only for a vulnerability.</w:t>
      </w:r>
    </w:p>
    <w:p>
      <w:pPr>
        <w:pStyle w:val="Heading1"/>
      </w:pPr>
      <w:r>
        <w:t>Appendix F — Platform policy and responsibilities</w:t>
      </w:r>
    </w:p>
    <w:p>
      <w:r>
        <w:t>Platform support has several levels. A compatible script is not the same as a validated real workstation. Declared support distinguishes static code checks, automated contracts, sandbox smokes and native testing. Public release requires at least one Windows and one macOS native test on each announced architecture, with evidence of install, launch, update, uninstall and logging.</w:t>
      </w:r>
    </w:p>
    <w:p>
      <w:r>
        <w:t>Enterprise devices may impose application control, antivirus, proxy, TLS inspection, limited rights, roaming profiles, OneDrive synchronisation, FileVault or BitLocker. CoDIR IA must not bypass those controls. Deployment owners should document authorised exceptions and review them on every build change.</w:t>
      </w:r>
    </w:p>
    <w:p>
      <w:pPr>
        <w:pStyle w:val="ListBullet"/>
      </w:pPr>
      <w:r>
        <w:t>Windows: retain integrity-check results and PowerShell version.</w:t>
      </w:r>
    </w:p>
    <w:p>
      <w:pPr>
        <w:pStyle w:val="ListBullet"/>
      </w:pPr>
      <w:r>
        <w:t>macOS: retain OS version, architecture, Gatekeeper choice and notarization status.</w:t>
      </w:r>
    </w:p>
    <w:p>
      <w:pPr>
        <w:pStyle w:val="ListBullet"/>
      </w:pPr>
      <w:r>
        <w:t>Linux: document distribution, libc, architecture, Python and package manager.</w:t>
      </w:r>
    </w:p>
    <w:p>
      <w:pPr>
        <w:pStyle w:val="ListBullet"/>
      </w:pPr>
      <w:r>
        <w:t>Virtualisation: state whether browser and application run in the same environment.</w:t>
      </w:r>
    </w:p>
    <w:p>
      <w:pPr>
        <w:pStyle w:val="Heading1"/>
      </w:pPr>
      <w:r>
        <w:t>Appendix G — Key and secret management</w:t>
      </w:r>
    </w:p>
    <w:p>
      <w:r>
        <w:t>API keys are secrets. They must never be included in screenshots, logs, tickets or deliverables. This version stores them locally; that may be appropriate on a protected individual workstation but does not replace an enterprise secret vault. Keys should be limited to necessary services, rotated under internal policy and revoked when a user leaves or an incident occurs.</w:t>
      </w:r>
    </w:p>
    <w:p>
      <w:r>
        <w:t>Each provider has its own quotas, regions, retention options and contract roles. Before a confidential case, review account type, data-use terms, region and any available training/retention controls.</w:t>
      </w:r>
    </w:p>
    <w:p>
      <w:pPr>
        <w:pStyle w:val="ListBullet"/>
      </w:pPr>
      <w:r>
        <w:t>Never use an unauthorised personal key for client material.</w:t>
      </w:r>
    </w:p>
    <w:p>
      <w:pPr>
        <w:pStyle w:val="ListBullet"/>
      </w:pPr>
      <w:r>
        <w:t>Separate test and production keys.</w:t>
      </w:r>
    </w:p>
    <w:p>
      <w:pPr>
        <w:pStyle w:val="ListBullet"/>
      </w:pPr>
      <w:r>
        <w:t>Apply least privilege and spending limits.</w:t>
      </w:r>
    </w:p>
    <w:p>
      <w:pPr>
        <w:pStyle w:val="ListBullet"/>
      </w:pPr>
      <w:r>
        <w:t>Record owner, creation date, rotation date and scope.</w:t>
      </w:r>
    </w:p>
    <w:p>
      <w:pPr>
        <w:pStyle w:val="ListBullet"/>
      </w:pPr>
      <w:r>
        <w:t>Immediately revoke a key suspected of exposure.</w:t>
      </w:r>
    </w:p>
    <w:p>
      <w:pPr>
        <w:pStyle w:val="Heading1"/>
      </w:pPr>
      <w:r>
        <w:t>Appendix H — Controlled-environment installation</w:t>
      </w:r>
    </w:p>
    <w:p>
      <w:r>
        <w:t>For reproducible deployment, an organisation may prepare an internal image or repository containing the validated ZIP, an approved standard Python and wheels. The package manifest must remain unchanged. Any internal repackaging should produce a new manifest, provenance and accountable owner. Mirrors must be synchronised and controlled.</w:t>
      </w:r>
    </w:p>
    <w:p>
      <w:r>
        <w:t>Offline installation requires compatible binary dependencies to be pre-downloaded. Lack of Internet does not magically make provider calls local: LLM and registry functions will be unavailable. Users must understand the resulting degraded mode.</w:t>
      </w:r>
    </w:p>
    <w:p>
      <w:pPr>
        <w:pStyle w:val="ListBullet"/>
      </w:pPr>
      <w:r>
        <w:t>Archive requirements.lock and its hash.</w:t>
      </w:r>
    </w:p>
    <w:p>
      <w:pPr>
        <w:pStyle w:val="ListBullet"/>
      </w:pPr>
      <w:r>
        <w:t>Archive wheels and hashes.</w:t>
      </w:r>
    </w:p>
    <w:p>
      <w:pPr>
        <w:pStyle w:val="ListBullet"/>
      </w:pPr>
      <w:r>
        <w:t>Test venv creation without Internet.</w:t>
      </w:r>
    </w:p>
    <w:p>
      <w:pPr>
        <w:pStyle w:val="ListBullet"/>
      </w:pPr>
      <w:r>
        <w:t>Identify functions that still require external APIs.</w:t>
      </w:r>
    </w:p>
    <w:p>
      <w:pPr>
        <w:pStyle w:val="ListBullet"/>
      </w:pPr>
      <w:r>
        <w:t>Rerun verify_installation on the final image.</w:t>
      </w:r>
    </w:p>
    <w:p>
      <w:pPr/>
      <w:r>
        <w:t>Facts, assumptions and scenarios. A number found in a source may be a budget or target: being sourced does not turn it into an actual. Admitted scenarios should remain complete, readable and visibly qualified; consult the available register and diagnostics for withheld scenarios, without presuming exhaustive coverage. The product may still produce excessive qualification (false alarms): inspect tables and text as delivered, without arbitrarily filling missing values. A retained scenario is neither a certified forecast nor an approved decision. A target written in the brief and quoted as a target stays as written in the body; it is flagged once, at the top of the brief section (“management’s declarations, not certified by a document”), and in the register. A target put forward by an agent without a document stays in place, highlighted and followed by “⚠ to verify — target without supporting document”.</w:t>
      </w:r>
    </w:p>
    <w:p>
      <w:r>
        <w:t>Release operations should also define ownership of the installer, manifest, dependency lock and signing credentials. A build operator should not be the sole approver of the final package. Use a four-eye review for the announced SHA, package contents, documentation and release notes. Retain evidence that the ZIP re-extracted cleanly and that no user profile, logs, secrets or runtime outputs were embedded. Before external distribution, test a clean install on a machine that has never hosted CoDIR IA, then repeat on an upgrade path with a previous supported version. Record whether the existing venv was reused or rebuilt, whether configuration migrated correctly, and whether uninstall removed all documented locations.</w:t>
      </w:r>
    </w:p>
    <w:p>
      <w:r>
        <w:t>Document the exact native test machine, operating-system build, architecture, Python selector, installer return code, integrity result and first-launch outcome. This evidence is part of the release record and should be reproducible by a second reviewer.</w:t>
      </w:r>
    </w:p>
    <w:p>
      <w:r>
        <w:t>Current doctrine: unsupported scenarios and quantities remain in place with their flags and are recorded in the evidence register; their presence is neither validation nor approval. Removal or replacement exceptions are those described in the ‘Deterministic guards’ section.</w:t>
      </w:r>
    </w:p>
    <w:p>
      <w:pPr>
        <w:pStyle w:val="Heading1"/>
      </w:pPr>
      <w:r>
        <w:t>Appendix — Temporal and canonical fact authority</w:t>
      </w:r>
    </w:p>
    <w:p>
      <w:r>
        <w:t>Historical appendix — this appendix describes an earlier state of the product, kept for reference; the current version is described in the operating path and chapter 8.</w:t>
      </w:r>
    </w:p>
    <w:p>
      <w:r>
        <w:t>Current build: v17.4.3.62.13.9.4.65-M6B-B1.3.62.13.9.4.65. Executive numbers are authorised only by a fact confirmed on a page of an attachment or in a registry, or by a calculation from confirmed facts that shows its formula; FACT tags, sources and page tokens are not standalone evidence. Allowed horizons come from the current run Temporal Core. OCR is not included in v17.</w:t>
      </w:r>
    </w:p>
    <w:p>
      <w:pPr>
        <w:pStyle w:val="ListBullet"/>
      </w:pPr>
      <w:r>
        <w:t>For the current doctrine, see ‘Facts, hypotheses and scenarios’ in the operating path; FACT labels, filenames and page tokens do not authorise a number without a matching canonical claim.</w:t>
      </w:r>
    </w:p>
    <w:p>
      <w:pPr>
        <w:pStyle w:val="ListBullet"/>
      </w:pPr>
      <w:r>
        <w:t>Legal claim gate: a headcount band is not converted into an exact figure, legal threshold or HR recommendation.</w:t>
      </w:r>
    </w:p>
    <w:p>
      <w:pPr>
        <w:pStyle w:val="ListBullet"/>
      </w:pPr>
      <w:r>
        <w:t>Document tri-state: text extracted, partially extractable or OCR required.</w:t>
      </w:r>
    </w:p>
    <w:p>
      <w:pPr>
        <w:pStyle w:val="ListBullet"/>
      </w:pPr>
      <w:r>
        <w:t>Cards explicitly distinguish Pappers social figures from group consolidated accounts.</w:t>
      </w:r>
    </w:p>
    <w:p>
      <w:pPr>
        <w:pStyle w:val="ListBullet"/>
      </w:pPr>
      <w:r>
        <w:t>Trends require two admissible ledger facts; planning dates remain visible.</w:t>
      </w:r>
    </w:p>
    <w:p>
      <w:pPr>
        <w:pStyle w:val="ListBullet"/>
      </w:pPr>
      <w:r>
        <w:t>Diagnostics separate technical execution grade from work-product usability.</w:t>
      </w:r>
    </w:p>
    <w:p>
      <w:pPr>
        <w:pStyle w:val="ListBullet"/>
      </w:pPr>
      <w:r>
        <w:t>Human review remains mandatory; native tests, signing and scan status: see the release notes.</w:t>
      </w:r>
    </w:p>
    <w:p>
      <w:r>
        <w:t>v17.4.3.62.13.9.4.65-M6B-B1.3.62.13.9.4.65</w:t>
      </w:r>
    </w:p>
    <w:p>
      <w:pPr>
        <w:pStyle w:val="Heading1"/>
      </w:pPr>
      <w:r>
        <w:t>Appendix — PowerPoint draft title integrity</w:t>
      </w:r>
    </w:p>
    <w:p>
      <w:r>
        <w:t>Historical appendix — this appendix describes an earlier state of the product, kept for the record; the current version is described in the operating path and chapter 8.</w:t>
      </w:r>
    </w:p>
    <w:p>
      <w:r>
        <w:t>Full commercial text is preserved until rendering. Any pre-truncated HCRIT executive title is replaced with a complete qualitative wording before the final-byte audit; the UI distinguishes OOXML corruption, a truncated title and other major unreadability.</w:t>
      </w:r>
    </w:p>
    <w:p>
      <w:r>
        <w:t>The target end date from the current-run strategic_horizon diagnostic remains in the main body. Historical diagnostics can never authorise it, and a planning date is not a quantified scenario.</w:t>
      </w:r>
    </w:p>
    <w:p>
      <w:r>
        <w:t>In-place flagging and page-confirmed canonical-claim authority remain active. OCR is not included in v17; native tests, signing and scan status: see the release notes.</w:t>
      </w:r>
    </w:p>
    <w:p>
      <w:r>
        <w:t>v17.4.3.62.13.9.4.65-M6B-B1.3.62.13.9.4.65</w:t>
      </w:r>
    </w:p>
    <w:p>
      <w:pPr>
        <w:pStyle w:val="Heading1"/>
      </w:pPr>
      <w:r>
        <w:t>Version history</w:t>
      </w:r>
    </w:p>
    <w:p>
      <w:r>
        <w:t>Historical appendix — this appendix describes an earlier state of the product, kept for the record; the current version is described in the operating path and chapter 8.</w:t>
      </w:r>
    </w:p>
    <w:p>
      <w:r>
        <w:t>ADDENDUM — Mission build: v17.4.3.62.13.9.4.65-M6B-B1.3.62.13.9.4.65</w:t>
      </w:r>
    </w:p>
    <w:p>
      <w:pPr>
        <w:pStyle w:val="Heading1"/>
      </w:pPr>
      <w:r>
        <w:t>Appendix — Reference dates and canonical facts</w:t>
      </w:r>
    </w:p>
    <w:p>
      <w:r>
        <w:t>Strategic horizon and target-end-date lines are preserved only when they match the dossier Temporal Core contract. Operational delays, rollout durations and unsupported quantified milestones remain governed. A [FACT]/[FAIT] label, filename or page token is metadata, never standalone evidence: executive numbers require a matching page-confirmed canonical claim or deterministic derivative and are rewritten into clean canonical wording. In-place flagging, the legal claim gate, OCR tri-state and the immutable evidence tree remain active; OCR is not included in v17.</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470"/>
        <w:sz w:val="16"/>
      </w:rPr>
      <w:t>AI-assisted working documentation — human review required</w:t>
    </w:r>
    <w:r>
      <w:rPr>
        <w:sz w:val="16"/>
      </w:rPr>
      <w:t xml:space="preserve">  ·  Page </w:t>
    </w:r>
    <w:fldSimple w:instr="PAGE">
      <w:r>
        <w:rPr>
          <w:sz w:val="16"/>
        </w:rPr>
        <w:t>1</w:t>
      </w:r>
    </w:fldSimple>
    <w:r>
      <w:rPr>
        <w:sz w:val="16"/>
      </w:rPr>
      <w:t xml:space="preserve"> / </w:t>
    </w:r>
    <w:fldSimple w:instr="NUMPAGES">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470"/>
        <w:sz w:val="16"/>
      </w:rPr>
      <w:t>CoDIR IA · v17.4.3.62.13.9.4.65-M6B-B1.3.62.13.9.4.65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1">
    <w:abstractNumId w:val="7"/>
    <w:lvlOverride w:ilvl="0">
      <w:startOverride w:val="1"/>
    </w:lvlOverride>
  </w:num>
  <w:num w:numId="1002">
    <w:abstractNumId w:val="7"/>
    <w:lvlOverride w:ilvl="0">
      <w:startOverride w:val="1"/>
    </w:lvlOverride>
  </w:num>
  <w:num w:numId="1003">
    <w:abstractNumId w:val="7"/>
    <w:lvlOverride w:ilvl="0">
      <w:startOverride w:val="1"/>
    </w:lvlOverride>
  </w:num>
  <w:num w:numId="100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1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1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C64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1A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Installation Manual</dc:title>
  <dc:subject/>
  <dc:creator>python-docx</dc:creator>
  <cp:keywords/>
  <dc:description>CoDIR IA v17.0 — build 9.4.65 — documentation revised on 18 October 2026.</dc:description>
  <cp:lastModifiedBy>CoDIR IA — révision documentaire 9.4.61</cp:lastModifiedBy>
  <cp:revision>2</cp:revision>
  <dcterms:created xsi:type="dcterms:W3CDTF">2013-12-23T23:15:00Z</dcterms:created>
  <dcterms:modified xsi:type="dcterms:W3CDTF">2026-10-18T16:22:48Z</dcterms:modified>
  <cp:category/>
  <cp:version>v17.4.3.62.13.9.4.65-M6B-B1.3.62.13.9.4.65 · 9.4.65-20261018</cp:version>
</cp:coreProperties>
</file>