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CoDIR IA</w:t>
      </w:r>
    </w:p>
    <w:p>
      <w:pPr>
        <w:pStyle w:val="Title"/>
        <w:jc w:val="center"/>
      </w:pPr>
      <w:r>
        <w:t>Manuel complet d’installation</w:t>
      </w:r>
    </w:p>
    <w:p>
      <w:pPr>
        <w:jc w:val="center"/>
      </w:pPr>
      <w:r>
        <w:t>Windows · macOS · Linux · sécurité · désinstallation</w:t>
      </w:r>
    </w:p>
    <w:p>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01A4A"/>
          </w:tcPr>
          <w:p>
            <w:r>
              <w:rPr>
                <w:b/>
                <w:color w:val="FFFFFF"/>
              </w:rPr>
              <w:t>Build</w:t>
            </w:r>
          </w:p>
        </w:tc>
        <w:tc>
          <w:tcPr>
            <w:tcW w:type="dxa" w:w="5040"/>
          </w:tcPr>
          <w:p>
            <w:r>
              <w:t>v17.4.3.62.13.9.4.65-M6B-B1.3.62.13.9.4.65</w:t>
            </w:r>
          </w:p>
        </w:tc>
      </w:tr>
      <w:tr>
        <w:trPr>
          <w:cantSplit/>
        </w:trPr>
        <w:tc>
          <w:tcPr>
            <w:tcW w:type="dxa" w:w="5040"/>
            <w:shd w:fill="101A4A"/>
          </w:tcPr>
          <w:p>
            <w:r>
              <w:rPr>
                <w:b/>
                <w:color w:val="FFFFFF"/>
              </w:rPr>
              <w:t>Document</w:t>
            </w:r>
          </w:p>
        </w:tc>
        <w:tc>
          <w:tcPr>
            <w:tcW w:type="dxa" w:w="5040"/>
          </w:tcPr>
          <w:p>
            <w:r>
              <w:t>Manuel Installation FR</w:t>
            </w:r>
          </w:p>
        </w:tc>
      </w:tr>
      <w:tr>
        <w:trPr>
          <w:cantSplit/>
        </w:trPr>
        <w:tc>
          <w:tcPr>
            <w:tcW w:type="dxa" w:w="5040"/>
            <w:shd w:fill="101A4A"/>
          </w:tcPr>
          <w:p>
            <w:r>
              <w:rPr>
                <w:b/>
                <w:color w:val="FFFFFF"/>
              </w:rPr>
              <w:t>Révision</w:t>
            </w:r>
          </w:p>
        </w:tc>
        <w:tc>
          <w:tcPr>
            <w:tcW w:type="dxa" w:w="5040"/>
          </w:tcPr>
          <w:p>
            <w:r>
              <w:t>18 octobre 2026</w:t>
            </w:r>
          </w:p>
        </w:tc>
      </w:tr>
      <w:tr>
        <w:trPr>
          <w:cantSplit/>
        </w:trPr>
        <w:tc>
          <w:tcPr>
            <w:tcW w:type="dxa" w:w="5040"/>
            <w:shd w:fill="101A4A"/>
          </w:tcPr>
          <w:p>
            <w:r>
              <w:rPr>
                <w:b/>
                <w:color w:val="FFFFFF"/>
              </w:rPr>
              <w:t>Statut</w:t>
            </w:r>
          </w:p>
        </w:tc>
        <w:tc>
          <w:tcPr>
            <w:tcW w:type="dxa" w:w="5040"/>
          </w:tcPr>
          <w:p>
            <w:r>
              <w:t>v17.0 — usage professionnel supervisé</w:t>
            </w:r>
          </w:p>
        </w:tc>
      </w:tr>
    </w:tbl>
    <w:p>
      <w:r/>
    </w:p>
    <w:p>
      <w:pPr>
        <w:jc w:val="center"/>
      </w:pPr>
      <w:r>
        <w:t>Ce manuel ne constitue pas un conseil juridique. La revue humaine reste obligatoire.</w:t>
      </w:r>
    </w:p>
    <w:p>
      <w:pPr>
        <w:pStyle w:val="Heading2"/>
      </w:pPr>
      <w:r>
        <w:t>Ce que vous recevez, et sous quelle licence</w:t>
      </w:r>
    </w:p>
    <w:p>
      <w:pPr>
        <w:jc w:val="center"/>
      </w:pPr>
      <w:r>
        <w:t>Gardes déterministes. Après la génération par les modèles, des règles Python locales examinent les textes et les données structurées. Aucun modèle n’est appelé pour décider dans ces gardes. Doctrine « tout livrer, tout signaler en place » : le principe est de conserver. Une quantité non étayée reste à sa place, surlignée et suivie de « ⚠ à vérifier — motif » ; un chiffre contredit par une pièce porte la valeur de la pièce ; l’encadré de première page compte et liste les passages signalés, et le registre les recense. Exceptions actuelles : les calculs personnels (rémunération, dividendes, statut de travailleur non salarié) sont écartés ; sans états financiers primaires du périmètre, la note Finance d’un dossier d’une personne (SASU, EURL, EI) ou une note très courte est remplacée par un cadre de prudence ; certaines formulations comptables reçoivent une réserve normalisée, elle-même à confronter aux pièces. Seule une panne technique empêche la livraison. Ces contrôles réduisent certains risques ; ils ne garantissent ni l’absence d’erreur, ni l’exhaustivité, ni une traçabilité complète de chaque transformation. Un élément légitime peut être sur-étiqueté ou masqué ; un élément incorrect peut échapper au contrôle. Relire les Word et comparer les réserves, registres et sources avant usage.</w:t>
      </w:r>
    </w:p>
    <w:p>
      <w:pPr>
        <w:jc w:val="center"/>
      </w:pPr>
      <w:r>
        <w:t>Les deux Word sont les livrables principaux : analyse détaillée et synthèse décisionnelle. Le PPTX est une ébauche de présentation à reprendre après lecture des Word, non un document autonome prêt à remettre. Le volume dépend du brief et de la matière ; les nombres de pages ou de slides sont des repères, pas une garantie. Le paquet complet réunit les fichiers effectivement produits, les diagnostics, les registres disponibles, le journal de préparation et le manifeste.</w:t>
      </w:r>
    </w:p>
    <w:p>
      <w:pPr>
        <w:jc w:val="center"/>
      </w:pPr>
      <w:r>
        <w:t>Les règles de preuve et de scénario sont détaillées dans le manuel utilisateur. L’installation réussie ne valide pas l’exactitude des futures analyses.</w:t>
      </w:r>
    </w:p>
    <w:p>
      <w:pPr>
        <w:jc w:val="center"/>
      </w:pPr>
      <w:r>
        <w:t>Le code est distribué sous licence FSL-1.1-ALv2, de type source disponible. Cette licence ne concède aux tiers aucun droit sur la marque CoDIR IA ni sur son logotype.</w:t>
      </w:r>
    </w:p>
    <w:p>
      <w:pPr>
        <w:jc w:val="center"/>
      </w:pPr>
      <w:r>
        <w:t>Langues. L'interface, les livrables et les manuels sont disponibles en français et en anglais. L'anglais est proposé en préversion à cette version : les fonctions disponibles et les limites connues sont listées dans les notes de version ; la parité des contrôles éditoriaux et financiers avec le français n'est pas certifiée à cette version. Ce statut ne dispense pas de préserver le sens des décisions, des valeurs, des dates et des responsabilités.</w:t>
      </w:r>
    </w:p>
    <w:p>
      <w:r/>
    </w:p>
    <w:p>
      <w:pPr>
        <w:pStyle w:val="Heading1"/>
      </w:pPr>
      <w:r>
        <w:t>Sommaire</w:t>
      </w:r>
    </w:p>
    <w:p>
      <w:pPr>
        <w:pStyle w:val="ListBullet"/>
      </w:pPr>
      <w:r>
        <w:t>1. Périmètre supporté</w:t>
      </w:r>
    </w:p>
    <w:p>
      <w:pPr>
        <w:pStyle w:val="ListBullet"/>
      </w:pPr>
      <w:r>
        <w:t>2. Vérifier la distribution</w:t>
      </w:r>
    </w:p>
    <w:p>
      <w:pPr>
        <w:pStyle w:val="ListBullet"/>
      </w:pPr>
      <w:r>
        <w:t>3. Installation Windows</w:t>
      </w:r>
    </w:p>
    <w:p>
      <w:pPr>
        <w:pStyle w:val="ListBullet"/>
      </w:pPr>
      <w:r>
        <w:t>4. Installation macOS</w:t>
      </w:r>
    </w:p>
    <w:p>
      <w:pPr>
        <w:pStyle w:val="ListBullet"/>
      </w:pPr>
      <w:r>
        <w:t>5. Installation Linux / lancement développeur</w:t>
      </w:r>
    </w:p>
    <w:p>
      <w:pPr>
        <w:pStyle w:val="ListBullet"/>
      </w:pPr>
      <w:r>
        <w:t>6. Clés, configuration et chemins</w:t>
      </w:r>
    </w:p>
    <w:p>
      <w:pPr>
        <w:pStyle w:val="ListBullet"/>
      </w:pPr>
      <w:r>
        <w:t>7. Mise à jour et migration</w:t>
      </w:r>
    </w:p>
    <w:p>
      <w:pPr>
        <w:pStyle w:val="ListBullet"/>
      </w:pPr>
      <w:r>
        <w:t>8. Dépannage</w:t>
      </w:r>
    </w:p>
    <w:p>
      <w:pPr>
        <w:pStyle w:val="ListBullet"/>
      </w:pPr>
      <w:r>
        <w:t>9. Désinstallation et effacement</w:t>
      </w:r>
    </w:p>
    <w:p>
      <w:pPr>
        <w:pStyle w:val="ListBullet"/>
      </w:pPr>
      <w:r>
        <w:t>10. Sécurité, juridique et portes de release</w:t>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À retenir</w:t>
            </w:r>
          </w:p>
        </w:tc>
      </w:tr>
      <w:tr>
        <w:trPr>
          <w:cantSplit/>
        </w:trPr>
        <w:tc>
          <w:tcPr>
            <w:tcW w:type="dxa" w:w="10080"/>
            <w:shd w:fill="F3F5F8"/>
          </w:tcPr>
          <w:p>
            <w:r>
              <w:t>Local ne signifie pas hors ligne. L’interface, le stockage et les gardes s’exécutent sur le poste ; les fournisseurs d’IA, registres et recherches activés reçoivent les contenus nécessaires selon les fonctions. Les gardes ne constituent ni une anonymisation ni un pare-feu avant transmission. Le brief, les extraits et, selon le contexte transmis, des éléments d’historique peuvent quitter le poste. Vérifiez vos droits et les comptes fournisseurs avant lancement.</w:t>
            </w:r>
          </w:p>
        </w:tc>
      </w:tr>
    </w:tbl>
    <w:p>
      <w:r/>
    </w:p>
    <w:p>
      <w:pPr>
        <w:pStyle w:val="Heading1"/>
      </w:pPr>
      <w:r>
        <w:t>1. Périmètre supporté</w:t>
      </w:r>
    </w:p>
    <w:p>
      <w:r>
        <w:t>Le lanceur cherche un CPython standard compatible : 3.11–3.14 sous Windows, 3.11–3.13 sous macOS ; sur un PC ARM sous Windows 11, un Python x64, exécuté par l’émulation de Windows. Si le mode verrouillé échoue et qu’un repli requirements.txt est utilisé, l’environnement ne correspond plus exactement au verrou ni au SBOM : conservez INSTALL_MODE.txt et le journal, puis faites vérifier ce déploiement. La présence d’un lanceur ne certifie pas une plateforme ou une architecture ; consultez la matrice de tests natifs applicable.</w:t>
      </w:r>
    </w:p>
    <w:p>
      <w:r>
        <w:t>CoDIR IA v17.0 (build technique 9.4.65) est une version source disponible, destinée à un usage supervisé. Le numéro de build et l’empreinte SHA-256 de l’archive publiée identifient ce paquet.</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Élément</w:t>
            </w:r>
          </w:p>
        </w:tc>
        <w:tc>
          <w:tcPr>
            <w:tcW w:type="dxa" w:w="5040"/>
            <w:shd w:fill="101A4A"/>
          </w:tcPr>
          <w:p>
            <w:pPr>
              <w:keepNext/>
            </w:pPr>
            <w:r>
              <w:rPr>
                <w:b/>
                <w:color w:val="FFFFFF"/>
              </w:rPr>
              <w:t>Support</w:t>
            </w:r>
          </w:p>
        </w:tc>
      </w:tr>
      <w:tr>
        <w:trPr>
          <w:cantSplit/>
        </w:trPr>
        <w:tc>
          <w:tcPr>
            <w:tcW w:type="dxa" w:w="5040"/>
            <w:vAlign w:val="center"/>
          </w:tcPr>
          <w:p>
            <w:r>
              <w:t>OS</w:t>
            </w:r>
          </w:p>
        </w:tc>
        <w:tc>
          <w:tcPr>
            <w:tcW w:type="dxa" w:w="5040"/>
            <w:vAlign w:val="center"/>
          </w:tcPr>
          <w:p>
            <w:r>
              <w:t>Windows 10/11 64 bits sur PC Intel/AMD, Windows 11 sur PC ARM (Python x64 émulé) ; macOS 11+ sur Mac à puce Apple ; Linux récent</w:t>
            </w:r>
          </w:p>
        </w:tc>
      </w:tr>
      <w:tr>
        <w:trPr>
          <w:cantSplit/>
        </w:trPr>
        <w:tc>
          <w:tcPr>
            <w:tcW w:type="dxa" w:w="5040"/>
            <w:vAlign w:val="center"/>
          </w:tcPr>
          <w:p>
            <w:r>
              <w:t>Python</w:t>
            </w:r>
          </w:p>
        </w:tc>
        <w:tc>
          <w:tcPr>
            <w:tcW w:type="dxa" w:w="5040"/>
            <w:vAlign w:val="center"/>
          </w:tcPr>
          <w:p>
            <w:r>
              <w:t>CPython standard 3.11–3.14 sous Windows, 3.11–3.13 sous macOS ; 3.11/3.12 recommandés ; free-threaded/no-GIL refusé</w:t>
            </w:r>
          </w:p>
        </w:tc>
      </w:tr>
      <w:tr>
        <w:trPr>
          <w:cantSplit/>
        </w:trPr>
        <w:tc>
          <w:tcPr>
            <w:tcW w:type="dxa" w:w="5040"/>
            <w:vAlign w:val="center"/>
          </w:tcPr>
          <w:p>
            <w:r>
              <w:t>Réseau</w:t>
            </w:r>
          </w:p>
        </w:tc>
        <w:tc>
          <w:tcPr>
            <w:tcW w:type="dxa" w:w="5040"/>
            <w:vAlign w:val="center"/>
          </w:tcPr>
          <w:p>
            <w:r>
              <w:t>Accès HTTPS aux fournisseurs et registres activés</w:t>
            </w:r>
          </w:p>
        </w:tc>
      </w:tr>
      <w:tr>
        <w:trPr>
          <w:cantSplit/>
        </w:trPr>
        <w:tc>
          <w:tcPr>
            <w:tcW w:type="dxa" w:w="5040"/>
            <w:vAlign w:val="center"/>
          </w:tcPr>
          <w:p>
            <w:r>
              <w:t>Office</w:t>
            </w:r>
          </w:p>
        </w:tc>
        <w:tc>
          <w:tcPr>
            <w:tcW w:type="dxa" w:w="5040"/>
            <w:vAlign w:val="center"/>
          </w:tcPr>
          <w:p>
            <w:r>
              <w:t>Word/PowerPoint recommandés ; LibreOffice supporté pour lecture et QA</w:t>
            </w:r>
          </w:p>
        </w:tc>
      </w:tr>
      <w:tr>
        <w:trPr>
          <w:cantSplit/>
        </w:trPr>
        <w:tc>
          <w:tcPr>
            <w:tcW w:type="dxa" w:w="5040"/>
            <w:vAlign w:val="center"/>
          </w:tcPr>
          <w:p>
            <w:r>
              <w:t>OCR</w:t>
            </w:r>
          </w:p>
        </w:tc>
        <w:tc>
          <w:tcPr>
            <w:tcW w:type="dxa" w:w="5040"/>
            <w:vAlign w:val="center"/>
          </w:tcPr>
          <w:p>
            <w:r>
              <w:t>OCR non intégré à cette version ; fournir une version texte autorisée</w:t>
            </w:r>
          </w:p>
        </w:tc>
      </w:tr>
    </w:tbl>
    <w:p>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Important</w:t>
            </w:r>
          </w:p>
        </w:tc>
      </w:tr>
      <w:tr>
        <w:trPr>
          <w:cantSplit/>
        </w:trPr>
        <w:tc>
          <w:tcPr>
            <w:tcW w:type="dxa" w:w="10080"/>
            <w:shd w:fill="F3F5F8"/>
          </w:tcPr>
          <w:p>
            <w:r>
              <w:t>La compatibilité déclarée ne remplace pas les tests natifs et la disponibilité de wheels pour chaque architecture.</w:t>
            </w:r>
          </w:p>
        </w:tc>
      </w:tr>
    </w:tbl>
    <w:p>
      <w:r/>
    </w:p>
    <w:p>
      <w:pPr>
        <w:pStyle w:val="Heading1"/>
      </w:pPr>
      <w:r>
        <w:t>2. Vérifier la distribution</w:t>
      </w:r>
    </w:p>
    <w:p>
      <w:r>
        <w:t>Deux vérifications distinctes. Avant extraction, calculez le SHA-256 du ZIP : sous PowerShell, Get-FileHash -LiteralPath ".\NOM_EXACT_DU_ZIP.zip" -Algorithm SHA256 ; sous macOS, shasum -a 256 "NOM_EXACT_DU_ZIP.zip". Remplacez ce nom d’exemple par celui du fichier reçu et comparez le résultat à une empreinte publiée par une source de confiance. Après extraction, depuis le dossier contenant SHA256SUMS, contrôlez chaque fichier : macOS, shasum -a 256 -c SHA256SUMS ; Linux, sha256sum -c SHA256SUMS. Le lanceur Windows prévoit le contrôle du manifeste avant le déblocage. Une empreinte différente ou un fichier manquant interdit de poursuivre.</w:t>
      </w:r>
    </w:p>
    <w:p>
      <w:pPr>
        <w:pStyle w:val="ListNumber"/>
        <w:numPr>
          <w:ilvl w:val="0"/>
          <w:numId w:val="1001"/>
        </w:numPr>
      </w:pPr>
      <w:r>
        <w:t>Télécharger depuis la source communiquée.</w:t>
      </w:r>
    </w:p>
    <w:p>
      <w:pPr>
        <w:pStyle w:val="ListNumber"/>
        <w:numPr>
          <w:ilvl w:val="0"/>
          <w:numId w:val="1001"/>
        </w:numPr>
      </w:pPr>
      <w:r>
        <w:t>Comparer le SHA-256 du ZIP avec celui du rapport de scellement.</w:t>
      </w:r>
    </w:p>
    <w:p>
      <w:pPr>
        <w:pStyle w:val="ListNumber"/>
        <w:numPr>
          <w:ilvl w:val="0"/>
          <w:numId w:val="1001"/>
        </w:numPr>
      </w:pPr>
      <w:r>
        <w:t>Extraire dans un dossier local non synchronisé.</w:t>
      </w:r>
    </w:p>
    <w:p>
      <w:pPr>
        <w:pStyle w:val="ListNumber"/>
        <w:numPr>
          <w:ilvl w:val="0"/>
          <w:numId w:val="1001"/>
        </w:numPr>
      </w:pPr>
      <w:r>
        <w:t>Lancer uniquement après contrôle sans erreur.</w:t>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Signature</w:t>
            </w:r>
          </w:p>
        </w:tc>
      </w:tr>
      <w:tr>
        <w:trPr>
          <w:cantSplit/>
        </w:trPr>
        <w:tc>
          <w:tcPr>
            <w:tcW w:type="dxa" w:w="10080"/>
            <w:shd w:fill="FFF3CD"/>
          </w:tcPr>
          <w:p>
            <w:r>
              <w:t>Artefacts réellement livrés : lanceurs Windows .bat et scripts macOS .command non signés, distribués dans un ZIP ; le raccourci .app peut être créé localement. Le ZIP n’est pas présenté comme Authenticode-signé ; aucun ensemble applicatif Developer ID notarisé n’est fourni. Les avertissements du système sont attendus. Vérifiez la provenance, l’empreinte externe du ZIP et le manifeste ; ne désactivez pas globalement SmartScreen ou Gatekeeper. La décision sur les signatures, les preuves de test et l’approbation de diffusion restent hors de l’archive.</w:t>
            </w:r>
          </w:p>
        </w:tc>
      </w:tr>
    </w:tbl>
    <w:p>
      <w:r/>
    </w:p>
    <w:p>
      <w:pPr>
        <w:pStyle w:val="Heading1"/>
      </w:pPr>
      <w:r>
        <w:t>3. Installation Windows</w:t>
      </w:r>
    </w:p>
    <w:p>
      <w:pPr>
        <w:pStyle w:val="ListNumber"/>
        <w:numPr>
          <w:ilvl w:val="0"/>
          <w:numId w:val="1002"/>
        </w:numPr>
      </w:pPr>
      <w:r>
        <w:t>Extraire le ZIP, idéalement dans C:\CoDIR-IA.</w:t>
      </w:r>
    </w:p>
    <w:p>
      <w:pPr>
        <w:pStyle w:val="ListNumber"/>
        <w:numPr>
          <w:ilvl w:val="0"/>
          <w:numId w:val="1002"/>
        </w:numPr>
      </w:pPr>
      <w:r>
        <w:t>Double-cliquer DEMARRER_CODIR_IA.bat.</w:t>
      </w:r>
    </w:p>
    <w:p>
      <w:pPr>
        <w:pStyle w:val="ListNumber"/>
        <w:numPr>
          <w:ilvl w:val="0"/>
          <w:numId w:val="1002"/>
        </w:numPr>
      </w:pPr>
      <w:r>
        <w:t>Le lanceur contrôle SHA256SUMS avant tout Unblock-File.</w:t>
      </w:r>
    </w:p>
    <w:p>
      <w:pPr>
        <w:pStyle w:val="ListNumber"/>
        <w:numPr>
          <w:ilvl w:val="0"/>
          <w:numId w:val="1002"/>
        </w:numPr>
      </w:pPr>
      <w:r>
        <w:t>Le lanceur sélectionne CPython standard 3.11–3.14 et crée le venv sous %LOCALAPPDATA%\CoDIR-IA.</w:t>
      </w:r>
    </w:p>
    <w:p>
      <w:pPr>
        <w:pStyle w:val="ListNumber"/>
        <w:numPr>
          <w:ilvl w:val="0"/>
          <w:numId w:val="1002"/>
        </w:numPr>
      </w:pPr>
      <w:r>
        <w:t>L’installation vérifie les dépendances puis affiche l’URL locale. Avec les lanceurs publics, le port utilisé est 8501 ; ouvrez l’adresse locale affichée dans le journal.</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Message</w:t>
            </w:r>
          </w:p>
        </w:tc>
        <w:tc>
          <w:tcPr>
            <w:tcW w:type="dxa" w:w="5040"/>
            <w:shd w:fill="101A4A"/>
          </w:tcPr>
          <w:p>
            <w:pPr>
              <w:keepNext/>
            </w:pPr>
            <w:r>
              <w:rPr>
                <w:b/>
                <w:color w:val="FFFFFF"/>
              </w:rPr>
              <w:t>Action</w:t>
            </w:r>
          </w:p>
        </w:tc>
      </w:tr>
      <w:tr>
        <w:trPr>
          <w:cantSplit/>
        </w:trPr>
        <w:tc>
          <w:tcPr>
            <w:tcW w:type="dxa" w:w="5040"/>
            <w:vAlign w:val="center"/>
          </w:tcPr>
          <w:p>
            <w:r>
              <w:t>SmartScreen</w:t>
            </w:r>
          </w:p>
        </w:tc>
        <w:tc>
          <w:tcPr>
            <w:tcW w:type="dxa" w:w="5040"/>
            <w:vAlign w:val="center"/>
          </w:tcPr>
          <w:p>
            <w:r>
              <w:t>Vérifier source/SHA, puis Plus d’informations &gt; Exécuter quand même</w:t>
            </w:r>
          </w:p>
        </w:tc>
      </w:tr>
      <w:tr>
        <w:trPr>
          <w:cantSplit/>
        </w:trPr>
        <w:tc>
          <w:tcPr>
            <w:tcW w:type="dxa" w:w="5040"/>
            <w:vAlign w:val="center"/>
          </w:tcPr>
          <w:p>
            <w:r>
              <w:t>Hash mismatch</w:t>
            </w:r>
          </w:p>
        </w:tc>
        <w:tc>
          <w:tcPr>
            <w:tcW w:type="dxa" w:w="5040"/>
            <w:vAlign w:val="center"/>
          </w:tcPr>
          <w:p>
            <w:r>
              <w:t>Supprimer le dossier et retélécharger</w:t>
            </w:r>
          </w:p>
        </w:tc>
      </w:tr>
      <w:tr>
        <w:trPr>
          <w:cantSplit/>
        </w:trPr>
        <w:tc>
          <w:tcPr>
            <w:tcW w:type="dxa" w:w="5040"/>
            <w:vAlign w:val="center"/>
          </w:tcPr>
          <w:p>
            <w:r>
              <w:t>Python free-threaded</w:t>
            </w:r>
          </w:p>
        </w:tc>
        <w:tc>
          <w:tcPr>
            <w:tcW w:type="dxa" w:w="5040"/>
            <w:vAlign w:val="center"/>
          </w:tcPr>
          <w:p>
            <w:r>
              <w:t>Installer ou laisser le fallback Python 3.12 standard</w:t>
            </w:r>
          </w:p>
        </w:tc>
      </w:tr>
      <w:tr>
        <w:trPr>
          <w:cantSplit/>
        </w:trPr>
        <w:tc>
          <w:tcPr>
            <w:tcW w:type="dxa" w:w="5040"/>
            <w:vAlign w:val="center"/>
          </w:tcPr>
          <w:p>
            <w:r>
              <w:t>Wheel absent en 3.14</w:t>
            </w:r>
          </w:p>
        </w:tc>
        <w:tc>
          <w:tcPr>
            <w:tcW w:type="dxa" w:w="5040"/>
            <w:vAlign w:val="center"/>
          </w:tcPr>
          <w:p>
            <w:r>
              <w:t>Fallback automatique 3.12</w:t>
            </w:r>
          </w:p>
        </w:tc>
      </w:tr>
    </w:tbl>
    <w:p>
      <w:r/>
    </w:p>
    <w:p>
      <w:pPr>
        <w:pStyle w:val="Heading1"/>
      </w:pPr>
      <w:r>
        <w:t>4. Installation macOS</w:t>
      </w:r>
    </w:p>
    <w:p>
      <w:pPr>
        <w:pStyle w:val="ListNumber"/>
        <w:numPr>
          <w:ilvl w:val="0"/>
          <w:numId w:val="1003"/>
        </w:numPr>
      </w:pPr>
      <w:r>
        <w:t>Vérifier le SHA du ZIP et le manifeste.</w:t>
      </w:r>
    </w:p>
    <w:p>
      <w:pPr>
        <w:pStyle w:val="ListNumber"/>
        <w:numPr>
          <w:ilvl w:val="0"/>
          <w:numId w:val="1003"/>
        </w:numPr>
      </w:pPr>
      <w:r>
        <w:t>Ouvrez Demarrer_Mac.command. Après un blocage d’application non identifiée, si provenance et intégrité sont vérifiées et la politique du poste le permet, utilisez Réglages Système &gt; Confidentialité et sécurité &gt; Ouvrir quand même, lorsque proposé. Un avertissement de logiciel malveillant ou altéré impose l’arrêt.</w:t>
      </w:r>
    </w:p>
    <w:p>
      <w:pPr>
        <w:pStyle w:val="ListNumber"/>
        <w:numPr>
          <w:ilvl w:val="0"/>
          <w:numId w:val="1003"/>
        </w:numPr>
      </w:pPr>
      <w:r>
        <w:t>Si Homebrew est absent, le script affiche l’URL officielle et demande une confirmation explicite avant exécution.</w:t>
      </w:r>
    </w:p>
    <w:p>
      <w:pPr>
        <w:pStyle w:val="ListNumber"/>
        <w:numPr>
          <w:ilvl w:val="0"/>
          <w:numId w:val="1003"/>
        </w:numPr>
      </w:pPr>
      <w:r>
        <w:t>Le retrait de quarantaine par xattr est proposé uniquement pour les fichiers CoDIR IA et peut être refusé.</w:t>
      </w:r>
    </w:p>
    <w:p>
      <w:pPr>
        <w:pStyle w:val="ListNumber"/>
        <w:numPr>
          <w:ilvl w:val="0"/>
          <w:numId w:val="1003"/>
        </w:numPr>
      </w:pPr>
      <w:r>
        <w:t>Le raccourci .app, lorsqu’il est créé localement, ne transforme pas le script en application signée/notarisée.</w:t>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Gatekeeper</w:t>
            </w:r>
          </w:p>
        </w:tc>
      </w:tr>
      <w:tr>
        <w:trPr>
          <w:cantSplit/>
        </w:trPr>
        <w:tc>
          <w:tcPr>
            <w:tcW w:type="dxa" w:w="10080"/>
            <w:shd w:fill="FFF3CD"/>
          </w:tcPr>
          <w:p>
            <w:r>
              <w:t>Ne pas désactiver globalement Gatekeeper. Les parcours autorisés dépendent du système et de la politique de l’organisation.</w:t>
            </w:r>
          </w:p>
        </w:tc>
      </w:tr>
    </w:tbl>
    <w:p>
      <w:r/>
    </w:p>
    <w:p>
      <w:pPr>
        <w:pStyle w:val="Heading1"/>
      </w:pPr>
      <w:r>
        <w:t>5. Installation Linux / lancement développeur</w:t>
      </w:r>
    </w:p>
    <w:p>
      <w:r>
        <w:t>Linux est un parcours technique : Python 3.11–3.14 standard, venv, installation depuis requirements.lock puis streamlit run app.py. Définissez CODIR_CONFIG_DIR, CODIR_CACHE_DIR et CODIR_DATA_DIR selon votre politique XDG.</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Variable</w:t>
            </w:r>
          </w:p>
        </w:tc>
        <w:tc>
          <w:tcPr>
            <w:tcW w:type="dxa" w:w="5040"/>
            <w:shd w:fill="101A4A"/>
          </w:tcPr>
          <w:p>
            <w:pPr>
              <w:keepNext/>
            </w:pPr>
            <w:r>
              <w:rPr>
                <w:b/>
                <w:color w:val="FFFFFF"/>
              </w:rPr>
              <w:t>Rôle</w:t>
            </w:r>
          </w:p>
        </w:tc>
      </w:tr>
      <w:tr>
        <w:trPr>
          <w:cantSplit/>
        </w:trPr>
        <w:tc>
          <w:tcPr>
            <w:tcW w:type="dxa" w:w="5040"/>
            <w:vAlign w:val="center"/>
          </w:tcPr>
          <w:p>
            <w:r>
              <w:t>CODIR_CONFIG_DIR</w:t>
            </w:r>
          </w:p>
        </w:tc>
        <w:tc>
          <w:tcPr>
            <w:tcW w:type="dxa" w:w="5040"/>
            <w:vAlign w:val="center"/>
          </w:tcPr>
          <w:p>
            <w:r>
              <w:t>settings, secrets, logs applicatifs</w:t>
            </w:r>
          </w:p>
        </w:tc>
      </w:tr>
      <w:tr>
        <w:trPr>
          <w:cantSplit/>
        </w:trPr>
        <w:tc>
          <w:tcPr>
            <w:tcW w:type="dxa" w:w="5040"/>
            <w:vAlign w:val="center"/>
          </w:tcPr>
          <w:p>
            <w:r>
              <w:t>CODIR_CACHE_DIR</w:t>
            </w:r>
          </w:p>
        </w:tc>
        <w:tc>
          <w:tcPr>
            <w:tcW w:type="dxa" w:w="5040"/>
            <w:vAlign w:val="center"/>
          </w:tcPr>
          <w:p>
            <w:r>
              <w:t>caches registres/documents</w:t>
            </w:r>
          </w:p>
        </w:tc>
      </w:tr>
      <w:tr>
        <w:trPr>
          <w:cantSplit/>
        </w:trPr>
        <w:tc>
          <w:tcPr>
            <w:tcW w:type="dxa" w:w="5040"/>
            <w:vAlign w:val="center"/>
          </w:tcPr>
          <w:p>
            <w:r>
              <w:t>CODIR_DATA_DIR</w:t>
            </w:r>
          </w:p>
        </w:tc>
        <w:tc>
          <w:tcPr>
            <w:tcW w:type="dxa" w:w="5040"/>
            <w:vAlign w:val="center"/>
          </w:tcPr>
          <w:p>
            <w:r>
              <w:t>historique et registre CoDIR</w:t>
            </w:r>
          </w:p>
        </w:tc>
      </w:tr>
      <w:tr>
        <w:trPr>
          <w:cantSplit/>
        </w:trPr>
        <w:tc>
          <w:tcPr>
            <w:tcW w:type="dxa" w:w="5040"/>
            <w:vAlign w:val="center"/>
          </w:tcPr>
          <w:p>
            <w:r>
              <w:t>CODIR_PARSE_ENGINE</w:t>
            </w:r>
          </w:p>
        </w:tc>
        <w:tc>
          <w:tcPr>
            <w:tcW w:type="dxa" w:w="5040"/>
            <w:vAlign w:val="center"/>
          </w:tcPr>
          <w:p>
            <w:r>
              <w:t>thread par défaut</w:t>
            </w:r>
          </w:p>
        </w:tc>
      </w:tr>
    </w:tbl>
    <w:p>
      <w:r/>
    </w:p>
    <w:p>
      <w:pPr>
        <w:pStyle w:val="Heading1"/>
      </w:pPr>
      <w:r>
        <w:t>6. Clés, configuration et chemins</w:t>
      </w:r>
    </w:p>
    <w:p>
      <w:r>
        <w:t>Geste exact pour les clés : ouvrez la page Paramètres de l'application, collez la clé du fournisseur dans son champ, enregistrez ; la page affiche le dossier de configuration où elle est stockée en clair et le dossier de cache. Vérifiez ensuite avec un fournisseur à la fois : une session courte sur un brief de test confirme la clé et le solde. Ne collez jamais une clé dans le brief, dans un ticket de support ou dans un journal partagé.</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trPr>
        <w:tc>
          <w:tcPr>
            <w:tcW w:type="dxa" w:w="2520"/>
            <w:shd w:fill="101A4A"/>
          </w:tcPr>
          <w:p>
            <w:pPr>
              <w:keepNext/>
            </w:pPr>
            <w:r>
              <w:rPr>
                <w:b/>
                <w:color w:val="FFFFFF"/>
              </w:rPr>
              <w:t>Plateforme</w:t>
            </w:r>
          </w:p>
        </w:tc>
        <w:tc>
          <w:tcPr>
            <w:tcW w:type="dxa" w:w="2520"/>
            <w:shd w:fill="101A4A"/>
          </w:tcPr>
          <w:p>
            <w:pPr>
              <w:keepNext/>
            </w:pPr>
            <w:r>
              <w:rPr>
                <w:b/>
                <w:color w:val="FFFFFF"/>
              </w:rPr>
              <w:t>Configuration</w:t>
            </w:r>
          </w:p>
        </w:tc>
        <w:tc>
          <w:tcPr>
            <w:tcW w:type="dxa" w:w="2520"/>
            <w:shd w:fill="101A4A"/>
          </w:tcPr>
          <w:p>
            <w:pPr>
              <w:keepNext/>
            </w:pPr>
            <w:r>
              <w:rPr>
                <w:b/>
                <w:color w:val="FFFFFF"/>
              </w:rPr>
              <w:t>Cache</w:t>
            </w:r>
          </w:p>
        </w:tc>
        <w:tc>
          <w:tcPr>
            <w:tcW w:type="dxa" w:w="2520"/>
            <w:shd w:fill="101A4A"/>
          </w:tcPr>
          <w:p>
            <w:pPr>
              <w:keepNext/>
            </w:pPr>
            <w:r>
              <w:rPr>
                <w:b/>
                <w:color w:val="FFFFFF"/>
              </w:rPr>
              <w:t>Venv / install logs</w:t>
            </w:r>
          </w:p>
        </w:tc>
      </w:tr>
      <w:tr>
        <w:trPr>
          <w:cantSplit/>
        </w:trPr>
        <w:tc>
          <w:tcPr>
            <w:tcW w:type="dxa" w:w="2520"/>
            <w:vAlign w:val="center"/>
          </w:tcPr>
          <w:p>
            <w:r>
              <w:t>Windows</w:t>
            </w:r>
          </w:p>
        </w:tc>
        <w:tc>
          <w:tcPr>
            <w:tcW w:type="dxa" w:w="2520"/>
            <w:vAlign w:val="center"/>
          </w:tcPr>
          <w:p>
            <w:r>
              <w:t>%APPDATA%\CoDIR-IA</w:t>
            </w:r>
          </w:p>
        </w:tc>
        <w:tc>
          <w:tcPr>
            <w:tcW w:type="dxa" w:w="2520"/>
            <w:vAlign w:val="center"/>
          </w:tcPr>
          <w:p>
            <w:r>
              <w:t>%LOCALAPPDATA%\CoDIR-IA\cache</w:t>
            </w:r>
          </w:p>
        </w:tc>
        <w:tc>
          <w:tcPr>
            <w:tcW w:type="dxa" w:w="2520"/>
            <w:vAlign w:val="center"/>
          </w:tcPr>
          <w:p>
            <w:r>
              <w:t>%LOCALAPPDATA%\CoDIR-IA</w:t>
            </w:r>
          </w:p>
        </w:tc>
      </w:tr>
      <w:tr>
        <w:trPr>
          <w:cantSplit/>
        </w:trPr>
        <w:tc>
          <w:tcPr>
            <w:tcW w:type="dxa" w:w="2520"/>
            <w:vAlign w:val="center"/>
          </w:tcPr>
          <w:p>
            <w:r>
              <w:t>macOS</w:t>
            </w:r>
          </w:p>
        </w:tc>
        <w:tc>
          <w:tcPr>
            <w:tcW w:type="dxa" w:w="2520"/>
            <w:vAlign w:val="center"/>
          </w:tcPr>
          <w:p>
            <w:r>
              <w:t>~/Library/Application Support/CoDIR-IA</w:t>
            </w:r>
          </w:p>
        </w:tc>
        <w:tc>
          <w:tcPr>
            <w:tcW w:type="dxa" w:w="2520"/>
            <w:vAlign w:val="center"/>
          </w:tcPr>
          <w:p>
            <w:r>
              <w:t>…/CoDIR-IA/cache</w:t>
            </w:r>
          </w:p>
        </w:tc>
        <w:tc>
          <w:tcPr>
            <w:tcW w:type="dxa" w:w="2520"/>
            <w:vAlign w:val="center"/>
          </w:tcPr>
          <w:p>
            <w:r>
              <w:t>dossier application/.venv</w:t>
            </w:r>
          </w:p>
        </w:tc>
      </w:tr>
      <w:tr>
        <w:trPr>
          <w:cantSplit/>
        </w:trPr>
        <w:tc>
          <w:tcPr>
            <w:tcW w:type="dxa" w:w="2520"/>
            <w:vAlign w:val="center"/>
          </w:tcPr>
          <w:p>
            <w:r>
              <w:t>Linux</w:t>
            </w:r>
          </w:p>
        </w:tc>
        <w:tc>
          <w:tcPr>
            <w:tcW w:type="dxa" w:w="2520"/>
            <w:vAlign w:val="center"/>
          </w:tcPr>
          <w:p>
            <w:r>
              <w:t>$XDG_CONFIG_HOME/CoDIR-IA</w:t>
            </w:r>
          </w:p>
        </w:tc>
        <w:tc>
          <w:tcPr>
            <w:tcW w:type="dxa" w:w="2520"/>
            <w:vAlign w:val="center"/>
          </w:tcPr>
          <w:p>
            <w:r>
              <w:t>${XDG_CACHE_HOME}/CoDIR-IA</w:t>
            </w:r>
          </w:p>
        </w:tc>
        <w:tc>
          <w:tcPr>
            <w:tcW w:type="dxa" w:w="2520"/>
            <w:vAlign w:val="center"/>
          </w:tcPr>
          <w:p>
            <w:r>
              <w:t>dossier application/.venv</w:t>
            </w:r>
          </w:p>
        </w:tc>
      </w:tr>
    </w:tbl>
    <w:p>
      <w:r/>
    </w:p>
    <w:p>
      <w:r>
        <w:t>Les clés sont stockées localement dans secrets.json. Utilisez les réglages de l’application ; ne partagez jamais ce fichier. Les fournisseurs possibles et transferts sont documentés dans SUBPROCESSORS_AND_TRANSFERS.md.</w:t>
      </w:r>
    </w:p>
    <w:p>
      <w:pPr>
        <w:pStyle w:val="Heading2"/>
      </w:pPr>
      <w:r>
        <w:t>Modèle et sources publiques</w:t>
      </w:r>
    </w:p>
    <w:p>
      <w:pPr/>
      <w:r>
        <w:t>Modèle Anthropic par défaut : Claude Sonnet 5.5 (claude-sonnet-5-5). Claude Sonnet 4.5 est retiré de l'API le 24/11/2026 ; un réglage enregistré sur un ancien Sonnet est migré automatiquement au premier lancement. La température n'est plus transmise aux modèles Claude 4.7 et suivants, qui la refusent.</w:t>
      </w:r>
    </w:p>
    <w:p>
      <w:pPr/>
      <w:r>
        <w:t>Modèles par rôle (réglages du 10/10/2026, « qualité d'abord ») : Compte rendu, Finance et Stratégie — claude-sonnet-5-5 ; Direction générale, Marketing, CEO et préfiltre Supply Chain — gpt-5.4 ; Supply Chain principal — gpt-5.4 ; second avis Finance et contradicteur Supply Chain — gemini-3.6-flash ; Commercial — grok-4.3 ; Synthèse des décisions et recherche web — Perplexity par l'API Agent (perplexity/sonar) ; repli de dernier recours dans chaque rôle — Mistral AI (Paris), fournisseur européen, mistral-medium-latest. Un réglage ou une variable d'environnement restés sur un modèle retiré sont migrés automatiquement ; la page Réglages signale une variable qui remplace un réglage.</w:t>
      </w:r>
    </w:p>
    <w:p>
      <w:pPr/>
      <w:r>
        <w:t>Tester avant le premier run : dans Réglages, « Tester la connexion » vérifie chaque clé ; « Tester la lecture » vérifie en plus que les montants publiés se lisent (SEC — 10-K, Pappers — finances, Companies House — comptes iXBRL sur un numéro britannique saisi).</w:t>
      </w:r>
    </w:p>
    <w:p>
      <w:pPr/>
      <w:r>
        <w:t>Sources publiques : contact SEC (SEC_EDGAR_USER_AGENT, « Prénom Nom adresse@domaine ») pour les sociétés cotées aux États-Unis ; clé Companies House (COMPANIES_HOUSE_API_KEY, et en option COMPANIES_HOUSE_DOCUMENT_API_KEY) pour les sociétés britanniques ; clé Pappers (PAPPERS_API_KEY, optionnelle) pour les sociétés françaises. Ces réglages se saisissent dans la page Réglages et sont enregistrés dans le dossier de configuration (Windows : %APPDATA%\CoDIR-IA ; macOS : ~/Library/Application Support/CoDIR-IA). Seul l'identifiant de la société est envoyé à ces services.</w:t>
      </w:r>
    </w:p>
    <w:p>
      <w:pPr>
        <w:pStyle w:val="Heading2"/>
      </w:pPr>
      <w:r>
        <w:t>Stockage et mémoire de dossier</w:t>
      </w:r>
    </w:p>
    <w:p>
      <w:r>
        <w:t>Mémoire entre CoDIR. Le code comporte un historique local par dossier et un registre d’actions horodaté. Réutilisez le même dossier — même « Libellé de dossier » d’une séance à l’autre — et vérifiez l’entité, l’identifiant, le répertoire de données et la date d’analyse. Dans le nouveau brief, précisez les décisions réellement approuvées, les actions réalisées ou reportées et les clôtures explicites. Relisez ensuite les reprises et les écarts : une proposition ne devient pas approuvée par simple répétition. Les modes rétrospectif/futur n’écrivent pas le registre vivant ; la case « Repartir de zéro — ignorer l’historique de ce dossier » (variable technique CODIR_IGNORE_HISTORY) neutralise la reprise pour un test isolé. La reprise exhaustive des décisions, actions et questions sur deux séances n’est pas certifiée par cette révision documentaire ; elle reste à vérifier sur votre dossier. Ce n’est ni une mémoire de toutes les conversations ni un apprentissage du modèle.</w:t>
      </w:r>
    </w:p>
    <w:p>
      <w:pPr>
        <w:pStyle w:val="Heading1"/>
      </w:pPr>
      <w:r>
        <w:t>7. Mise à jour et migration</w:t>
      </w:r>
    </w:p>
    <w:p>
      <w:pPr>
        <w:pStyle w:val="ListNumber"/>
        <w:numPr>
          <w:ilvl w:val="0"/>
          <w:numId w:val="1004"/>
        </w:numPr>
      </w:pPr>
      <w:r>
        <w:t>Conserver une sauvegarde chiffrée des réglages utiles, sans partager les clés.</w:t>
      </w:r>
    </w:p>
    <w:p>
      <w:pPr>
        <w:pStyle w:val="ListNumber"/>
        <w:numPr>
          <w:ilvl w:val="0"/>
          <w:numId w:val="1004"/>
        </w:numPr>
      </w:pPr>
      <w:r>
        <w:t>Installer la nouvelle version dans un nouveau dossier.</w:t>
      </w:r>
    </w:p>
    <w:p>
      <w:pPr>
        <w:pStyle w:val="ListNumber"/>
        <w:numPr>
          <w:ilvl w:val="0"/>
          <w:numId w:val="1004"/>
        </w:numPr>
      </w:pPr>
      <w:r>
        <w:t>Vérifier SHA et manifeste.</w:t>
      </w:r>
    </w:p>
    <w:p>
      <w:pPr>
        <w:pStyle w:val="ListNumber"/>
        <w:numPr>
          <w:ilvl w:val="0"/>
          <w:numId w:val="1004"/>
        </w:numPr>
      </w:pPr>
      <w:r>
        <w:t>Sous Windows, le lanceur détecte un environnement Python construit pour une autre version : il le met de côté sous .venv-precedent, installe le verrou livré et recrée le raccourci du Bureau au lancement suivant. Fermez CoDIR IA avant de lancer la nouvelle version, puis vérifiez que INSTALL_MODE.txt indique locked requirements.lock. Ne supprimez pas %APPDATA%\CoDIR-IA, qui contient vos réglages et données.</w:t>
      </w:r>
    </w:p>
    <w:p>
      <w:pPr>
        <w:pStyle w:val="ListNumber"/>
        <w:numPr>
          <w:ilvl w:val="0"/>
          <w:numId w:val="1004"/>
        </w:numPr>
      </w:pPr>
      <w:r>
        <w:t>Contrôler la cible mémorisée et la date d’analyse avant un run.</w:t>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Migration</w:t>
            </w:r>
          </w:p>
        </w:tc>
      </w:tr>
      <w:tr>
        <w:trPr>
          <w:cantSplit/>
        </w:trPr>
        <w:tc>
          <w:tcPr>
            <w:tcW w:type="dxa" w:w="10080"/>
            <w:shd w:fill="F3F5F8"/>
          </w:tcPr>
          <w:p>
            <w:r>
              <w:t>Les anciens chemins ~/.codir_ia peuvent encore contenir des données. La v62.13.4 les lit seulement pour migration ; supprimez-les après vérification.</w:t>
            </w:r>
          </w:p>
        </w:tc>
      </w:tr>
    </w:tbl>
    <w:p>
      <w:r/>
    </w:p>
    <w:p>
      <w:pPr>
        <w:pStyle w:val="Heading1"/>
      </w:pPr>
      <w:r>
        <w:t>8. Dépannage</w:t>
      </w:r>
    </w:p>
    <w:p>
      <w:pPr>
        <w:pStyle w:val="Heading2"/>
      </w:pPr>
      <w:r>
        <w:t>Diagnostic en six cas</w:t>
      </w:r>
    </w:p>
    <w:p>
      <w:pPr>
        <w:pStyle w:val="ListBullet"/>
      </w:pPr>
      <w:r>
        <w:t>Dépendances encore en téléchargement : la fenêtre d'installation affiche des lignes pip ; attendez la fin, puis lisez le journal d'installation (mode verrouillé réussi, ou repli requirements.txt utilisé).</w:t>
      </w:r>
    </w:p>
    <w:p>
      <w:pPr>
        <w:pStyle w:val="ListBullet"/>
      </w:pPr>
      <w:r>
        <w:t>Fournisseur qui refuse une requête : le message nomme le fournisseur et la cause (clé invalide, solde, quota, modèle indisponible) ; corrigez sur le compte fournisseur, puis relancez. Ce n'est pas une panne d'installation.</w:t>
      </w:r>
    </w:p>
    <w:p>
      <w:pPr>
        <w:pStyle w:val="ListBullet"/>
      </w:pPr>
      <w:r>
        <w:t>Les lanceurs publics utilisent le port 8501. Si ce port est occupé, fermez l’autre instance ou faites libérer le port par votre administrateur, puis relancez. Le lanceur ne choisit pas automatiquement un autre port.</w:t>
      </w:r>
    </w:p>
    <w:p>
      <w:pPr>
        <w:pStyle w:val="ListBullet"/>
      </w:pPr>
      <w:r>
        <w:t>Livrable retenu ou avertissement de contrôle : lisez le message, les diagnostics et les fichiers effectivement disponibles. Des contrôles du deck peuvent produire des avertissements. Le PPTX reste une ébauche ; les deux Word sont prioritaires pour la revue de fond.</w:t>
      </w:r>
    </w:p>
    <w:p>
      <w:pPr>
        <w:pStyle w:val="ListBullet"/>
      </w:pPr>
      <w:r>
        <w:t>Reprise d’un export : conservez le dossier complet. Le rejeu dépend des réponses enregistrées, de leur compatibilité et de la procédure technique ; une nouvelle analyse peut rester nécessaire.</w:t>
      </w:r>
    </w:p>
    <w:p>
      <w:pPr>
        <w:pStyle w:val="ListBullet"/>
      </w:pPr>
      <w:r>
        <w:t>Pièce non lue : la carte d'extractibilité du compte rendu liste les pièces sans texte exploitable (« OCR requis ») ; fournissez une version texte ou une extraction, puis relancez.</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fill="101A4A"/>
          </w:tcPr>
          <w:p>
            <w:pPr>
              <w:keepNext/>
            </w:pPr>
            <w:r>
              <w:rPr>
                <w:b/>
                <w:color w:val="FFFFFF"/>
              </w:rPr>
              <w:t>Symptôme</w:t>
            </w:r>
          </w:p>
        </w:tc>
        <w:tc>
          <w:tcPr>
            <w:tcW w:type="dxa" w:w="3360"/>
            <w:shd w:fill="101A4A"/>
          </w:tcPr>
          <w:p>
            <w:pPr>
              <w:keepNext/>
            </w:pPr>
            <w:r>
              <w:rPr>
                <w:b/>
                <w:color w:val="FFFFFF"/>
              </w:rPr>
              <w:t>Diagnostic</w:t>
            </w:r>
          </w:p>
        </w:tc>
        <w:tc>
          <w:tcPr>
            <w:tcW w:type="dxa" w:w="3360"/>
            <w:shd w:fill="101A4A"/>
          </w:tcPr>
          <w:p>
            <w:pPr>
              <w:keepNext/>
            </w:pPr>
            <w:r>
              <w:rPr>
                <w:b/>
                <w:color w:val="FFFFFF"/>
              </w:rPr>
              <w:t>Action</w:t>
            </w:r>
          </w:p>
        </w:tc>
      </w:tr>
      <w:tr>
        <w:trPr>
          <w:cantSplit/>
        </w:trPr>
        <w:tc>
          <w:tcPr>
            <w:tcW w:type="dxa" w:w="3360"/>
            <w:vAlign w:val="center"/>
          </w:tcPr>
          <w:p>
            <w:r>
              <w:t>Le navigateur ne s’ouvre pas</w:t>
            </w:r>
          </w:p>
        </w:tc>
        <w:tc>
          <w:tcPr>
            <w:tcW w:type="dxa" w:w="3360"/>
            <w:vAlign w:val="center"/>
          </w:tcPr>
          <w:p>
            <w:r>
              <w:t>Port 8501 ou Streamlit</w:t>
            </w:r>
          </w:p>
        </w:tc>
        <w:tc>
          <w:tcPr>
            <w:tcW w:type="dxa" w:w="3360"/>
            <w:vAlign w:val="center"/>
          </w:tcPr>
          <w:p>
            <w:r>
              <w:t>Ouvrir l’URL complète affichée par le lanceur ; consulter les logs. Avec les lanceurs publics, le port utilisé est 8501 (http://127.0.0.1:8501).</w:t>
            </w:r>
          </w:p>
        </w:tc>
      </w:tr>
      <w:tr>
        <w:trPr>
          <w:cantSplit/>
        </w:trPr>
        <w:tc>
          <w:tcPr>
            <w:tcW w:type="dxa" w:w="3360"/>
            <w:vAlign w:val="center"/>
          </w:tcPr>
          <w:p>
            <w:r>
              <w:t>RuntimeError</w:t>
            </w:r>
          </w:p>
        </w:tc>
        <w:tc>
          <w:tcPr>
            <w:tcW w:type="dxa" w:w="3360"/>
            <w:vAlign w:val="center"/>
          </w:tcPr>
          <w:p>
            <w:r>
              <w:t>Post-contrôle ou dépendance</w:t>
            </w:r>
          </w:p>
        </w:tc>
        <w:tc>
          <w:tcPr>
            <w:tcW w:type="dxa" w:w="3360"/>
            <w:vAlign w:val="center"/>
          </w:tcPr>
          <w:p>
            <w:r>
              <w:t>Copier le rapport technique sans secrets</w:t>
            </w:r>
          </w:p>
        </w:tc>
      </w:tr>
      <w:tr>
        <w:trPr>
          <w:cantSplit/>
        </w:trPr>
        <w:tc>
          <w:tcPr>
            <w:tcW w:type="dxa" w:w="3360"/>
            <w:vAlign w:val="center"/>
          </w:tcPr>
          <w:p>
            <w:r>
              <w:t>PPTX retenu</w:t>
            </w:r>
          </w:p>
        </w:tc>
        <w:tc>
          <w:tcPr>
            <w:tcW w:type="dxa" w:w="3360"/>
            <w:vAlign w:val="center"/>
          </w:tcPr>
          <w:p>
            <w:r>
              <w:t>Garde numérique / vérité</w:t>
            </w:r>
          </w:p>
        </w:tc>
        <w:tc>
          <w:tcPr>
            <w:tcW w:type="dxa" w:w="3360"/>
            <w:vAlign w:val="center"/>
          </w:tcPr>
          <w:p>
            <w:r>
              <w:t>Lire diagnostics et annexe ; ne pas désactiver le gate</w:t>
            </w:r>
          </w:p>
        </w:tc>
      </w:tr>
      <w:tr>
        <w:trPr>
          <w:cantSplit/>
        </w:trPr>
        <w:tc>
          <w:tcPr>
            <w:tcW w:type="dxa" w:w="3360"/>
            <w:vAlign w:val="center"/>
          </w:tcPr>
          <w:p>
            <w:r>
              <w:t>PDF non lu</w:t>
            </w:r>
          </w:p>
        </w:tc>
        <w:tc>
          <w:tcPr>
            <w:tcW w:type="dxa" w:w="3360"/>
            <w:vAlign w:val="center"/>
          </w:tcPr>
          <w:p>
            <w:r>
              <w:t>Scan sans texte</w:t>
            </w:r>
          </w:p>
        </w:tc>
        <w:tc>
          <w:tcPr>
            <w:tcW w:type="dxa" w:w="3360"/>
            <w:vAlign w:val="center"/>
          </w:tcPr>
          <w:p>
            <w:r>
              <w:t>OCR_REQUIRED ; fournir une version texte</w:t>
            </w:r>
          </w:p>
        </w:tc>
      </w:tr>
      <w:tr>
        <w:trPr>
          <w:cantSplit/>
        </w:trPr>
        <w:tc>
          <w:tcPr>
            <w:tcW w:type="dxa" w:w="3360"/>
            <w:vAlign w:val="center"/>
          </w:tcPr>
          <w:p>
            <w:r>
              <w:t>Cible incorrecte</w:t>
            </w:r>
          </w:p>
        </w:tc>
        <w:tc>
          <w:tcPr>
            <w:tcW w:type="dxa" w:w="3360"/>
            <w:vAlign w:val="center"/>
          </w:tcPr>
          <w:p>
            <w:r>
              <w:t>Résolution ambiguë</w:t>
            </w:r>
          </w:p>
        </w:tc>
        <w:tc>
          <w:tcPr>
            <w:tcW w:type="dxa" w:w="3360"/>
            <w:vAlign w:val="center"/>
          </w:tcPr>
          <w:p>
            <w:r>
              <w:t>Changer la cible et confirmer l’identifiant légal</w:t>
            </w:r>
          </w:p>
        </w:tc>
      </w:tr>
      <w:tr>
        <w:trPr>
          <w:cantSplit/>
        </w:trPr>
        <w:tc>
          <w:tcPr>
            <w:tcW w:type="dxa" w:w="3360"/>
            <w:vAlign w:val="center"/>
          </w:tcPr>
          <w:p>
            <w:r>
              <w:t>Date fantôme</w:t>
            </w:r>
          </w:p>
        </w:tc>
        <w:tc>
          <w:tcPr>
            <w:tcW w:type="dxa" w:w="3360"/>
            <w:vAlign w:val="center"/>
          </w:tcPr>
          <w:p>
            <w:r>
              <w:t>Réglage persistant</w:t>
            </w:r>
          </w:p>
        </w:tc>
        <w:tc>
          <w:tcPr>
            <w:tcW w:type="dxa" w:w="3360"/>
            <w:vAlign w:val="center"/>
          </w:tcPr>
          <w:p>
            <w:r>
              <w:t>Vérifier la date d’analyse voulue et le mode ; ne pas passer en LIVE pour contourner une analyse rétrospective.</w:t>
            </w:r>
          </w:p>
        </w:tc>
      </w:tr>
    </w:tbl>
    <w:p>
      <w:r/>
    </w:p>
    <w:p>
      <w:r>
        <w:t>Le journal de crash se trouve dans le dossier de configuration / logs. Les logs peuvent contenir des chemins et noms de fichiers : relisez-les avant transmission.</w:t>
      </w:r>
    </w:p>
    <w:p>
      <w:pPr>
        <w:pStyle w:val="Heading1"/>
      </w:pPr>
      <w:r>
        <w:t>9. Désinstallation et effacement</w:t>
      </w:r>
    </w:p>
    <w:p>
      <w:r>
        <w:t>Supprimer l’application ne suffit pas à effacer les données locales.</w:t>
      </w:r>
    </w:p>
    <w:p>
      <w:pPr>
        <w:pStyle w:val="ListBullet"/>
      </w:pPr>
      <w:r>
        <w:t>Fermer CoDIR IA et le terminal.</w:t>
      </w:r>
    </w:p>
    <w:p>
      <w:pPr>
        <w:pStyle w:val="ListBullet"/>
      </w:pPr>
      <w:r>
        <w:t>Supprimer le dossier d’installation et les outputs.</w:t>
      </w:r>
    </w:p>
    <w:p>
      <w:pPr>
        <w:pStyle w:val="ListBullet"/>
      </w:pPr>
      <w:r>
        <w:t>Supprimer le dossier configuration, cache et venv.</w:t>
      </w:r>
    </w:p>
    <w:p>
      <w:pPr>
        <w:pStyle w:val="ListBullet"/>
      </w:pPr>
      <w:r>
        <w:t>Vérifier puis supprimer l’ancien ~/.codir_ia.</w:t>
      </w:r>
    </w:p>
    <w:p>
      <w:pPr>
        <w:pStyle w:val="ListBullet"/>
      </w:pPr>
      <w:r>
        <w:t>Révoquer les clés API chez les fournisseurs si nécessaire.</w:t>
      </w:r>
    </w:p>
    <w:p>
      <w:pPr>
        <w:pStyle w:val="ListBullet"/>
      </w:pPr>
      <w:r>
        <w:t>Supprimer les raccourcis et sauvegardes.</w:t>
      </w:r>
    </w:p>
    <w:p>
      <w:pPr>
        <w:pStyle w:val="Heading1"/>
      </w:pPr>
      <w:r>
        <w:t>10. Sécurité, juridique et portes de release</w:t>
      </w:r>
    </w:p>
    <w:p>
      <w:r>
        <w:t>État des preuves de publication de la v17.0 (les pièces privées sont conservées par l’éditeur hors de l’archive) :</w:t>
      </w:r>
    </w:p>
    <w:p>
      <w:pPr>
        <w:pStyle w:val="ListBullet"/>
      </w:pPr>
      <w:r>
        <w:t>note d’applicabilité AI Act et chaîne de droits : conservées par l’éditeur ;</w:t>
      </w:r>
    </w:p>
    <w:p>
      <w:pPr>
        <w:pStyle w:val="ListBullet"/>
      </w:pPr>
      <w:r>
        <w:t>signatures : v17.0 publiée sans signature de code (lanceurs non signés) ; signature prévue en v18 ;</w:t>
      </w:r>
    </w:p>
    <w:p>
      <w:pPr>
        <w:pStyle w:val="ListBullet"/>
      </w:pPr>
      <w:r>
        <w:t>avertissements attendus au premier lancement : décrits dans le README et les guides d’installation ;</w:t>
      </w:r>
    </w:p>
    <w:p>
      <w:pPr>
        <w:pStyle w:val="ListBullet"/>
      </w:pPr>
      <w:r>
        <w:t>essais natifs : macOS le 17 octobre 2026 et Windows le 18 octobre 2026, sur l’archive publique ;</w:t>
      </w:r>
    </w:p>
    <w:p>
      <w:pPr>
        <w:pStyle w:val="ListBullet"/>
      </w:pPr>
      <w:r>
        <w:t>canal de sécurité : security@vauquigneux.com, procédure dans SECURITY_FR.md ;</w:t>
      </w:r>
    </w:p>
    <w:p>
      <w:pPr>
        <w:pStyle w:val="ListBullet"/>
      </w:pPr>
      <w:r>
        <w:t>scan de vulnérabilités : pip-audit du 17 octobre 2026 sur le verrou distribué, aucune vulnérabilité connue ; sortie brute et empreinte dans VULNERABILITY_SCAN_STATUS.md.</w:t>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Contact</w:t>
            </w:r>
          </w:p>
        </w:tc>
      </w:tr>
      <w:tr>
        <w:trPr>
          <w:cantSplit/>
        </w:trPr>
        <w:tc>
          <w:tcPr>
            <w:tcW w:type="dxa" w:w="10080"/>
            <w:shd w:fill="F3F5F8"/>
          </w:tcPr>
          <w:p>
            <w:r>
              <w:t>security@vauquigneux.com (canal principal), objet [SECURITY CoDIR IA] ; https://robinsauzet.com/contact/ en repli.</w:t>
            </w:r>
          </w:p>
        </w:tc>
      </w:tr>
    </w:tbl>
    <w:p>
      <w:r/>
    </w:p>
    <w:p>
      <w:pPr>
        <w:pStyle w:val="Heading1"/>
      </w:pPr>
      <w:r>
        <w:t>Annexe A — Architecture d’installation et chaîne de confiance</w:t>
      </w:r>
    </w:p>
    <w:p>
      <w:r>
        <w:t>Le lanceur racine, les scripts de sélection Python, le venv et l’application répondent à des responsabilités distinctes. Le lanceur racine vérifie l’intégrité de la distribution (SHA256SUMS), sous Windows comme sous macOS, et s’arrête avec le code 11 en cas d’échec. Le setup sélectionne une implémentation CPython standard, construit l’environnement isolé et installe les versions verrouillées. L’application ne doit démarrer qu’après ces étapes. Cette séparation facilite l’audit et évite qu’une correction analytique dépende de l’installateur.</w:t>
      </w:r>
    </w:p>
    <w:p>
      <w:pPr>
        <w:pStyle w:val="ListBullet"/>
      </w:pPr>
      <w:r>
        <w:t>Chaîne de confiance : source du ZIP → SHA annoncé → SHA du ZIP → SHA256SUMS interne → fichiers extraits → lancement.</w:t>
      </w:r>
    </w:p>
    <w:p>
      <w:pPr>
        <w:pStyle w:val="ListBullet"/>
      </w:pPr>
      <w:r>
        <w:t>Le contrôle d’intégrité ne remplace pas une signature numérique, mais il détecte une altération entre le scellé et le poste.</w:t>
      </w:r>
    </w:p>
    <w:p>
      <w:pPr>
        <w:pStyle w:val="ListBullet"/>
      </w:pPr>
      <w:r>
        <w:t>Le venv isole les dépendances applicatives ; il ne constitue pas une sandbox de sécurité.</w:t>
      </w:r>
    </w:p>
    <w:p>
      <w:pPr>
        <w:pStyle w:val="ListBullet"/>
      </w:pPr>
      <w:r>
        <w:t>Les clés restent hors du ZIP et doivent être protégées par le compte OS ou un coffre d’entreprise.</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fill="101A4A"/>
          </w:tcPr>
          <w:p>
            <w:pPr>
              <w:keepNext/>
            </w:pPr>
            <w:r>
              <w:rPr>
                <w:b/>
                <w:color w:val="FFFFFF"/>
              </w:rPr>
              <w:t>Composant</w:t>
            </w:r>
          </w:p>
        </w:tc>
        <w:tc>
          <w:tcPr>
            <w:tcW w:type="dxa" w:w="3360"/>
            <w:shd w:fill="101A4A"/>
          </w:tcPr>
          <w:p>
            <w:pPr>
              <w:keepNext/>
            </w:pPr>
            <w:r>
              <w:rPr>
                <w:b/>
                <w:color w:val="FFFFFF"/>
              </w:rPr>
              <w:t>Responsabilité</w:t>
            </w:r>
          </w:p>
        </w:tc>
        <w:tc>
          <w:tcPr>
            <w:tcW w:type="dxa" w:w="3360"/>
            <w:shd w:fill="101A4A"/>
          </w:tcPr>
          <w:p>
            <w:pPr>
              <w:keepNext/>
            </w:pPr>
            <w:r>
              <w:rPr>
                <w:b/>
                <w:color w:val="FFFFFF"/>
              </w:rPr>
              <w:t>Échec attendu</w:t>
            </w:r>
          </w:p>
        </w:tc>
      </w:tr>
      <w:tr>
        <w:trPr>
          <w:cantSplit/>
        </w:trPr>
        <w:tc>
          <w:tcPr>
            <w:tcW w:type="dxa" w:w="3360"/>
            <w:vAlign w:val="center"/>
          </w:tcPr>
          <w:p>
            <w:r>
              <w:t>SHA256SUMS</w:t>
            </w:r>
          </w:p>
        </w:tc>
        <w:tc>
          <w:tcPr>
            <w:tcW w:type="dxa" w:w="3360"/>
            <w:vAlign w:val="center"/>
          </w:tcPr>
          <w:p>
            <w:r>
              <w:t>Intégrité des fichiers</w:t>
            </w:r>
          </w:p>
        </w:tc>
        <w:tc>
          <w:tcPr>
            <w:tcW w:type="dxa" w:w="3360"/>
            <w:vAlign w:val="center"/>
          </w:tcPr>
          <w:p>
            <w:r>
              <w:t>Arrêt code 11</w:t>
            </w:r>
          </w:p>
        </w:tc>
      </w:tr>
      <w:tr>
        <w:trPr>
          <w:cantSplit/>
        </w:trPr>
        <w:tc>
          <w:tcPr>
            <w:tcW w:type="dxa" w:w="3360"/>
            <w:vAlign w:val="center"/>
          </w:tcPr>
          <w:p>
            <w:r>
              <w:t>python_runtime_probe.py</w:t>
            </w:r>
          </w:p>
        </w:tc>
        <w:tc>
          <w:tcPr>
            <w:tcW w:type="dxa" w:w="3360"/>
            <w:vAlign w:val="center"/>
          </w:tcPr>
          <w:p>
            <w:r>
              <w:t>Version/implémentation/no-GIL</w:t>
            </w:r>
          </w:p>
        </w:tc>
        <w:tc>
          <w:tcPr>
            <w:tcW w:type="dxa" w:w="3360"/>
            <w:vAlign w:val="center"/>
          </w:tcPr>
          <w:p>
            <w:r>
              <w:t>Candidat rejeté</w:t>
            </w:r>
          </w:p>
        </w:tc>
      </w:tr>
      <w:tr>
        <w:trPr>
          <w:cantSplit/>
        </w:trPr>
        <w:tc>
          <w:tcPr>
            <w:tcW w:type="dxa" w:w="3360"/>
            <w:vAlign w:val="center"/>
          </w:tcPr>
          <w:p>
            <w:r>
              <w:t>requirements.lock</w:t>
            </w:r>
          </w:p>
        </w:tc>
        <w:tc>
          <w:tcPr>
            <w:tcW w:type="dxa" w:w="3360"/>
            <w:vAlign w:val="center"/>
          </w:tcPr>
          <w:p>
            <w:r>
              <w:t>Reproductibilité</w:t>
            </w:r>
          </w:p>
        </w:tc>
        <w:tc>
          <w:tcPr>
            <w:tcW w:type="dxa" w:w="3360"/>
            <w:vAlign w:val="center"/>
          </w:tcPr>
          <w:p>
            <w:r>
              <w:t>Fallback ou arrêt explicite</w:t>
            </w:r>
          </w:p>
        </w:tc>
      </w:tr>
      <w:tr>
        <w:trPr>
          <w:cantSplit/>
        </w:trPr>
        <w:tc>
          <w:tcPr>
            <w:tcW w:type="dxa" w:w="3360"/>
            <w:vAlign w:val="center"/>
          </w:tcPr>
          <w:p>
            <w:r>
              <w:t>verify_installation.py</w:t>
            </w:r>
          </w:p>
        </w:tc>
        <w:tc>
          <w:tcPr>
            <w:tcW w:type="dxa" w:w="3360"/>
            <w:vAlign w:val="center"/>
          </w:tcPr>
          <w:p>
            <w:r>
              <w:t>Contrats de package</w:t>
            </w:r>
          </w:p>
        </w:tc>
        <w:tc>
          <w:tcPr>
            <w:tcW w:type="dxa" w:w="3360"/>
            <w:vAlign w:val="center"/>
          </w:tcPr>
          <w:p>
            <w:r>
              <w:t>Rapport des contrôles exécutés, avec leur résultat</w:t>
            </w:r>
          </w:p>
        </w:tc>
      </w:tr>
      <w:tr>
        <w:trPr>
          <w:cantSplit/>
        </w:trPr>
        <w:tc>
          <w:tcPr>
            <w:tcW w:type="dxa" w:w="3360"/>
            <w:vAlign w:val="center"/>
          </w:tcPr>
          <w:p>
            <w:r>
              <w:t>codir-ia.log</w:t>
            </w:r>
          </w:p>
        </w:tc>
        <w:tc>
          <w:tcPr>
            <w:tcW w:type="dxa" w:w="3360"/>
            <w:vAlign w:val="center"/>
          </w:tcPr>
          <w:p>
            <w:r>
              <w:t>Crash applicatif</w:t>
            </w:r>
          </w:p>
        </w:tc>
        <w:tc>
          <w:tcPr>
            <w:tcW w:type="dxa" w:w="3360"/>
            <w:vAlign w:val="center"/>
          </w:tcPr>
          <w:p>
            <w:r>
              <w:t>Trace filtrée et rotative</w:t>
            </w:r>
          </w:p>
        </w:tc>
      </w:tr>
    </w:tbl>
    <w:p>
      <w:r/>
    </w:p>
    <w:p>
      <w:pPr>
        <w:pStyle w:val="Heading1"/>
      </w:pPr>
      <w:r>
        <w:t>Annexe B — Réseau, proxy et postes d’entreprise</w:t>
      </w:r>
    </w:p>
    <w:p>
      <w:r>
        <w:t>Sur un poste administré, les accès sortants, certificats TLS, proxies et règles EDR peuvent bloquer les API ou le téléchargement des wheels. Le déploiement doit être préparé avec la DSI. Le logiciel ne doit pas contourner un proxy, une inspection TLS ou une politique d’exécution. Les URL et domaines autorisés doivent correspondre aux fournisseurs réellement activés.</w:t>
      </w:r>
    </w:p>
    <w:p>
      <w:pPr>
        <w:pStyle w:val="ListBullet"/>
      </w:pPr>
      <w:r>
        <w:t>Tester DNS et HTTPS vers chaque fournisseur.</w:t>
      </w:r>
    </w:p>
    <w:p>
      <w:pPr>
        <w:pStyle w:val="ListBullet"/>
      </w:pPr>
      <w:r>
        <w:t>Installer le certificat d’entreprise via les procédures IT, jamais dans le ZIP.</w:t>
      </w:r>
    </w:p>
    <w:p>
      <w:pPr>
        <w:pStyle w:val="ListBullet"/>
      </w:pPr>
      <w:r>
        <w:t>Configurer les variables proxy au niveau OS/venv si autorisé.</w:t>
      </w:r>
    </w:p>
    <w:p>
      <w:pPr>
        <w:pStyle w:val="ListBullet"/>
      </w:pPr>
      <w:r>
        <w:t>Documenter les domaines, ports, responsables et date de revue.</w:t>
      </w:r>
    </w:p>
    <w:p>
      <w:pPr>
        <w:pStyle w:val="ListBullet"/>
      </w:pPr>
      <w:r>
        <w:t>Prévoir un mode sans enrichissement externe pour les dossiers sensibles.</w:t>
      </w:r>
    </w:p>
    <w:p>
      <w:pPr>
        <w:pStyle w:val="Heading1"/>
      </w:pPr>
      <w:r>
        <w:t>Annexe C — Procédure de mise à jour contrôlée</w:t>
      </w:r>
    </w:p>
    <w:p>
      <w:r>
        <w:t>Une mise à jour ne doit jamais écraser directement un dossier de travail validé. Conservez le ZIP, son SHA, le rapport de scellement et les livrables de référence. Installez la nouvelle version dans un nouveau répertoire, vérifiez le manifeste, puis exécutez un smoke avec des données non sensibles. Comparez les diagnostics et ne migrez la cible/settings qu’après confirmation. Sous Windows, le lanceur met automatiquement de côté l’environnement Python partagé (%LOCALAPPDATA%\CoDIR-IA\.venv) lorsqu’il a été construit pour une autre version, puis installe le verrou livré (guide d’installation Windows, rubrique « Mise à jour depuis une version antérieure »).</w:t>
      </w:r>
    </w:p>
    <w:p>
      <w:pPr>
        <w:pStyle w:val="ListBullet"/>
      </w:pPr>
      <w:r>
        <w:t>Archiver la version précédente et ses empreintes.</w:t>
      </w:r>
    </w:p>
    <w:p>
      <w:pPr>
        <w:pStyle w:val="ListBullet"/>
      </w:pPr>
      <w:r>
        <w:t>Extraire la nouvelle version dans un nouveau dossier.</w:t>
      </w:r>
    </w:p>
    <w:p>
      <w:pPr>
        <w:pStyle w:val="ListBullet"/>
      </w:pPr>
      <w:r>
        <w:t>Vérifier SHA et manifeste.</w:t>
      </w:r>
    </w:p>
    <w:p>
      <w:pPr>
        <w:pStyle w:val="ListBullet"/>
      </w:pPr>
      <w:r>
        <w:t>Lancer verify_installation.</w:t>
      </w:r>
    </w:p>
    <w:p>
      <w:pPr>
        <w:pStyle w:val="ListBullet"/>
      </w:pPr>
      <w:r>
        <w:t>Tester ouverture, cible, pièces, Word/PPTX et logs.</w:t>
      </w:r>
    </w:p>
    <w:p>
      <w:pPr>
        <w:pStyle w:val="ListBullet"/>
      </w:pPr>
      <w:r>
        <w:t>Décider du basculement ; conserver un rollback documenté.</w:t>
      </w:r>
    </w:p>
    <w:p>
      <w:pPr>
        <w:pStyle w:val="Heading1"/>
      </w:pPr>
      <w:r>
        <w:t>Annexe D — Dépannage détaillé</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fill="101A4A"/>
          </w:tcPr>
          <w:p>
            <w:pPr>
              <w:keepNext/>
            </w:pPr>
            <w:r>
              <w:rPr>
                <w:b/>
                <w:color w:val="FFFFFF"/>
              </w:rPr>
              <w:t>Symptôme</w:t>
            </w:r>
          </w:p>
        </w:tc>
        <w:tc>
          <w:tcPr>
            <w:tcW w:type="dxa" w:w="3360"/>
            <w:shd w:fill="101A4A"/>
          </w:tcPr>
          <w:p>
            <w:pPr>
              <w:keepNext/>
            </w:pPr>
            <w:r>
              <w:rPr>
                <w:b/>
                <w:color w:val="FFFFFF"/>
              </w:rPr>
              <w:t>Cause probable</w:t>
            </w:r>
          </w:p>
        </w:tc>
        <w:tc>
          <w:tcPr>
            <w:tcW w:type="dxa" w:w="3360"/>
            <w:shd w:fill="101A4A"/>
          </w:tcPr>
          <w:p>
            <w:pPr>
              <w:keepNext/>
            </w:pPr>
            <w:r>
              <w:rPr>
                <w:b/>
                <w:color w:val="FFFFFF"/>
              </w:rPr>
              <w:t>Action</w:t>
            </w:r>
          </w:p>
        </w:tc>
      </w:tr>
      <w:tr>
        <w:trPr>
          <w:cantSplit/>
        </w:trPr>
        <w:tc>
          <w:tcPr>
            <w:tcW w:type="dxa" w:w="3360"/>
            <w:vAlign w:val="center"/>
          </w:tcPr>
          <w:p>
            <w:r>
              <w:t>Hash mismatch</w:t>
            </w:r>
          </w:p>
        </w:tc>
        <w:tc>
          <w:tcPr>
            <w:tcW w:type="dxa" w:w="3360"/>
            <w:vAlign w:val="center"/>
          </w:tcPr>
          <w:p>
            <w:r>
              <w:t>Fichier modifié ou extraction incomplète</w:t>
            </w:r>
          </w:p>
        </w:tc>
        <w:tc>
          <w:tcPr>
            <w:tcW w:type="dxa" w:w="3360"/>
            <w:vAlign w:val="center"/>
          </w:tcPr>
          <w:p>
            <w:r>
              <w:t>Supprimer et retélécharger ; ne pas débloquer.</w:t>
            </w:r>
          </w:p>
        </w:tc>
      </w:tr>
      <w:tr>
        <w:trPr>
          <w:cantSplit/>
        </w:trPr>
        <w:tc>
          <w:tcPr>
            <w:tcW w:type="dxa" w:w="3360"/>
            <w:vAlign w:val="center"/>
          </w:tcPr>
          <w:p>
            <w:r>
              <w:t>Venv reconstruit à chaque run</w:t>
            </w:r>
          </w:p>
        </w:tc>
        <w:tc>
          <w:tcPr>
            <w:tcW w:type="dxa" w:w="3360"/>
            <w:vAlign w:val="center"/>
          </w:tcPr>
          <w:p>
            <w:r>
              <w:t>Python sélectionné différent ou venv corrompu</w:t>
            </w:r>
          </w:p>
        </w:tc>
        <w:tc>
          <w:tcPr>
            <w:tcW w:type="dxa" w:w="3360"/>
            <w:vAlign w:val="center"/>
          </w:tcPr>
          <w:p>
            <w:r>
              <w:t>Consulter setup log ; supprimer le venv une fois puis relancer.</w:t>
            </w:r>
          </w:p>
        </w:tc>
      </w:tr>
      <w:tr>
        <w:trPr>
          <w:cantSplit/>
        </w:trPr>
        <w:tc>
          <w:tcPr>
            <w:tcW w:type="dxa" w:w="3360"/>
            <w:vAlign w:val="center"/>
          </w:tcPr>
          <w:p>
            <w:r>
              <w:t>Module introuvable</w:t>
            </w:r>
          </w:p>
        </w:tc>
        <w:tc>
          <w:tcPr>
            <w:tcW w:type="dxa" w:w="3360"/>
            <w:vAlign w:val="center"/>
          </w:tcPr>
          <w:p>
            <w:r>
              <w:t>Installation wheel incomplète</w:t>
            </w:r>
          </w:p>
        </w:tc>
        <w:tc>
          <w:tcPr>
            <w:tcW w:type="dxa" w:w="3360"/>
            <w:vAlign w:val="center"/>
          </w:tcPr>
          <w:p>
            <w:r>
              <w:t>Vérifier Python/architecture et requirements.lock.</w:t>
            </w:r>
          </w:p>
        </w:tc>
      </w:tr>
      <w:tr>
        <w:trPr>
          <w:cantSplit/>
        </w:trPr>
        <w:tc>
          <w:tcPr>
            <w:tcW w:type="dxa" w:w="3360"/>
            <w:vAlign w:val="center"/>
          </w:tcPr>
          <w:p>
            <w:r>
              <w:t>Port 8501 occupé</w:t>
            </w:r>
          </w:p>
        </w:tc>
        <w:tc>
          <w:tcPr>
            <w:tcW w:type="dxa" w:w="3360"/>
            <w:vAlign w:val="center"/>
          </w:tcPr>
          <w:p>
            <w:r>
              <w:t>Autre Streamlit/process</w:t>
            </w:r>
          </w:p>
        </w:tc>
        <w:tc>
          <w:tcPr>
            <w:tcW w:type="dxa" w:w="3360"/>
            <w:vAlign w:val="center"/>
          </w:tcPr>
          <w:p>
            <w:r>
              <w:t>Fermer le processus ou adapter le port en environnement dev.</w:t>
            </w:r>
          </w:p>
        </w:tc>
      </w:tr>
      <w:tr>
        <w:trPr>
          <w:cantSplit/>
        </w:trPr>
        <w:tc>
          <w:tcPr>
            <w:tcW w:type="dxa" w:w="3360"/>
            <w:vAlign w:val="center"/>
          </w:tcPr>
          <w:p>
            <w:r>
              <w:t>PPTX retenu</w:t>
            </w:r>
          </w:p>
        </w:tc>
        <w:tc>
          <w:tcPr>
            <w:tcW w:type="dxa" w:w="3360"/>
            <w:vAlign w:val="center"/>
          </w:tcPr>
          <w:p>
            <w:r>
              <w:t>Contrôle vérité ou géométrie</w:t>
            </w:r>
          </w:p>
        </w:tc>
        <w:tc>
          <w:tcPr>
            <w:tcW w:type="dxa" w:w="3360"/>
            <w:vAlign w:val="center"/>
          </w:tcPr>
          <w:p>
            <w:r>
              <w:t>Lire controle_pptx JSON ; ne pas désactiver le gate.</w:t>
            </w:r>
          </w:p>
        </w:tc>
      </w:tr>
      <w:tr>
        <w:trPr>
          <w:cantSplit/>
        </w:trPr>
        <w:tc>
          <w:tcPr>
            <w:tcW w:type="dxa" w:w="3360"/>
            <w:vAlign w:val="center"/>
          </w:tcPr>
          <w:p>
            <w:r>
              <w:t>macOS bloque le fichier</w:t>
            </w:r>
          </w:p>
        </w:tc>
        <w:tc>
          <w:tcPr>
            <w:tcW w:type="dxa" w:w="3360"/>
            <w:vAlign w:val="center"/>
          </w:tcPr>
          <w:p>
            <w:r>
              <w:t>Quarantaine/signature absente</w:t>
            </w:r>
          </w:p>
        </w:tc>
        <w:tc>
          <w:tcPr>
            <w:tcW w:type="dxa" w:w="3360"/>
            <w:vAlign w:val="center"/>
          </w:tcPr>
          <w:p>
            <w:r>
              <w:t>Vérifier SHA/provenance et politique du poste ; suivre le §4. Ne pas contourner une alerte de fichier malveillant/altéré.</w:t>
            </w:r>
          </w:p>
        </w:tc>
      </w:tr>
    </w:tbl>
    <w:p>
      <w:r/>
    </w:p>
    <w:p>
      <w:pPr>
        <w:pStyle w:val="Heading1"/>
      </w:pPr>
      <w:r>
        <w:t>Annexe E — Inventaire avant support</w:t>
      </w:r>
    </w:p>
    <w:p>
      <w:r>
        <w:t>Avant d’ouvrir une demande, réunissez sans secrets : build complet, SHA du ZIP, OS/architecture, version Python sélectionnée, heure, étape, diagnostics CSV/JSON, nom des livrables, extrait de log relu, et reproduction minimale. Masquez les chemins utilisateurs et noms clients lorsque cela n’est pas nécessaire.</w:t>
      </w:r>
    </w:p>
    <w:p>
      <w:pPr>
        <w:pStyle w:val="ListBullet"/>
      </w:pPr>
      <w:r>
        <w:t>Ne jamais joindre secrets.json.</w:t>
      </w:r>
    </w:p>
    <w:p>
      <w:pPr>
        <w:pStyle w:val="ListBullet"/>
      </w:pPr>
      <w:r>
        <w:t>Ne jamais copier un brief confidentiel sans autorisation.</w:t>
      </w:r>
    </w:p>
    <w:p>
      <w:pPr>
        <w:pStyle w:val="ListBullet"/>
      </w:pPr>
      <w:r>
        <w:t>Préférer une fixture synthétique.</w:t>
      </w:r>
    </w:p>
    <w:p>
      <w:pPr>
        <w:pStyle w:val="ListBullet"/>
      </w:pPr>
      <w:r>
        <w:t>Conserver l’horodatage et le hash des artefacts.</w:t>
      </w:r>
    </w:p>
    <w:p>
      <w:pPr>
        <w:pStyle w:val="ListBullet"/>
      </w:pPr>
      <w:r>
        <w:t>Utiliser [SECURITY CoDIR IA] seulement pour une vulnérabilité.</w:t>
      </w:r>
    </w:p>
    <w:p>
      <w:pPr>
        <w:pStyle w:val="Heading1"/>
      </w:pPr>
      <w:r>
        <w:t>Annexe F — Politique de plateformes et responsabilités</w:t>
      </w:r>
    </w:p>
    <w:p>
      <w:r>
        <w:t>Le support d’une plateforme comprend plusieurs niveaux. La présence d’un script compatible ne vaut pas validation d’un poste réel. Le support déclaré distingue le code statiquement vérifié, les contrats automatisés, les smokes en sandbox et les tests natifs. Une release publique nécessite au minimum un test Windows et un test macOS sur les architectures annoncées, avec preuve d’installation, de lancement, de mise à jour, de désinstallation et de journalisation.</w:t>
      </w:r>
    </w:p>
    <w:p>
      <w:r>
        <w:t>Les postes d’entreprise peuvent appliquer des restrictions supplémentaires : contrôle applicatif, antivirus, proxy, inspection TLS, droits limités, profil itinérant, synchronisation OneDrive, FileVault ou BitLocker. CoDIR IA ne doit pas contourner ces politiques. Le responsable de déploiement doit documenter les exceptions autorisées et les réévaluer à chaque changement de build.</w:t>
      </w:r>
    </w:p>
    <w:p>
      <w:pPr>
        <w:pStyle w:val="ListBullet"/>
      </w:pPr>
      <w:r>
        <w:t>Windows : conserver le résultat du contrôle d’intégrité et la version PowerShell.</w:t>
      </w:r>
    </w:p>
    <w:p>
      <w:pPr>
        <w:pStyle w:val="ListBullet"/>
      </w:pPr>
      <w:r>
        <w:t>macOS : conserver la version OS, l’architecture, le choix Gatekeeper et l’état de notarisation.</w:t>
      </w:r>
    </w:p>
    <w:p>
      <w:pPr>
        <w:pStyle w:val="ListBullet"/>
      </w:pPr>
      <w:r>
        <w:t>Linux : documenter distribution, libc, architecture, Python et gestionnaire de paquets.</w:t>
      </w:r>
    </w:p>
    <w:p>
      <w:pPr>
        <w:pStyle w:val="ListBullet"/>
      </w:pPr>
      <w:r>
        <w:t>Virtualisation : préciser si le navigateur et l’application tournent dans le même environnement.</w:t>
      </w:r>
    </w:p>
    <w:p>
      <w:pPr>
        <w:pStyle w:val="Heading1"/>
      </w:pPr>
      <w:r>
        <w:t>Annexe G — Gestion des clés et secrets</w:t>
      </w:r>
    </w:p>
    <w:p>
      <w:r>
        <w:t>Les clés API sont des secrets. Elles ne doivent jamais être incluses dans une capture, un journal, un ticket ou un livrable. Cette version les conserve dans un fichier local ; cette solution convient à un poste individuel protégé, mais ne remplace pas un coffre de secrets dans une organisation. Les clés doivent être limitées aux services nécessaires, rotées selon la politique interne et révoquées lors du départ d’un utilisateur ou d’un incident.</w:t>
      </w:r>
    </w:p>
    <w:p>
      <w:r>
        <w:t>Chaque fournisseur possède ses propres quotas, régions, options de rétention et responsabilités contractuelles. Avant un dossier confidentiel, vérifiez le type de compte, les conditions d’usage des données, la région et la possibilité de désactiver l’entraînement ou la conservation lorsque le fournisseur le propose.</w:t>
      </w:r>
    </w:p>
    <w:p>
      <w:pPr>
        <w:pStyle w:val="ListBullet"/>
      </w:pPr>
      <w:r>
        <w:t>Ne jamais utiliser une clé personnelle non autorisée pour un dossier client.</w:t>
      </w:r>
    </w:p>
    <w:p>
      <w:pPr>
        <w:pStyle w:val="ListBullet"/>
      </w:pPr>
      <w:r>
        <w:t>Distinguer clés de test et de production.</w:t>
      </w:r>
    </w:p>
    <w:p>
      <w:pPr>
        <w:pStyle w:val="ListBullet"/>
      </w:pPr>
      <w:r>
        <w:t>Appliquer le moindre privilège et des quotas de dépense.</w:t>
      </w:r>
    </w:p>
    <w:p>
      <w:pPr>
        <w:pStyle w:val="ListBullet"/>
      </w:pPr>
      <w:r>
        <w:t>Conserver le propriétaire, la date de création, la date de rotation et le périmètre de chaque clé.</w:t>
      </w:r>
    </w:p>
    <w:p>
      <w:pPr>
        <w:pStyle w:val="ListBullet"/>
      </w:pPr>
      <w:r>
        <w:t>Révoquer immédiatement une clé suspectée exposée.</w:t>
      </w:r>
    </w:p>
    <w:p>
      <w:pPr>
        <w:pStyle w:val="Heading1"/>
      </w:pPr>
      <w:r>
        <w:t>Annexe H — Installation en environnement contrôlé</w:t>
      </w:r>
    </w:p>
    <w:p>
      <w:r>
        <w:t>Pour une installation reproductible, l’organisation peut préparer une image ou un dépôt interne contenant le ZIP validé, Python standard approuvé et les wheels. Le manifeste du package doit rester inchangé. Toute transformation interne doit produire un nouveau manifeste, une nouvelle provenance et une responsabilité claire. Les dépôts miroirs doivent être synchronisés et contrôlés.</w:t>
      </w:r>
    </w:p>
    <w:p>
      <w:r>
        <w:t>Une installation hors ligne nécessite que toutes les dépendances binaires compatibles soient pré-téléchargées. L’absence d’accès Internet ne désactive pas les appels métier : les fournisseurs LLM et registres resteront indisponibles. Le produit doit alors être utilisé uniquement pour les fonctions réellement locales et l’utilisateur doit comprendre le mode dégradé.</w:t>
      </w:r>
    </w:p>
    <w:p>
      <w:pPr>
        <w:pStyle w:val="ListBullet"/>
      </w:pPr>
      <w:r>
        <w:t>Archiver requirements.lock et son hash.</w:t>
      </w:r>
    </w:p>
    <w:p>
      <w:pPr>
        <w:pStyle w:val="ListBullet"/>
      </w:pPr>
      <w:r>
        <w:t>Archiver les wheels et leurs hashes.</w:t>
      </w:r>
    </w:p>
    <w:p>
      <w:pPr>
        <w:pStyle w:val="ListBullet"/>
      </w:pPr>
      <w:r>
        <w:t>Tester la création du venv sans accès Internet.</w:t>
      </w:r>
    </w:p>
    <w:p>
      <w:pPr>
        <w:pStyle w:val="ListBullet"/>
      </w:pPr>
      <w:r>
        <w:t>Identifier les fonctions qui nécessitent encore des API externes.</w:t>
      </w:r>
    </w:p>
    <w:p>
      <w:pPr>
        <w:pStyle w:val="ListBullet"/>
      </w:pPr>
      <w:r>
        <w:t>Rejouer verify_installation après création de l’image.</w:t>
      </w:r>
    </w:p>
    <w:p>
      <w:r>
        <w:t>Faits, hypothèses et scénarios. Une donnée présente dans une pièce peut être un budget ou une cible : sa source ne la transforme pas en réalisé. Les scénarios admis doivent rester complets, lisibles et visiblement qualifiés ; pour ceux qui sont écartés, consulter le registre et les diagnostics disponibles, sans présumer leur exhaustivité. Le produit peut encore produire des qualifications excessives (fausses alertes) : contrôlez les tableaux et les textes restitués, sans reconstituer arbitrairement une valeur manquante. Un scénario conservé n’est ni une prévision certifiée ni une décision approuvée. Une cible écrite dans le brief et citée comme cible reste telle quelle dans le corps ; elle est signalée une fois, en tête de la section du brief (« déclarations du dirigeant, non certifiées par une pièce »), et au registre. Une cible avancée par un agent sans pièce reste en place, surlignée et suivie de « ⚠ à vérifier — cible sans pièce ».</w:t>
      </w:r>
    </w:p>
    <w:p>
      <w:r>
        <w:t>L’exploitation de la publication doit aussi désigner les responsables de l’installateur, du manifeste, du verrou des dépendances et des moyens de signature. L’opérateur du build ne doit pas être le seul approbateur du paquet final : appliquez une revue à quatre yeux de l’empreinte annoncée, du contenu du paquet, de la documentation et des notes de version. Conservez la preuve que le ZIP se réextrait proprement et qu’aucun profil utilisateur, journal, secret ou sortie d’exécution n’y est embarqué. Avant toute diffusion externe, testez une installation neuve sur une machine qui n’a jamais hébergé CoDIR IA, puis une mise à jour depuis une version antérieure prise en charge. Notez si l’environnement existant a été réutilisé ou reconstruit, si la configuration a migré correctement et si la désinstallation a retiré tous les emplacements documentés.</w:t>
      </w:r>
    </w:p>
    <w:p>
      <w:r>
        <w:t>Documentez la machine de test native exacte, la version du système, l’architecture, le sélecteur Python, le code de retour de l’installateur, le résultat du contrôle d’intégrité et l’issue du premier lancement. Cette preuve fait partie du dossier de publication et doit pouvoir être reproduite par un second relecteur.</w:t>
      </w:r>
    </w:p>
    <w:p>
      <w:r>
        <w:t>Doctrine en vigueur : les scénarios et quantités non étayés restent en place avec leurs signalements et sont recensés dans le registre probatoire ; leur présence ne vaut ni validation ni approbation. Les exceptions de retrait ou de remplacement sont celles décrites au chapitre « Gardes déterministes ».</w:t>
      </w:r>
    </w:p>
    <w:p>
      <w:pPr>
        <w:pStyle w:val="Heading1"/>
      </w:pPr>
      <w:r>
        <w:t>Annexe — Autorité temporelle et factuelle</w:t>
      </w:r>
    </w:p>
    <w:p>
      <w:r>
        <w:t>Annexe historique — cette annexe décrit un état antérieur du produit, conservé pour mémoire ; la version courante est décrite dans le parcours opératoire et le chapitre 8.</w:t>
      </w:r>
    </w:p>
    <w:p>
      <w:r>
        <w:t>Build courant : v17.4.3.62.13.9.4.65-M6B-B1.3.62.13.9.4.65. Les chiffres exécutifs sont autorisés uniquement par un fait confirmé à la page d'une pièce ou au registre, ou par un calcul fait à partir de faits confirmés qui expose sa formule ; les balises FAIT, sources et pages ne sont pas des preuves autonomes. Les horizons permis proviennent du Temporal Core du run. Aucun OCR n’est intégré à la v17.</w:t>
      </w:r>
    </w:p>
    <w:p>
      <w:pPr>
        <w:pStyle w:val="ListBullet"/>
      </w:pPr>
      <w:r>
        <w:t>Signalement en place : les quantités non prouvées restent dans le texte, signalées « ⚠ à vérifier — motif » ; les balises FACT, noms de fichier et pages n’autorisent aucun chiffre sans claim canonique correspondant.</w:t>
      </w:r>
    </w:p>
    <w:p>
      <w:pPr>
        <w:pStyle w:val="ListBullet"/>
      </w:pPr>
      <w:r>
        <w:t>Garde juridique : une tranche d’effectif ne devient ni effectif exact, ni seuil de droit social, ni recommandation RH.</w:t>
      </w:r>
    </w:p>
    <w:p>
      <w:pPr>
        <w:pStyle w:val="ListBullet"/>
      </w:pPr>
      <w:r>
        <w:t>Statut documentaire tri-state : texte extrait, partiellement extractible ou OCR requis.</w:t>
      </w:r>
    </w:p>
    <w:p>
      <w:pPr>
        <w:pStyle w:val="ListBullet"/>
      </w:pPr>
      <w:r>
        <w:t>Les cartes distinguent explicitement chiffre social Pappers et comptes consolidés groupe.</w:t>
      </w:r>
    </w:p>
    <w:p>
      <w:pPr>
        <w:pStyle w:val="ListBullet"/>
      </w:pPr>
      <w:r>
        <w:t>Les tendances exigent deux faits ledger admissibles ; les dates de planification restent visibles.</w:t>
      </w:r>
    </w:p>
    <w:p>
      <w:pPr>
        <w:pStyle w:val="ListBullet"/>
      </w:pPr>
      <w:r>
        <w:t>Les diagnostics distinguent le grade d’exécution technique de l’utilité métier du livrable.</w:t>
      </w:r>
    </w:p>
    <w:p>
      <w:pPr>
        <w:pStyle w:val="ListBullet"/>
      </w:pPr>
      <w:r>
        <w:t>Revue humaine obligatoire ; état des essais natifs, de la signature et du scan : voir les notes de version.</w:t>
      </w:r>
    </w:p>
    <w:p>
      <w:r>
        <w:t>v17.4.3.62.13.9.4.65-M6B-B1.3.62.13.9.4.65</w:t>
      </w:r>
    </w:p>
    <w:p>
      <w:pPr>
        <w:pStyle w:val="Heading1"/>
      </w:pPr>
      <w:r>
        <w:t>Annexe — Intégrité des titres de la trame PowerPoint</w:t>
      </w:r>
    </w:p>
    <w:p>
      <w:r>
        <w:t>Annexe historique — cette annexe décrit un état antérieur du produit, conservé pour mémoire ; la version courante est décrite dans le parcours opératoire et le chapitre 8.</w:t>
      </w:r>
    </w:p>
    <w:p>
      <w:r>
        <w:t>Le texte commercial complet est conservé jusqu’au renderer. Tout titre exécutif HCRIT déjà tronqué est remplacé par une formulation qualitative complète avant le dernier contrôle des octets livrés ; l’interface distingue corruption OOXML, titre tronqué et autre illisibilité.</w:t>
      </w:r>
    </w:p>
    <w:p>
      <w:r>
        <w:t>La date de fin cible issue du diagnostic strategic_horizon du run courant reste dans le corps principal. Un diagnostic historique ne peut jamais l’autoriser et une date de planification n’est pas un scénario chiffré.</w:t>
      </w:r>
    </w:p>
    <w:p>
      <w:r>
        <w:t>Le signalement en place et l’autorité des claims canoniques page-confirmés restent actifs. Aucun OCR n’est inclus dans la v17 ; état des essais natifs, de la signature et du scan : voir les notes de version.</w:t>
      </w:r>
    </w:p>
    <w:p>
      <w:r>
        <w:t>v17.4.3.62.13.9.4.65-M6B-B1.3.62.13.9.4.65</w:t>
      </w:r>
    </w:p>
    <w:p>
      <w:pPr>
        <w:pStyle w:val="Heading1"/>
      </w:pPr>
      <w:r>
        <w:t>Historique des versions</w:t>
      </w:r>
    </w:p>
    <w:p>
      <w:r>
        <w:t>Annexe historique — cette annexe décrit un état antérieur du produit, conservé pour mémoire ; la version courante est décrite dans le parcours opératoire et le chapitre 8.</w:t>
      </w:r>
    </w:p>
    <w:p>
      <w:r>
        <w:t>ADDENDUM — Build mission : v17.4.3.62.13.9.4.65-M6B-B1.3.62.13.9.4.65</w:t>
      </w:r>
    </w:p>
    <w:p>
      <w:pPr>
        <w:pStyle w:val="Heading1"/>
      </w:pPr>
      <w:r>
        <w:t>Annexe — Dates de référence et faits canoniques</w:t>
      </w:r>
    </w:p>
    <w:p>
      <w:r>
        <w:t>Les lignes d’horizon et de date de fin ne sont préservées que si elles correspondent au contrat Temporal Core du dossier. Les délais opérationnels, durées de déploiement et jalons chiffrés non prouvés restent gouvernés. Une balise [FACT]/[FAIT], un nom de fichier ou une page sont des métadonnées, jamais une preuve autonome : tout chiffre exécutif doit correspondre à un claim canonique page-confirmé ou à un dérivé déterministe, puis être réécrit dans une formulation canonique propre. Signalement en place, garde juridique, OCR tri-state et arbre de preuve immuable restent actifs ; la v17 ne contient pas d’OCR.</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470"/>
        <w:sz w:val="16"/>
      </w:rPr>
      <w:t>Documentation de travail assistée par IA — revue humaine requise</w:t>
    </w:r>
    <w:r>
      <w:rPr>
        <w:sz w:val="16"/>
      </w:rPr>
      <w:t xml:space="preserve">  ·  Page </w:t>
    </w:r>
    <w:fldSimple w:instr="PAGE">
      <w:r>
        <w:rPr>
          <w:sz w:val="16"/>
        </w:rPr>
        <w:t>1</w:t>
      </w:r>
    </w:fldSimple>
    <w:r>
      <w:rPr>
        <w:sz w:val="16"/>
      </w:rPr>
      <w:t xml:space="preserve"> / </w:t>
    </w:r>
    <w:fldSimple w:instr="NUMPAGES">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470"/>
        <w:sz w:val="16"/>
      </w:rPr>
      <w:t>CoDIR IA · v17.4.3.62.13.9.4.65-M6B-B1.3.62.13.9.4.65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1">
    <w:abstractNumId w:val="7"/>
    <w:lvlOverride w:ilvl="0">
      <w:startOverride w:val="1"/>
    </w:lvlOverride>
  </w:num>
  <w:num w:numId="1002">
    <w:abstractNumId w:val="7"/>
    <w:lvlOverride w:ilvl="0">
      <w:startOverride w:val="1"/>
    </w:lvlOverride>
  </w:num>
  <w:num w:numId="1003">
    <w:abstractNumId w:val="7"/>
    <w:lvlOverride w:ilvl="0">
      <w:startOverride w:val="1"/>
    </w:lvlOverride>
  </w:num>
  <w:num w:numId="100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1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1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C64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1A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complet d’installation</dc:title>
  <dc:subject/>
  <dc:creator>python-docx</dc:creator>
  <cp:keywords/>
  <dc:description>CoDIR IA v17.0 — build 9.4.65 — documentation révisée le 18 octobre 2026.</dc:description>
  <cp:lastModifiedBy>CoDIR IA — révision documentaire 9.4.61</cp:lastModifiedBy>
  <cp:revision>2</cp:revision>
  <dcterms:created xsi:type="dcterms:W3CDTF">2013-12-23T23:15:00Z</dcterms:created>
  <dcterms:modified xsi:type="dcterms:W3CDTF">2026-10-18T16:22:48Z</dcterms:modified>
  <cp:category/>
  <cp:version>v17.4.3.62.13.9.4.65-M6B-B1.3.62.13.9.4.65 · 9.4.65-20261018</cp:version>
</cp:coreProperties>
</file>