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CoDIR IA</w:t>
      </w:r>
    </w:p>
    <w:p>
      <w:pPr>
        <w:pStyle w:val="Title"/>
        <w:jc w:val="center"/>
      </w:pPr>
      <w:r>
        <w:t>Complete User Manual</w:t>
      </w:r>
    </w:p>
    <w:p>
      <w:pPr>
        <w:jc w:val="center"/>
      </w:pPr>
      <w:r>
        <w:t>Brief · evidence · scenarios · Word/PPTX · human review</w:t>
      </w:r>
    </w:p>
    <w:p>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101A4A"/>
          </w:tcPr>
          <w:p>
            <w:r>
              <w:rPr>
                <w:b/>
                <w:color w:val="FFFFFF"/>
              </w:rPr>
              <w:t>Build</w:t>
            </w:r>
          </w:p>
        </w:tc>
        <w:tc>
          <w:tcPr>
            <w:tcW w:type="dxa" w:w="5040"/>
          </w:tcPr>
          <w:p>
            <w:r>
              <w:t>v17.4.3.62.13.9.4.65-M6B-B1.3.62.13.9.4.65</w:t>
            </w:r>
          </w:p>
        </w:tc>
      </w:tr>
      <w:tr>
        <w:trPr>
          <w:cantSplit/>
        </w:trPr>
        <w:tc>
          <w:tcPr>
            <w:tcW w:type="dxa" w:w="5040"/>
            <w:shd w:fill="101A4A"/>
          </w:tcPr>
          <w:p>
            <w:r>
              <w:rPr>
                <w:b/>
                <w:color w:val="FFFFFF"/>
              </w:rPr>
              <w:t>Document</w:t>
            </w:r>
          </w:p>
        </w:tc>
        <w:tc>
          <w:tcPr>
            <w:tcW w:type="dxa" w:w="5040"/>
          </w:tcPr>
          <w:p>
            <w:r>
              <w:t>User Manual EN</w:t>
            </w:r>
          </w:p>
        </w:tc>
      </w:tr>
      <w:tr>
        <w:trPr>
          <w:cantSplit/>
        </w:trPr>
        <w:tc>
          <w:tcPr>
            <w:tcW w:type="dxa" w:w="5040"/>
            <w:shd w:fill="101A4A"/>
          </w:tcPr>
          <w:p>
            <w:r>
              <w:rPr>
                <w:b/>
                <w:color w:val="FFFFFF"/>
              </w:rPr>
              <w:t>Revision</w:t>
            </w:r>
          </w:p>
        </w:tc>
        <w:tc>
          <w:tcPr>
            <w:tcW w:type="dxa" w:w="5040"/>
          </w:tcPr>
          <w:p>
            <w:r>
              <w:t>18 October 2026</w:t>
            </w:r>
          </w:p>
        </w:tc>
      </w:tr>
      <w:tr>
        <w:trPr>
          <w:cantSplit/>
        </w:trPr>
        <w:tc>
          <w:tcPr>
            <w:tcW w:type="dxa" w:w="5040"/>
            <w:shd w:fill="101A4A"/>
          </w:tcPr>
          <w:p>
            <w:r>
              <w:rPr>
                <w:b/>
                <w:color w:val="FFFFFF"/>
              </w:rPr>
              <w:t>Status</w:t>
            </w:r>
          </w:p>
        </w:tc>
        <w:tc>
          <w:tcPr>
            <w:tcW w:type="dxa" w:w="5040"/>
          </w:tcPr>
          <w:p>
            <w:r>
              <w:t>v17.0 — supervised professional use</w:t>
            </w:r>
          </w:p>
        </w:tc>
      </w:tr>
    </w:tbl>
    <w:p>
      <w:r/>
    </w:p>
    <w:p>
      <w:pPr>
        <w:jc w:val="center"/>
      </w:pPr>
      <w:r>
        <w:t>This manual does not constitute legal advice. Human review remains mandatory.</w:t>
      </w:r>
    </w:p>
    <w:p>
      <w:r/>
    </w:p>
    <w:p>
      <w:pPr>
        <w:pStyle w:val="Heading1"/>
      </w:pPr>
      <w:r>
        <w:t>Operating path — what you do, what you receive</w:t>
      </w:r>
    </w:p>
    <w:p>
      <w:pPr>
        <w:pStyle w:val="Heading2"/>
      </w:pPr>
      <w:r>
        <w:t>What you may do: four distinct situations</w:t>
      </w:r>
    </w:p>
    <w:p>
      <w:r>
        <w:t>1. Use the software on an assignment. The FSL-1.1-ALv2 licence permits internal professional use and use for your clients, including for a fee, as long as it does not compete with CoDIR IA. No additional contract is required for this.</w:t>
      </w:r>
    </w:p>
    <w:p>
      <w:r>
        <w:t>2. Hand a produced document to a client. The documents produced are yours, under the conditions and reservations of the Terms of Use: you check, correct and complete them and hand them over under your own professional responsibility. Human review is mandatory before any hand-over. No permission from the publisher is required.</w:t>
      </w:r>
    </w:p>
    <w:p>
      <w:r>
        <w:t>3. Redistribute the software. The licence governs redistribution of the code and executables; it grants no right over the “CoDIR IA” trademark or its logo, which are covered by a separate authorisation described in TRADEMARKS.md. Redistributing under another name, or with the trademark, therefore requires two separate checks.</w:t>
      </w:r>
    </w:p>
    <w:p>
      <w:r>
        <w:t>4. Buy support. The publisher's services — training, configuration, assignment support — are a separate commercial offer. They are not a condition for any of the three uses above.</w:t>
      </w:r>
    </w:p>
    <w:p>
      <w:r>
        <w:t>Facts, assumptions and scenarios. A number found in a source may be a budget or target: being sourced does not turn it into an actual. Admitted scenarios should remain complete, readable and visibly qualified; consult the available register and diagnostics for withheld scenarios, without presuming exhaustive coverage. The product may still produce excessive qualification (false alarms): inspect tables and text as delivered, without arbitrarily filling missing values. A retained scenario is neither a certified forecast nor an approved decision. A target written in the brief and quoted as a target stays as written in the body; it is flagged once, at the top of the brief section (“management’s declarations, not certified by a document”), and in the register. A target put forward by an agent without a document stays in place, highlighted and followed by “⚠ to verify — target without supporting document”.</w:t>
      </w:r>
    </w:p>
    <w:p>
      <w:r>
        <w:t>Confirmation levels. ‘Confirmed on page’ identifies a match made by the software to an attachment and page; verify the value AND label, sign, unit and scale, period and scope. ‘Confirmed at registry’ refers to a queried registry and its consultation date; this may not match the analysed year and this route is inactive in retrospective analysis. ‘Declared, unconfirmed’ means the required match has not been established. Possible causes include an absent source, inadequate extraction, or unmatched label, unit, scale, period or scope; the status does not identify which cause applies. [NON SOURCÉ] / [UNSOURCED] means ‘declared, unconfirmed’ here, not ‘no source exists’. Nature (actual, budget, assumption, target), evidence and approval remain separate. Arithmetic reconciliation: between confirmed facts of the same period, scope and currency, the software checks that revenue − cost of sales = gross profit, and gross profit − operating expenses = operating profit when the table carries an operating-expenses total. The result is noted “reconciled” (or “reconciled within rounding” up to a 1% gap); beyond that it becomes “to verify” and stops confirming anything, its two operands carrying a note. The published value is never replaced by the computation, and this check covers these two identities only.</w:t>
      </w:r>
    </w:p>
    <w:p>
      <w:r>
        <w:t>The two Word documents are the main deliverables: detailed analysis and decision synthesis. The PPTX is a presentation draft to revise after reading them, not a standalone document ready to hand over. Length depends on the brief and available material; page and slide counts are indicative, not guaranteed. The complete package brings together the files actually generated, diagnostics, available registers, preparation journal and manifest.</w:t>
      </w:r>
    </w:p>
    <w:p>
      <w:r>
        <w:t>When reading, distinguish actuals, budgets, assumptions and approved decisions. For a withheld figure, check reservations and the source; its presence in a register is not validation.</w:t>
      </w:r>
    </w:p>
    <w:p>
      <w:r>
        <w:t>The code is distributed under the source-available FSL-1.1-ALv2 licence. That licence grants third parties no rights over the CoDIR IA trademark or its logo.</w:t>
      </w:r>
    </w:p>
    <w:p>
      <w:r>
        <w:t>Languages. The interface, the deliverables and the manuals are available in French and in English. English is offered as a preview in this version: available features and known limitations are listed in the release notes; parity of the editorial and financial controls with French is not certified in this version. Preview status does not remove the requirement to preserve the meaning of decisions, values, dates and responsibilities.</w:t>
      </w:r>
    </w:p>
    <w:p>
      <w:r>
        <w:t>Ten steps, common to Windows and macOS. Each is detailed in the corresponding chapters and manuals; this page is the reference version.</w:t>
      </w:r>
    </w:p>
    <w:p>
      <w:r>
        <w:t>1. Download and verify. Obtain the ZIP and its published SHA-256. Calculate its fingerprint with PowerShell Get-FileHash or macOS shasum and compare it with the trusted reference. After extraction, also verify SHA256SUMS from its root folder: see section 2 of the installation manual for commands. A mismatch: do not unblock, do not install.</w:t>
      </w:r>
    </w:p>
    <w:p>
      <w:r>
        <w:t>2. Install. Windows: DEMARRER_CODIR_IA.bat; macOS: Demarrer_Mac.command. The launcher looks for a compatible standard CPython: 3.11–3.14 on Windows, 3.11–3.13 on macOS; on an ARM PC running Windows 11, an x64 Python run by Windows emulation. If locked installation fails and requirements.txt fallback is used, the environment no longer exactly matches the lock or SBOM: retain INSTALL_MODE.txt and the log, then have the deployment checked. A launcher’s presence does not certify a platform or architecture; consult the applicable native-test matrix.</w:t>
      </w:r>
    </w:p>
    <w:p>
      <w:r>
        <w:t>3. Keys and costs. One key per provider you enable (OpenAI, Anthropic, Google, Mistral, Perplexity, xAI), entered in the application's Settings page; it stays in clear text on your computer. Each session consumes credits with the provider: check your accounts before launching. An invalid key or insufficient balance stops the session with a message naming the provider.</w:t>
      </w:r>
    </w:p>
    <w:p>
      <w:r>
        <w:t>4. Language, entity, perimeter. Choose the language of the deliverables; enter the company name (a SIREN can be added in the brief, IDENTITY section — it drives registry resolution, never serves as a name); state the perimeter (standalone or consolidated group) and the horizon.</w:t>
      </w:r>
    </w:p>
    <w:p>
      <w:r>
        <w:t>5. Attachments. Provide usable text PDFs, Word files or spreadsheets. This version has no OCR: review extractability information and supply text when a document is unreadable. An attached file is not necessarily processed in full.</w:t>
      </w:r>
    </w:p>
    <w:p>
      <w:r>
        <w:t>6. Run. Follow the displayed stages. Responses are saved before export along the applicable execution path; on failure, retain available packages and logs. Do not assume every failure preserves all data.</w:t>
      </w:r>
    </w:p>
    <w:p>
      <w:r>
        <w:t>7. Collect. Download the available long Word report, Word synthesis, PPTX draft and complete package. Retain warnings and inspect package contents, not only the completion message.</w:t>
      </w:r>
    </w:p>
    <w:p>
      <w:r>
        <w:t>8. Read reservations. Distinguish evidence, statement nature and approval. Scores and A1 guide review; they neither certify the case nor decide publication.</w:t>
      </w:r>
    </w:p>
    <w:p>
      <w:r>
        <w:t>9. Resume. Retain the complete package. Replaying exports from saved responses may be possible with a compatible version and a suitable technical procedure; it is not a universal button or a guarantee of complete replay.</w:t>
      </w:r>
    </w:p>
    <w:p>
      <w:r>
        <w:t>10. Update, erase. Update: verify the new ZIP and manifest; close CoDIR IA, then run the new version: on Windows, the launcher sets aside a Python environment built for another version and installs the supplied lock (INSTALL_WINDOWS_EN.md, “Updating from an earlier version”). Erase: delete the configuration folder and the cache (paths shown in the Settings page). This does not erase what has already been transmitted to model providers: see their retention settings.</w:t>
      </w:r>
    </w:p>
    <w:p>
      <w:pPr>
        <w:pStyle w:val="Heading1"/>
      </w:pPr>
      <w:r>
        <w:t>Contents</w:t>
      </w:r>
    </w:p>
    <w:p>
      <w:pPr>
        <w:pStyle w:val="ListBullet"/>
      </w:pPr>
      <w:r>
        <w:t>1. Product positioning</w:t>
      </w:r>
    </w:p>
    <w:p>
      <w:pPr>
        <w:pStyle w:val="ListBullet"/>
      </w:pPr>
      <w:r>
        <w:t>2. Prepare an actionable brief</w:t>
      </w:r>
    </w:p>
    <w:p>
      <w:pPr>
        <w:pStyle w:val="ListBullet"/>
      </w:pPr>
      <w:r>
        <w:t>3. Canonical target and scope</w:t>
      </w:r>
    </w:p>
    <w:p>
      <w:pPr>
        <w:pStyle w:val="Heading2"/>
      </w:pPr>
      <w:r>
        <w:t xml:space="preserve">Declaring the status of actions and the board decision</w:t>
      </w:r>
    </w:p>
    <w:p>
      <w:r>
        <w:t xml:space="preserve">From one session to the next, you state what was done in a block placed at the end of the brief. One line per action, the action then possibly its owner, then the status:</w:t>
      </w:r>
    </w:p>
    <w:p>
      <w:pPr>
        <w:pStyle w:val="ListBullet"/>
      </w:pPr>
      <w:r>
        <w:t xml:space="preserve">« — Rebuild the gross margin / input costs bridge — CFO — completed on 01/10/2026. »</w:t>
      </w:r>
    </w:p>
    <w:p>
      <w:pPr>
        <w:pStyle w:val="ListBullet"/>
      </w:pPr>
      <w:r>
        <w:t xml:space="preserve">« — Launch the EIMEA sales pilot — postponed to 31/03/2027. »; « … — dropped. »; « … — kept to 15/12/2026. »</w:t>
      </w:r>
    </w:p>
    <w:p>
      <w:pPr>
        <w:pStyle w:val="ListBullet"/>
      </w:pPr>
      <w:r>
        <w:t xml:space="preserve">« Board decision of 01/10/2026: option 2 retained. »</w:t>
      </w:r>
    </w:p>
    <w:p>
      <w:r>
        <w:t xml:space="preserve">Before running, check the « Statuses read by CoDIR IA » preview below the field: every status and the decision must appear, and each line is matched against the file's register: « ✓ found in the register », « already applied at a previous session », « ⚠ ambiguous » or « ⚠ not found ». Fix a line marked ⚠ before running. These statuses are authoritative from the session in which you declare them: the agents receive them before working, a rewording or a variant of a closed, postponed or dropped action does not undo it, and a reopening proposal remains a separate action, to be decided.</w:t>
      </w:r>
    </w:p>
    <w:p>
      <w:r>
        <w:t xml:space="preserve">At launch, an « ambiguous » or « not found » line is not applied: it appears in the minutes, section « Statuses declared in the brief and NOT applied », and is kept as an instruction from one session to the next, recalled to the agents, until it is applied or you withdraw it (« — action — withdrawn. »). A line targeting an action already closed is shown « already applied », with no change.</w:t>
      </w:r>
    </w:p>
    <w:p>
      <w:r>
        <w:t xml:space="preserve">A declaration closes only the part it targets of a composite action (« A ; B »): the other part stays open. The board decision closes the choice between options, never the budget, schedule or rollout of the retained option; an action run in parallel with another option stays open.</w:t>
      </w:r>
    </w:p>
    <w:p>
      <w:r>
        <w:t xml:space="preserve">In the minutes, the « To address in this CoDIR (carried from previous) » table shows the state received at the start of the session; its last column gives the state after the session.</w:t>
      </w:r>
    </w:p>
    <w:p>
      <w:pPr>
        <w:pStyle w:val="ListBullet"/>
      </w:pPr>
      <w:r>
        <w:t>4. Attachments and OCR limits</w:t>
      </w:r>
    </w:p>
    <w:p>
      <w:pPr>
        <w:pStyle w:val="ListBullet"/>
      </w:pPr>
      <w:r>
        <w:t>5. Run a session</w:t>
      </w:r>
    </w:p>
    <w:p>
      <w:pPr>
        <w:pStyle w:val="Heading2"/>
      </w:pPr>
      <w:r>
        <w:t xml:space="preserve">During and after processing: the two screens</w:t>
      </w:r>
    </w:p>
    <w:p>
      <w:r>
        <w:t xml:space="preserve">Welcome screen. When CoDIR IA starts, a welcome screen shows the logo and two choices, « Français » and « English »: it sets the interface language for the session and saves it. Documents (minutes, summary, slide outline) can be produced in English or in French whatever the interface language: their language is set in the brief.</w:t>
      </w:r>
    </w:p>
    <w:p>
      <w:r>
        <w:t xml:space="preserve">As soon as you click « Run », a tracking screen covers the whole window: form, sidebar and header disappear. It shows the current step out of twelve, its label, a progress bar and the elapsed time, ticking second by second; from the third run on the machine it also gives the usual duration. The technical detail of the run is kept in the full package.</w:t>
      </w:r>
    </w:p>
    <w:p>
      <w:r>
        <w:t xml:space="preserve">The bar counts completed steps, not time: some steps (Strategy, Finance) last longer than others, so the bar moves in stages. A step that does not apply to the file is passed at once.</w:t>
      </w:r>
    </w:p>
    <w:p>
      <w:r>
        <w:t xml:space="preserve">The twelve steps: reading the documents; official sources and watch; Strategy; preparing the session; Marketing; Finance (analysis and second opinion); Supply chain (analysis and challenger); Sales; decision synthesis; General management (roadmap); checks and minutes; PowerPoint draft and full package.</w:t>
      </w:r>
    </w:p>
    <w:p>
      <w:r>
        <w:t xml:space="preserve">At the end, the « Package ready » screen replaces the whole page and offers five tiles:</w:t>
      </w:r>
    </w:p>
    <w:p>
      <w:pPr>
        <w:pStyle w:val="ListBullet"/>
      </w:pPr>
      <w:r>
        <w:rPr>
          <w:b/>
        </w:rPr>
        <w:t xml:space="preserve">Full package </w:t>
      </w:r>
      <w:r>
        <w:t xml:space="preserve">— the main tile: the three deliverables and their control files; the same package is also saved automatically in CoDIR IA's application/outputs folder. The end screen recalls the name of the file processed.</w:t>
      </w:r>
    </w:p>
    <w:p>
      <w:pPr>
        <w:pStyle w:val="ListBullet"/>
      </w:pPr>
      <w:r>
        <w:rPr>
          <w:b/>
        </w:rPr>
        <w:t xml:space="preserve">Minutes, Summary, PowerPoint draft </w:t>
      </w:r>
      <w:r>
        <w:t xml:space="preserve">— each deliverable separately; they are the same files as in the package. A deliverable withheld by the final check is greyed out, with the reason.</w:t>
      </w:r>
    </w:p>
    <w:p>
      <w:pPr>
        <w:pStyle w:val="ListBullet"/>
      </w:pPr>
      <w:r>
        <w:rPr>
          <w:b/>
        </w:rPr>
        <w:t xml:space="preserve">New session </w:t>
      </w:r>
      <w:r>
        <w:t xml:space="preserve">— returns to the form keeping your brief and settings: the next session starts from the same brief, to which you add the status block.</w:t>
      </w:r>
    </w:p>
    <w:p>
      <w:pPr>
        <w:pStyle w:val="ListBullet"/>
      </w:pPr>
      <w:r>
        <w:rPr>
          <w:b/>
        </w:rPr>
        <w:t xml:space="preserve">Quit </w:t>
      </w:r>
      <w:r>
        <w:t xml:space="preserve">— set apart; after confirmation, stops the application cleanly; if the full package has not been downloaded, the confirmation says so.</w:t>
      </w:r>
    </w:p>
    <w:p>
      <w:r>
        <w:t xml:space="preserve">Each role requests its model's maximum output: 128,000 tokens for Strategy and Finance (Claude Sonnet 5.5), the model's published cap for the other roles. If the documents and this output do not fit together in a model's window, the output is reduced (8,000 tokens at least), never the documents; an answer stopped at its limit is continued, or flagged "incomplete answer". The "Max output tokens" setting (8,000 by default) now only serves auxiliary calls. Document reading: up to 120,000 tokens for all documents and 200,000 tokens for financial statements; beyond a model's window, the call moves to a model that can read everything, or the cut is written in the text and traced in the diagnostics. A document is therefore not guaranteed to be read in full in every case.</w:t>
      </w:r>
    </w:p>
    <w:p>
      <w:pPr>
        <w:pStyle w:val="ListBullet"/>
      </w:pPr>
      <w:r>
        <w:t>6. Understand facts and evidence</w:t>
      </w:r>
    </w:p>
    <w:p>
      <w:pPr>
        <w:pStyle w:val="ListBullet"/>
      </w:pPr>
      <w:r>
        <w:t>7. Scores and permitted use</w:t>
      </w:r>
    </w:p>
    <w:p>
      <w:pPr>
        <w:pStyle w:val="ListBullet"/>
      </w:pPr>
      <w:r>
        <w:t>8. What you receive — two Word documents, a frame, the Complete file</w:t>
      </w:r>
    </w:p>
    <w:p>
      <w:pPr>
        <w:pStyle w:val="Heading2"/>
      </w:pPr>
      <w:r>
        <w:t>8a. Reading flags and dated figures</w:t>
      </w:r>
    </w:p>
    <w:p>
      <w:pPr/>
      <w:r>
        <w:t>Every doubtful passage stays in place, highlighted and followed by “⚠ to verify — reason”. The reason states exactly what is missing:</w:t>
      </w:r>
    </w:p>
    <w:p>
      <w:pPr/>
      <w:r>
        <w:t>— unsourced figure / unsourced target / unsourced projection: no document or confirmed fact carries this value;</w:t>
      </w:r>
    </w:p>
    <w:p>
      <w:pPr/>
      <w:r>
        <w:t>— contradicted by the source: &lt;value&gt; / contradicted by the filings: &lt;value&gt;: the document provided, or a public filing (SEC, filed accounts), gives another value, shown;</w:t>
      </w:r>
    </w:p>
    <w:p>
      <w:pPr/>
      <w:r>
        <w:t>— calculation to verify: &lt;recalculation&gt;: a standard calculation (CAGR, inventory days, margin) does not match the data cited; the recalculation is shown;</w:t>
      </w:r>
    </w:p>
    <w:p>
      <w:pPr/>
      <w:r>
        <w:t>— qualification to verify: a published amount is presented as “adjusted” or “excluding …” while the document publishes it as is;</w:t>
      </w:r>
    </w:p>
    <w:p>
      <w:pPr/>
      <w:r>
        <w:t>— source cited, not reconciled with the extracted facts: the line cites its document, but the value was not extracted and reconciled; check it in the document;</w:t>
      </w:r>
    </w:p>
    <w:p>
      <w:pPr/>
      <w:r>
        <w:t>— “decided/approved” status not established by the brief: an agent presents as decided what your brief does not establish; legal assertion not established by the documents; unverified entity; unsourced market figure; trend not established.</w:t>
      </w:r>
    </w:p>
    <w:p>
      <w:pPr/>
      <w:r>
        <w:t>As a rule, not flagged line by line: your own brief (its targets are recalled once, at the top, as uncertified statements), the tables the product writes (action register, timeline, fact table) and headings. Residual flags may remain in this version (for example on scores or durations shown in the minutes): they are known limits, not conclusions. The “Quantified scenarios” and “Register of flagged passages” appendices are no longer in the Word file: the full register is in the evidence file (JSON and CSV) and in the package diagnostics.</w:t>
      </w:r>
    </w:p>
    <w:p>
      <w:pPr/>
      <w:r>
        <w:t>Key figure cards and the last known dated figure. Each deck card shows the fiscal year of its value. The document provided always comes first; otherwise the latest public filing fills the card, with its source (“FY2025 · SEC EDGAR”). A value for which a more recent year has closed shows “last published”. When the current financial position is not established, a single notice says so at the top of the Word files, without removing any line.</w:t>
      </w:r>
    </w:p>
    <w:p>
      <w:pPr/>
      <w:r>
        <w:t>Public sources. Depending on the identifiers available, CoDIR IA reads published amounts from the SEC (CIK, 10-K filings), Companies House (company number, iXBRL accounts; personal key required) and Pappers (SIREN, filed accounts, except confidential accounts). GLEIF only provides the identity. These amounts serve reconciliation, the prior year and key figure cards; they never replace a fact confirmed in your documents.</w:t>
      </w:r>
    </w:p>
    <w:p>
      <w:pPr/>
      <w:r>
        <w:t>Memory between two committee meetings. An action reworded from one session to the next is recognised as carried over. To close, postpone or drop an action, write it in the next brief, one line per action: “— &lt;action&gt; — completed on 15/10/2026”, “— &lt;action&gt; — postponed to 31/03/2027”, “— &lt;action&gt; — dropped”. The agents' recommendation is presented as a proposed orientation, never as a committee decision. When more than 12 actions are open, the next brief says so and lists overdue actions first.</w:t>
      </w:r>
    </w:p>
    <w:p>
      <w:pPr>
        <w:pStyle w:val="ListBullet"/>
      </w:pPr>
      <w:r>
        <w:t>9. Mandatory human review</w:t>
      </w:r>
    </w:p>
    <w:p>
      <w:pPr>
        <w:pStyle w:val="ListBullet"/>
      </w:pPr>
      <w:r>
        <w:t>10. Data, security and rights</w:t>
      </w:r>
    </w:p>
    <w:p>
      <w:pPr>
        <w:pStyle w:val="ListBullet"/>
      </w:pPr>
      <w:r>
        <w:t>11. Incidents and support</w:t>
      </w:r>
    </w:p>
    <w:p>
      <w:pPr>
        <w:pStyle w:val="ListBullet"/>
      </w:pPr>
      <w:r>
        <w:t>12. Pre-decision/disclosure checklist</w:t>
      </w:r>
    </w:p>
    <w:tbl>
      <w:tblPr>
        <w:tblW w:type="auto" w:w="0"/>
        <w:jc w:val="center"/>
        <w:tblLayout w:type="autofit"/>
        <w:tblLook w:firstColumn="1" w:firstRow="1" w:lastColumn="0" w:lastRow="0" w:noHBand="0" w:noVBand="1" w:val="04A0"/>
      </w:tblPr>
      <w:tblGrid>
        <w:gridCol w:w="10080"/>
      </w:tblGrid>
      <w:tr>
        <w:trPr>
          <w:cantSplit/>
          <w:tblHeader/>
        </w:trPr>
        <w:tc>
          <w:tcPr>
            <w:tcW w:type="dxa" w:w="10080"/>
            <w:shd w:fill="101A4A"/>
          </w:tcPr>
          <w:p>
            <w:pPr>
              <w:keepNext/>
            </w:pPr>
            <w:r>
              <w:rPr>
                <w:b/>
                <w:color w:val="FFFFFF"/>
              </w:rPr>
              <w:t>Doctrine</w:t>
            </w:r>
          </w:p>
        </w:tc>
      </w:tr>
      <w:tr>
        <w:trPr>
          <w:cantSplit/>
        </w:trPr>
        <w:tc>
          <w:tcPr>
            <w:tcW w:type="dxa" w:w="10080"/>
            <w:shd w:fill="F3F5F8"/>
          </w:tcPr>
          <w:p>
            <w:r>
              <w:t>CoDIR IA is a lucidity accelerator, not an answer generator or decision-maker.</w:t>
            </w:r>
          </w:p>
        </w:tc>
      </w:tr>
    </w:tbl>
    <w:p>
      <w:r/>
    </w:p>
    <w:p>
      <w:pPr>
        <w:pStyle w:val="Heading1"/>
      </w:pPr>
      <w:r>
        <w:t>1. Product positioning</w:t>
      </w:r>
    </w:p>
    <w:p>
      <w:r>
        <w:t>CoDIR IA prepares an on-demand management committee for consultants, interim managers and SME/industrial SME/mid-cap executives, using the selected brief and documents. The long Word report carries the analysis; the short Word synthesis presents conclusions and matters for decision. They are the two main deliverables, to be reviewed and validated by the professional. The PPTX is an editable draft to complete after reading the Word documents: selection, messages, illustrations and layout remain the professional’s work. Local case history supports continuity between meetings; it does not replace approved minutes or human validation.</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fill="101A4A"/>
          </w:tcPr>
          <w:p>
            <w:pPr>
              <w:keepNext/>
            </w:pPr>
            <w:r>
              <w:rPr>
                <w:b/>
                <w:color w:val="FFFFFF"/>
              </w:rPr>
              <w:t>Usage</w:t>
            </w:r>
          </w:p>
        </w:tc>
        <w:tc>
          <w:tcPr>
            <w:tcW w:type="dxa" w:w="5040"/>
            <w:shd w:fill="101A4A"/>
          </w:tcPr>
          <w:p>
            <w:pPr>
              <w:keepNext/>
            </w:pPr>
            <w:r>
              <w:rPr>
                <w:b/>
                <w:color w:val="FFFFFF"/>
              </w:rPr>
              <w:t>Status</w:t>
            </w:r>
          </w:p>
        </w:tc>
      </w:tr>
      <w:tr>
        <w:trPr>
          <w:cantSplit/>
        </w:trPr>
        <w:tc>
          <w:tcPr>
            <w:tcW w:type="dxa" w:w="5040"/>
            <w:vAlign w:val="center"/>
          </w:tcPr>
          <w:p>
            <w:r>
              <w:t>Consultant / interim manager</w:t>
            </w:r>
          </w:p>
        </w:tc>
        <w:tc>
          <w:tcPr>
            <w:tcW w:type="dxa" w:w="5040"/>
            <w:vAlign w:val="center"/>
          </w:tcPr>
          <w:p>
            <w:r>
              <w:t>Supervised use</w:t>
            </w:r>
          </w:p>
        </w:tc>
      </w:tr>
      <w:tr>
        <w:trPr>
          <w:cantSplit/>
        </w:trPr>
        <w:tc>
          <w:tcPr>
            <w:tcW w:type="dxa" w:w="5040"/>
            <w:vAlign w:val="center"/>
          </w:tcPr>
          <w:p>
            <w:r>
              <w:t>SME / industrial SME / mid-cap executive</w:t>
            </w:r>
          </w:p>
        </w:tc>
        <w:tc>
          <w:tcPr>
            <w:tcW w:type="dxa" w:w="5040"/>
            <w:vAlign w:val="center"/>
          </w:tcPr>
          <w:p>
            <w:r>
              <w:t>Supervised reflection</w:t>
            </w:r>
          </w:p>
        </w:tc>
      </w:tr>
      <w:tr>
        <w:trPr>
          <w:cantSplit/>
        </w:trPr>
        <w:tc>
          <w:tcPr>
            <w:tcW w:type="dxa" w:w="5040"/>
            <w:vAlign w:val="center"/>
          </w:tcPr>
          <w:p>
            <w:r>
              <w:t>Unedited client delivery</w:t>
            </w:r>
          </w:p>
        </w:tc>
        <w:tc>
          <w:tcPr>
            <w:tcW w:type="dxa" w:w="5040"/>
            <w:vAlign w:val="center"/>
          </w:tcPr>
          <w:p>
            <w:r>
              <w:t>Not intended</w:t>
            </w:r>
          </w:p>
        </w:tc>
      </w:tr>
      <w:tr>
        <w:trPr>
          <w:cantSplit/>
        </w:trPr>
        <w:tc>
          <w:tcPr>
            <w:tcW w:type="dxa" w:w="5040"/>
            <w:vAlign w:val="center"/>
          </w:tcPr>
          <w:p>
            <w:r>
              <w:t>Public disclosure</w:t>
            </w:r>
          </w:p>
        </w:tc>
        <w:tc>
          <w:tcPr>
            <w:tcW w:type="dxa" w:w="5040"/>
            <w:vAlign w:val="center"/>
          </w:tcPr>
          <w:p>
            <w:r>
              <w:t>Human review mandatory; check the rights attached to the source documents and the distribution authorisations. Neither use on an assignment nor handing a document to a client requires an additional contract with the publisher.</w:t>
            </w:r>
          </w:p>
        </w:tc>
      </w:tr>
    </w:tbl>
    <w:p>
      <w:r/>
    </w:p>
    <w:p>
      <w:pPr>
        <w:pStyle w:val="Heading1"/>
      </w:pPr>
      <w:r>
        <w:t>2. Prepare an actionable brief</w:t>
      </w:r>
    </w:p>
    <w:p>
      <w:r>
        <w:t>A useful brief specifies identity/scope, data, the decision sought and constraints. Set the analysis date in the settings. A 24-month horizon starts from that date, not the generation date. Resolve conflicts between duration and end date before running.</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fill="101A4A"/>
          </w:tcPr>
          <w:p>
            <w:pPr>
              <w:keepNext/>
            </w:pPr>
            <w:r>
              <w:rPr>
                <w:b/>
                <w:color w:val="FFFFFF"/>
              </w:rPr>
              <w:t>Item</w:t>
            </w:r>
          </w:p>
        </w:tc>
        <w:tc>
          <w:tcPr>
            <w:tcW w:type="dxa" w:w="5040"/>
            <w:shd w:fill="101A4A"/>
          </w:tcPr>
          <w:p>
            <w:pPr>
              <w:keepNext/>
            </w:pPr>
            <w:r>
              <w:rPr>
                <w:b/>
                <w:color w:val="FFFFFF"/>
              </w:rPr>
              <w:t>Example</w:t>
            </w:r>
          </w:p>
        </w:tc>
      </w:tr>
      <w:tr>
        <w:trPr>
          <w:cantSplit/>
        </w:trPr>
        <w:tc>
          <w:tcPr>
            <w:tcW w:type="dxa" w:w="5040"/>
            <w:vAlign w:val="center"/>
          </w:tcPr>
          <w:p>
            <w:r>
              <w:t>Entity</w:t>
            </w:r>
          </w:p>
        </w:tc>
        <w:tc>
          <w:tcPr>
            <w:tcW w:type="dxa" w:w="5040"/>
            <w:vAlign w:val="center"/>
          </w:tcPr>
          <w:p>
            <w:r>
              <w:t>SIREN / Companies House / LEI</w:t>
            </w:r>
          </w:p>
        </w:tc>
      </w:tr>
      <w:tr>
        <w:trPr>
          <w:cantSplit/>
        </w:trPr>
        <w:tc>
          <w:tcPr>
            <w:tcW w:type="dxa" w:w="5040"/>
            <w:vAlign w:val="center"/>
          </w:tcPr>
          <w:p>
            <w:r>
              <w:t>Scope</w:t>
            </w:r>
          </w:p>
        </w:tc>
        <w:tc>
          <w:tcPr>
            <w:tcW w:type="dxa" w:w="5040"/>
            <w:vAlign w:val="center"/>
          </w:tcPr>
          <w:p>
            <w:r>
              <w:t>consolidated group, standalone company, subsidiaries</w:t>
            </w:r>
          </w:p>
        </w:tc>
      </w:tr>
      <w:tr>
        <w:trPr>
          <w:cantSplit/>
        </w:trPr>
        <w:tc>
          <w:tcPr>
            <w:tcW w:type="dxa" w:w="5040"/>
            <w:vAlign w:val="center"/>
          </w:tcPr>
          <w:p>
            <w:r>
              <w:t>Decision</w:t>
            </w:r>
          </w:p>
        </w:tc>
        <w:tc>
          <w:tcPr>
            <w:tcW w:type="dxa" w:w="5040"/>
            <w:vAlign w:val="center"/>
          </w:tcPr>
          <w:p>
            <w:r>
              <w:t>arbitrate, choose, prioritise, frame</w:t>
            </w:r>
          </w:p>
        </w:tc>
      </w:tr>
      <w:tr>
        <w:trPr>
          <w:cantSplit/>
        </w:trPr>
        <w:tc>
          <w:tcPr>
            <w:tcW w:type="dxa" w:w="5040"/>
            <w:vAlign w:val="center"/>
          </w:tcPr>
          <w:p>
            <w:r>
              <w:t>Horizon</w:t>
            </w:r>
          </w:p>
        </w:tc>
        <w:tc>
          <w:tcPr>
            <w:tcW w:type="dxa" w:w="5040"/>
            <w:vAlign w:val="center"/>
          </w:tcPr>
          <w:p>
            <w:r>
              <w:t>24 months from the selected analysis date</w:t>
            </w:r>
          </w:p>
        </w:tc>
      </w:tr>
      <w:tr>
        <w:trPr>
          <w:cantSplit/>
        </w:trPr>
        <w:tc>
          <w:tcPr>
            <w:tcW w:type="dxa" w:w="5040"/>
            <w:vAlign w:val="center"/>
          </w:tcPr>
          <w:p>
            <w:r>
              <w:t>Deliverables</w:t>
            </w:r>
          </w:p>
        </w:tc>
        <w:tc>
          <w:tcPr>
            <w:tcW w:type="dxa" w:w="5040"/>
            <w:vAlign w:val="center"/>
          </w:tcPr>
          <w:p>
            <w:r>
              <w:t>Two main Word documents + a PPTX draft adapted to the material</w:t>
            </w:r>
          </w:p>
        </w:tc>
      </w:tr>
    </w:tbl>
    <w:p>
      <w:r/>
    </w:p>
    <w:tbl>
      <w:tblPr>
        <w:tblW w:type="auto" w:w="0"/>
        <w:jc w:val="center"/>
        <w:tblLayout w:type="autofit"/>
        <w:tblLook w:firstColumn="1" w:firstRow="1" w:lastColumn="0" w:lastRow="0" w:noHBand="0" w:noVBand="1" w:val="04A0"/>
      </w:tblPr>
      <w:tblGrid>
        <w:gridCol w:w="10080"/>
      </w:tblGrid>
      <w:tr>
        <w:trPr>
          <w:cantSplit/>
          <w:tblHeader/>
        </w:trPr>
        <w:tc>
          <w:tcPr>
            <w:tcW w:type="dxa" w:w="10080"/>
            <w:shd w:fill="101A4A"/>
          </w:tcPr>
          <w:p>
            <w:pPr>
              <w:keepNext/>
            </w:pPr>
            <w:r>
              <w:rPr>
                <w:b/>
                <w:color w:val="FFFFFF"/>
              </w:rPr>
              <w:t>Avoid</w:t>
            </w:r>
          </w:p>
        </w:tc>
      </w:tr>
      <w:tr>
        <w:trPr>
          <w:cantSplit/>
        </w:trPr>
        <w:tc>
          <w:tcPr>
            <w:tcW w:type="dxa" w:w="10080"/>
            <w:shd w:fill="F3F5F8"/>
          </w:tcPr>
          <w:p>
            <w:r>
              <w:t>Avoid vague requests, ambiguous periods, unitless figures and unidentified entities.</w:t>
            </w:r>
          </w:p>
        </w:tc>
      </w:tr>
    </w:tbl>
    <w:p>
      <w:r/>
    </w:p>
    <w:p>
      <w:pPr>
        <w:pStyle w:val="Heading1"/>
      </w:pPr>
      <w:r>
        <w:t>3. Canonical target and scope</w:t>
      </w:r>
    </w:p>
    <w:p>
      <w:r>
        <w:t>Confirm the legal target once. CoDIR IA remembers the structured object: name, country, registry, identifier, and LEI/CIK/ticker where available. On restart, the user explicitly chooses Use or Change.</w:t>
      </w:r>
    </w:p>
    <w:p>
      <w:pPr>
        <w:pStyle w:val="ListBullet"/>
      </w:pPr>
      <w:r>
        <w:t>Verify the canonical name and identifier.</w:t>
      </w:r>
    </w:p>
    <w:p>
      <w:pPr>
        <w:pStyle w:val="ListBullet"/>
      </w:pPr>
      <w:r>
        <w:t>Distinguish group, holding, standalone company and subsidiary.</w:t>
      </w:r>
    </w:p>
    <w:p>
      <w:pPr>
        <w:pStyle w:val="ListBullet"/>
      </w:pPr>
      <w:r>
        <w:t>Never use a standalone-company fact to establish the group consolidated position.</w:t>
      </w:r>
    </w:p>
    <w:p>
      <w:pPr>
        <w:pStyle w:val="Heading2"/>
      </w:pPr>
      <w:r>
        <w:t>Continuity between two committee meetings</w:t>
      </w:r>
    </w:p>
    <w:p>
      <w:r>
        <w:t>Memory between meetings. The code includes local case history and a timestamped action register. Reuse the same case — the same “Dossier label” from one meeting to the next — and check the entity, identifier, data directory and analysis date. State genuinely approved decisions, completed or deferred actions and explicit closures in the next brief. Then review carried-over items and changes: repetition does not approve a proposal. Retrospective/future modes do not write to the live register; the “Start fresh — ignore this folder’s history” box (technical variable CODIR_IGNORE_HISTORY) disables carry-over for an isolated test. This documentation revision does not certify exhaustive decision, action and question continuity across two meetings; verify it for your case. This is not memory of all conversations or model training.</w:t>
      </w:r>
    </w:p>
    <w:p>
      <w:pPr>
        <w:pStyle w:val="Heading1"/>
      </w:pPr>
      <w:r>
        <w:t>4. Attachments and OCR limits</w:t>
      </w:r>
    </w:p>
    <w:p>
      <w:r>
        <w:t>Texts are extracted locally; necessary excerpts may be sent to enabled providers. This version includes no OCR. Supply an authorised text version; do not treat an unreadable attachment as analysed.</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fill="101A4A"/>
          </w:tcPr>
          <w:p>
            <w:pPr>
              <w:keepNext/>
            </w:pPr>
            <w:r>
              <w:rPr>
                <w:b/>
                <w:color w:val="FFFFFF"/>
              </w:rPr>
              <w:t>Status</w:t>
            </w:r>
          </w:p>
        </w:tc>
        <w:tc>
          <w:tcPr>
            <w:tcW w:type="dxa" w:w="5040"/>
            <w:shd w:fill="101A4A"/>
          </w:tcPr>
          <w:p>
            <w:pPr>
              <w:keepNext/>
            </w:pPr>
            <w:r>
              <w:rPr>
                <w:b/>
                <w:color w:val="FFFFFF"/>
              </w:rPr>
              <w:t>Meaning</w:t>
            </w:r>
          </w:p>
        </w:tc>
      </w:tr>
      <w:tr>
        <w:trPr>
          <w:cantSplit/>
        </w:trPr>
        <w:tc>
          <w:tcPr>
            <w:tcW w:type="dxa" w:w="5040"/>
            <w:vAlign w:val="center"/>
          </w:tcPr>
          <w:p>
            <w:r>
              <w:t>CONFIRMED_ON_PAGE</w:t>
            </w:r>
          </w:p>
        </w:tc>
        <w:tc>
          <w:tcPr>
            <w:tcW w:type="dxa" w:w="5040"/>
            <w:vAlign w:val="center"/>
          </w:tcPr>
          <w:p>
            <w:r>
              <w:t>Engine match to a page; verify value, label, unit/scale, period and scope.</w:t>
            </w:r>
          </w:p>
        </w:tc>
      </w:tr>
      <w:tr>
        <w:trPr>
          <w:cantSplit/>
        </w:trPr>
        <w:tc>
          <w:tcPr>
            <w:tcW w:type="dxa" w:w="5040"/>
            <w:vAlign w:val="center"/>
          </w:tcPr>
          <w:p>
            <w:r>
              <w:t>TO VERIFY</w:t>
            </w:r>
          </w:p>
        </w:tc>
        <w:tc>
          <w:tcPr>
            <w:tcW w:type="dxa" w:w="5040"/>
            <w:vAlign w:val="center"/>
          </w:tcPr>
          <w:p>
            <w:r>
              <w:t>insufficient signal or no page evidence</w:t>
            </w:r>
          </w:p>
        </w:tc>
      </w:tr>
      <w:tr>
        <w:trPr>
          <w:cantSplit/>
        </w:trPr>
        <w:tc>
          <w:tcPr>
            <w:tcW w:type="dxa" w:w="5040"/>
            <w:vAlign w:val="center"/>
          </w:tcPr>
          <w:p>
            <w:r>
              <w:t>OCR_REQUIRED</w:t>
            </w:r>
          </w:p>
        </w:tc>
        <w:tc>
          <w:tcPr>
            <w:tcW w:type="dxa" w:w="5040"/>
            <w:vAlign w:val="center"/>
          </w:tcPr>
          <w:p>
            <w:r>
              <w:t>image-only scan with no usable text</w:t>
            </w:r>
          </w:p>
        </w:tc>
      </w:tr>
      <w:tr>
        <w:trPr>
          <w:cantSplit/>
        </w:trPr>
        <w:tc>
          <w:tcPr>
            <w:tcW w:type="dxa" w:w="5040"/>
            <w:vAlign w:val="center"/>
          </w:tcPr>
          <w:p>
            <w:r>
              <w:t>CONTRIBUTING_HISTORY</w:t>
            </w:r>
          </w:p>
        </w:tc>
        <w:tc>
          <w:tcPr>
            <w:tcW w:type="dxa" w:w="5040"/>
            <w:vAlign w:val="center"/>
          </w:tcPr>
          <w:p>
            <w:r>
              <w:t>proved history, not current canonical</w:t>
            </w:r>
          </w:p>
        </w:tc>
      </w:tr>
      <w:tr>
        <w:trPr>
          <w:cantSplit/>
        </w:trPr>
        <w:tc>
          <w:tcPr>
            <w:tcW w:type="dxa" w:w="5040"/>
            <w:vAlign w:val="center"/>
          </w:tcPr>
          <w:p>
            <w:r>
              <w:t>POST_CLOSE_INDICATION</w:t>
            </w:r>
          </w:p>
        </w:tc>
        <w:tc>
          <w:tcPr>
            <w:tcW w:type="dxa" w:w="5040"/>
            <w:vAlign w:val="center"/>
          </w:tcPr>
          <w:p>
            <w:r>
              <w:t>later statement visible, non-canonical</w:t>
            </w:r>
          </w:p>
        </w:tc>
      </w:tr>
    </w:tbl>
    <w:p>
      <w:r/>
    </w:p>
    <w:p>
      <w:pPr>
        <w:pStyle w:val="Heading1"/>
      </w:pPr>
      <w:r>
        <w:t>5. Run a session</w:t>
      </w:r>
    </w:p>
    <w:p>
      <w:pPr>
        <w:pStyle w:val="ListNumber"/>
        <w:numPr>
          <w:ilvl w:val="0"/>
          <w:numId w:val="1001"/>
        </w:numPr>
      </w:pPr>
      <w:r>
        <w:t>Choose LIVE unless a retrospective analysis is intentional.</w:t>
      </w:r>
    </w:p>
    <w:p>
      <w:pPr>
        <w:pStyle w:val="ListNumber"/>
        <w:numPr>
          <w:ilvl w:val="0"/>
          <w:numId w:val="1001"/>
        </w:numPr>
      </w:pPr>
      <w:r>
        <w:t>Check the analysis date and horizon.</w:t>
      </w:r>
    </w:p>
    <w:p>
      <w:pPr>
        <w:pStyle w:val="ListNumber"/>
        <w:numPr>
          <w:ilvl w:val="0"/>
          <w:numId w:val="1001"/>
        </w:numPr>
      </w:pPr>
      <w:r>
        <w:t>Confirm target and providers.</w:t>
      </w:r>
    </w:p>
    <w:p>
      <w:pPr>
        <w:pStyle w:val="ListNumber"/>
        <w:numPr>
          <w:ilvl w:val="0"/>
          <w:numId w:val="1001"/>
        </w:numPr>
      </w:pPr>
      <w:r>
        <w:t>Attach only necessary documents.</w:t>
      </w:r>
    </w:p>
    <w:p>
      <w:pPr>
        <w:pStyle w:val="ListNumber"/>
        <w:numPr>
          <w:ilvl w:val="0"/>
          <w:numId w:val="1001"/>
        </w:numPr>
      </w:pPr>
      <w:r>
        <w:t>Run and retain diagnostics with deliverables.</w:t>
      </w:r>
    </w:p>
    <w:tbl>
      <w:tblPr>
        <w:tblW w:type="auto" w:w="0"/>
        <w:jc w:val="center"/>
        <w:tblLayout w:type="autofit"/>
        <w:tblLook w:firstColumn="1" w:firstRow="1" w:lastColumn="0" w:lastRow="0" w:noHBand="0" w:noVBand="1" w:val="04A0"/>
      </w:tblPr>
      <w:tblGrid>
        <w:gridCol w:w="10080"/>
      </w:tblGrid>
      <w:tr>
        <w:trPr>
          <w:cantSplit/>
          <w:tblHeader/>
        </w:trPr>
        <w:tc>
          <w:tcPr>
            <w:tcW w:type="dxa" w:w="10080"/>
            <w:shd w:fill="101A4A"/>
          </w:tcPr>
          <w:p>
            <w:pPr>
              <w:keepNext/>
            </w:pPr>
            <w:r>
              <w:rPr>
                <w:b/>
                <w:color w:val="FFFFFF"/>
              </w:rPr>
              <w:t>Cost</w:t>
            </w:r>
          </w:p>
        </w:tc>
      </w:tr>
      <w:tr>
        <w:trPr>
          <w:cantSplit/>
        </w:trPr>
        <w:tc>
          <w:tcPr>
            <w:tcW w:type="dxa" w:w="10080"/>
            <w:shd w:fill="F3F5F8"/>
          </w:tcPr>
          <w:p>
            <w:r>
              <w:t>A run may call several providers. Check keys, quotas and retention policies before launch.</w:t>
            </w:r>
          </w:p>
        </w:tc>
      </w:tr>
    </w:tbl>
    <w:p>
      <w:r/>
    </w:p>
    <w:p>
      <w:pPr>
        <w:pStyle w:val="Heading1"/>
      </w:pPr>
      <w:r>
        <w:t>6. Understand facts and evidence</w:t>
      </w:r>
    </w:p>
    <w:p>
      <w:r>
        <w:t>Financial position established. The yes/no indicator and its reason, where available in the report or diagnostics, concern the current baseline that the engine could qualify for the retained scope and date. ‘Yes’ does not certify every figure or scenario. ‘No’ does not prove that accounts were not supplied: examine the listed documents, extractability, periods, scopes and conflicts. This global reason is not a per-figure explanation.</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fill="101A4A"/>
          </w:tcPr>
          <w:p>
            <w:pPr>
              <w:keepNext/>
            </w:pPr>
            <w:r>
              <w:rPr>
                <w:b/>
                <w:color w:val="FFFFFF"/>
              </w:rPr>
              <w:t>Label</w:t>
            </w:r>
          </w:p>
        </w:tc>
        <w:tc>
          <w:tcPr>
            <w:tcW w:type="dxa" w:w="5040"/>
            <w:shd w:fill="101A4A"/>
          </w:tcPr>
          <w:p>
            <w:pPr>
              <w:keepNext/>
            </w:pPr>
            <w:r>
              <w:rPr>
                <w:b/>
                <w:color w:val="FFFFFF"/>
              </w:rPr>
              <w:t>Use</w:t>
            </w:r>
          </w:p>
        </w:tc>
      </w:tr>
      <w:tr>
        <w:trPr>
          <w:cantSplit/>
        </w:trPr>
        <w:tc>
          <w:tcPr>
            <w:tcW w:type="dxa" w:w="5040"/>
            <w:vAlign w:val="center"/>
          </w:tcPr>
          <w:p>
            <w:r>
              <w:t>FACT</w:t>
            </w:r>
          </w:p>
        </w:tc>
        <w:tc>
          <w:tcPr>
            <w:tcW w:type="dxa" w:w="5040"/>
            <w:vAlign w:val="center"/>
          </w:tcPr>
          <w:p>
            <w:r>
              <w:t>Engine qualification label, not certification. Check nature and evidence against the source.</w:t>
            </w:r>
          </w:p>
        </w:tc>
      </w:tr>
      <w:tr>
        <w:trPr>
          <w:cantSplit/>
        </w:trPr>
        <w:tc>
          <w:tcPr>
            <w:tcW w:type="dxa" w:w="5040"/>
            <w:vAlign w:val="center"/>
          </w:tcPr>
          <w:p>
            <w:r>
              <w:t>DERIVED FROM FACTS</w:t>
            </w:r>
          </w:p>
        </w:tc>
        <w:tc>
          <w:tcPr>
            <w:tcW w:type="dxa" w:w="5040"/>
            <w:vAlign w:val="center"/>
          </w:tcPr>
          <w:p>
            <w:r>
              <w:t>deterministic calculation from claims</w:t>
            </w:r>
          </w:p>
        </w:tc>
      </w:tr>
      <w:tr>
        <w:trPr>
          <w:cantSplit/>
        </w:trPr>
        <w:tc>
          <w:tcPr>
            <w:tcW w:type="dxa" w:w="5040"/>
            <w:vAlign w:val="center"/>
          </w:tcPr>
          <w:p>
            <w:r>
              <w:t>SECT. REF.</w:t>
            </w:r>
          </w:p>
        </w:tc>
        <w:tc>
          <w:tcPr>
            <w:tcW w:type="dxa" w:w="5040"/>
            <w:vAlign w:val="center"/>
          </w:tcPr>
          <w:p>
            <w:r>
              <w:t>sector benchmark</w:t>
            </w:r>
          </w:p>
        </w:tc>
      </w:tr>
      <w:tr>
        <w:trPr>
          <w:cantSplit/>
        </w:trPr>
        <w:tc>
          <w:tcPr>
            <w:tcW w:type="dxa" w:w="5040"/>
            <w:vAlign w:val="center"/>
          </w:tcPr>
          <w:p>
            <w:r>
              <w:t>AI ESTIM.</w:t>
            </w:r>
          </w:p>
        </w:tc>
        <w:tc>
          <w:tcPr>
            <w:tcW w:type="dxa" w:w="5040"/>
            <w:vAlign w:val="center"/>
          </w:tcPr>
          <w:p>
            <w:r>
              <w:t>inference to verify</w:t>
            </w:r>
          </w:p>
        </w:tc>
      </w:tr>
      <w:tr>
        <w:trPr>
          <w:cantSplit/>
        </w:trPr>
        <w:tc>
          <w:tcPr>
            <w:tcW w:type="dxa" w:w="5040"/>
            <w:vAlign w:val="center"/>
          </w:tcPr>
          <w:p>
            <w:r>
              <w:t>Historical conflict</w:t>
            </w:r>
          </w:p>
        </w:tc>
        <w:tc>
          <w:tcPr>
            <w:tcW w:type="dxa" w:w="5040"/>
            <w:vAlign w:val="center"/>
          </w:tcPr>
          <w:p>
            <w:r>
              <w:t>proved but incompatible values, not established</w:t>
            </w:r>
          </w:p>
        </w:tc>
      </w:tr>
    </w:tbl>
    <w:p>
      <w:r/>
    </w:p>
    <w:p>
      <w:pPr>
        <w:pStyle w:val="Heading1"/>
      </w:pPr>
      <w:r>
        <w:t>7. Scores and permitted use</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fill="101A4A"/>
          </w:tcPr>
          <w:p>
            <w:pPr>
              <w:keepNext/>
            </w:pPr>
            <w:r>
              <w:rPr>
                <w:b/>
                <w:color w:val="FFFFFF"/>
              </w:rPr>
              <w:t>Indicator</w:t>
            </w:r>
          </w:p>
        </w:tc>
        <w:tc>
          <w:tcPr>
            <w:tcW w:type="dxa" w:w="5040"/>
            <w:shd w:fill="101A4A"/>
          </w:tcPr>
          <w:p>
            <w:pPr>
              <w:keepNext/>
            </w:pPr>
            <w:r>
              <w:rPr>
                <w:b/>
                <w:color w:val="FFFFFF"/>
              </w:rPr>
              <w:t>Question</w:t>
            </w:r>
          </w:p>
        </w:tc>
      </w:tr>
      <w:tr>
        <w:trPr>
          <w:cantSplit/>
        </w:trPr>
        <w:tc>
          <w:tcPr>
            <w:tcW w:type="dxa" w:w="5040"/>
            <w:vAlign w:val="center"/>
          </w:tcPr>
          <w:p>
            <w:r>
              <w:t>Evidence</w:t>
            </w:r>
          </w:p>
        </w:tc>
        <w:tc>
          <w:tcPr>
            <w:tcW w:type="dxa" w:w="5040"/>
            <w:vAlign w:val="center"/>
          </w:tcPr>
          <w:p>
            <w:r>
              <w:t>Are the claims supported?</w:t>
            </w:r>
          </w:p>
        </w:tc>
      </w:tr>
      <w:tr>
        <w:trPr>
          <w:cantSplit/>
        </w:trPr>
        <w:tc>
          <w:tcPr>
            <w:tcW w:type="dxa" w:w="5040"/>
            <w:vAlign w:val="center"/>
          </w:tcPr>
          <w:p>
            <w:r>
              <w:t>Usefulness</w:t>
            </w:r>
          </w:p>
        </w:tc>
        <w:tc>
          <w:tcPr>
            <w:tcW w:type="dxa" w:w="5040"/>
            <w:vAlign w:val="center"/>
          </w:tcPr>
          <w:p>
            <w:r>
              <w:t>Does the document help frame and act?</w:t>
            </w:r>
          </w:p>
        </w:tc>
      </w:tr>
      <w:tr>
        <w:trPr>
          <w:cantSplit/>
        </w:trPr>
        <w:tc>
          <w:tcPr>
            <w:tcW w:type="dxa" w:w="5040"/>
            <w:vAlign w:val="center"/>
          </w:tcPr>
          <w:p>
            <w:r>
              <w:t>Run stability</w:t>
            </w:r>
          </w:p>
        </w:tc>
        <w:tc>
          <w:tcPr>
            <w:tcW w:type="dxa" w:w="5040"/>
            <w:vAlign w:val="center"/>
          </w:tcPr>
          <w:p>
            <w:r>
              <w:t>Did the chain complete without error?</w:t>
            </w:r>
          </w:p>
        </w:tc>
      </w:tr>
      <w:tr>
        <w:trPr>
          <w:cantSplit/>
        </w:trPr>
        <w:tc>
          <w:tcPr>
            <w:tcW w:type="dxa" w:w="5040"/>
            <w:vAlign w:val="center"/>
          </w:tcPr>
          <w:p>
            <w:r>
              <w:t>Brief cap</w:t>
            </w:r>
          </w:p>
        </w:tc>
        <w:tc>
          <w:tcPr>
            <w:tcW w:type="dxa" w:w="5040"/>
            <w:vAlign w:val="center"/>
          </w:tcPr>
          <w:p>
            <w:r>
              <w:t>Does the brief provide the required decision levers?</w:t>
            </w:r>
          </w:p>
        </w:tc>
      </w:tr>
    </w:tbl>
    <w:p>
      <w:r/>
    </w:p>
    <w:p>
      <w:pPr>
        <w:pStyle w:val="Heading1"/>
      </w:pPr>
      <w:r>
        <w:t>8. What you receive — two Word documents, a frame, the Complete file</w:t>
      </w:r>
    </w:p>
    <w:p>
      <w:r>
        <w:t>The two Word documents are the main deliverables: detailed analysis and decision synthesis. The PPTX is a presentation draft to revise after reading them, not a standalone document ready to hand over. Length depends on the brief and available material; page and slide counts are indicative, not guaranteed. The complete package brings together the files actually generated, diagnostics, available registers, preparation journal and manifest.</w:t>
      </w:r>
    </w:p>
    <w:p>
      <w:r>
        <w:t>Deterministic guards. After model generation, local Python rules examine text and structured data. No model is called to make decisions within these guards. Doctrine “deliver everything, flag in place”: the principle is to keep. An unsupported quantity stays where it is, highlighted and followed by “⚠ to verify — reason”; a figure contradicted by a document carries the document’s value; the first-page box counts and lists the flagged passages, and the register records them. Current exceptions: personal calculations (remuneration, dividends, self-employed status) are removed; without primary financial statements for the perimeter, the Finance note of a one-person company (SASU, EURL, sole trader) or a very short note is replaced by a prudence frame; some accounting wordings receive a standard reservation, which must itself be checked against the documents. Only a technical failure prevents delivery. These checks reduce some risks; they guarantee neither error-free results, completeness nor a complete trace of every transformation. Legitimate content may be over-labelled or masked; incorrect content may escape detection. Review the Word documents and compare reservations, registers and sources before use.</w:t>
      </w:r>
    </w:p>
    <w:p>
      <w:r>
        <w:t>Reading the package. Start with the Word synthesis, then the long report and its sources; prepare the PPTX afterwards. diagnostics_ia.csv and diagnostic_A1_RUN-*.json describe execution; JSON/CSV registers and the preparation journal support review. CONTROLE_LIVRAISON.json, when generated, compares objects to written files: missing, altered, lost attribute, truncated, unreadable. controle_pptx_*.json describes deck-specific checks. Zero detected issues does not guarantee correctness. Its alerts concern the Word documents: an object missing from every document; an object altered, truncated without a pointer, or stripped of its owner, deadline or status in a Word document. The check of the delivered deck aligns the decision with the Board’s, qualifies a headcount of another entity and refers empty cards or cards reduced to a subheading to the minutes; its report is in the diagnostic. A draft may be incomplete, but not misleading.</w:t>
      </w:r>
    </w:p>
    <w:p>
      <w:pPr>
        <w:pStyle w:val="Heading1"/>
      </w:pPr>
      <w:r>
        <w:t>9. Mandatory human review</w:t>
      </w:r>
    </w:p>
    <w:p>
      <w:pPr>
        <w:pStyle w:val="ListBullet"/>
      </w:pPr>
      <w:r>
        <w:t>☐ Correct entity and scope</w:t>
      </w:r>
    </w:p>
    <w:p>
      <w:pPr>
        <w:pStyle w:val="ListBullet"/>
      </w:pPr>
      <w:r>
        <w:t>☐ Correct current date/period</w:t>
      </w:r>
    </w:p>
    <w:p>
      <w:pPr>
        <w:pStyle w:val="ListBullet"/>
      </w:pPr>
      <w:r>
        <w:t>☐ Sources and pages opened</w:t>
      </w:r>
    </w:p>
    <w:p>
      <w:pPr>
        <w:pStyle w:val="ListBullet"/>
      </w:pPr>
      <w:r>
        <w:t>☐ Calculations recomputed</w:t>
      </w:r>
    </w:p>
    <w:p>
      <w:pPr>
        <w:pStyle w:val="ListBullet"/>
      </w:pPr>
      <w:r>
        <w:t>☐ Historical conflicts understood</w:t>
      </w:r>
    </w:p>
    <w:p>
      <w:pPr>
        <w:pStyle w:val="ListBullet"/>
      </w:pPr>
      <w:r>
        <w:t>☐ Hypotheses separated from facts</w:t>
      </w:r>
    </w:p>
    <w:p>
      <w:pPr>
        <w:pStyle w:val="ListBullet"/>
      </w:pPr>
      <w:r>
        <w:t>☐ Realistic decisions and deadlines</w:t>
      </w:r>
    </w:p>
    <w:p>
      <w:pPr>
        <w:pStyle w:val="ListBullet"/>
      </w:pPr>
      <w:r>
        <w:t>☐ Confidentiality checked</w:t>
      </w:r>
    </w:p>
    <w:p>
      <w:pPr>
        <w:pStyle w:val="ListBullet"/>
      </w:pPr>
      <w:r>
        <w:t>☐ PPTX edited for client context</w:t>
      </w:r>
    </w:p>
    <w:p>
      <w:pPr>
        <w:pStyle w:val="ListBullet"/>
      </w:pPr>
      <w:r>
        <w:t>☐ Business owner approval</w:t>
      </w:r>
    </w:p>
    <w:p>
      <w:pPr>
        <w:pStyle w:val="Heading1"/>
      </w:pPr>
      <w:r>
        <w:t>10. Data, security and rights</w:t>
      </w:r>
    </w:p>
    <w:p>
      <w:r>
        <w:t>Paths, data categories, providers and deletion procedures are documented in PRIVACY_FR/EN. Minimise data, control access and check applicable roles and agreements, including a data-processing agreement where required. Local does not mean offline. The interface, storage and guards run on the computer; enabled AI providers, registries and searches receive content needed by their functions. The guards are neither anonymisation nor a firewall before transmission. The brief, excerpts and, depending on submitted context, history items may leave the computer. Check your rights and provider accounts before running.</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fill="101A4A"/>
          </w:tcPr>
          <w:p>
            <w:pPr>
              <w:keepNext/>
            </w:pPr>
            <w:r>
              <w:rPr>
                <w:b/>
                <w:color w:val="FFFFFF"/>
              </w:rPr>
              <w:t>Document</w:t>
            </w:r>
          </w:p>
        </w:tc>
        <w:tc>
          <w:tcPr>
            <w:tcW w:type="dxa" w:w="5040"/>
            <w:shd w:fill="101A4A"/>
          </w:tcPr>
          <w:p>
            <w:pPr>
              <w:keepNext/>
            </w:pPr>
            <w:r>
              <w:rPr>
                <w:b/>
                <w:color w:val="FFFFFF"/>
              </w:rPr>
              <w:t>Purpose</w:t>
            </w:r>
          </w:p>
        </w:tc>
      </w:tr>
      <w:tr>
        <w:trPr>
          <w:cantSplit/>
        </w:trPr>
        <w:tc>
          <w:tcPr>
            <w:tcW w:type="dxa" w:w="5040"/>
            <w:vAlign w:val="center"/>
          </w:tcPr>
          <w:p>
            <w:r>
              <w:t>TERMS_OF_USE_FR/EN</w:t>
            </w:r>
          </w:p>
        </w:tc>
        <w:tc>
          <w:tcPr>
            <w:tcW w:type="dxa" w:w="5040"/>
            <w:vAlign w:val="center"/>
          </w:tcPr>
          <w:p>
            <w:r>
              <w:t>use and responsibility</w:t>
            </w:r>
          </w:p>
        </w:tc>
      </w:tr>
      <w:tr>
        <w:trPr>
          <w:cantSplit/>
        </w:trPr>
        <w:tc>
          <w:tcPr>
            <w:tcW w:type="dxa" w:w="5040"/>
            <w:vAlign w:val="center"/>
          </w:tcPr>
          <w:p>
            <w:r>
              <w:t>PRIVACY_FR/EN</w:t>
            </w:r>
          </w:p>
        </w:tc>
        <w:tc>
          <w:tcPr>
            <w:tcW w:type="dxa" w:w="5040"/>
            <w:vAlign w:val="center"/>
          </w:tcPr>
          <w:p>
            <w:r>
              <w:t>data flows and rights</w:t>
            </w:r>
          </w:p>
        </w:tc>
      </w:tr>
      <w:tr>
        <w:trPr>
          <w:cantSplit/>
        </w:trPr>
        <w:tc>
          <w:tcPr>
            <w:tcW w:type="dxa" w:w="5040"/>
            <w:vAlign w:val="center"/>
          </w:tcPr>
          <w:p>
            <w:r>
              <w:t>DPA_TEMPLATE</w:t>
            </w:r>
          </w:p>
        </w:tc>
        <w:tc>
          <w:tcPr>
            <w:tcW w:type="dxa" w:w="5040"/>
            <w:vAlign w:val="center"/>
          </w:tcPr>
          <w:p>
            <w:r>
              <w:t>Template not included in the public package; request it from the publisher within the applicable contractual framework.</w:t>
            </w:r>
          </w:p>
        </w:tc>
      </w:tr>
      <w:tr>
        <w:trPr>
          <w:cantSplit/>
        </w:trPr>
        <w:tc>
          <w:tcPr>
            <w:tcW w:type="dxa" w:w="5040"/>
            <w:vAlign w:val="center"/>
          </w:tcPr>
          <w:p>
            <w:r>
              <w:t>SECURITY_FR/EN</w:t>
            </w:r>
          </w:p>
        </w:tc>
        <w:tc>
          <w:tcPr>
            <w:tcW w:type="dxa" w:w="5040"/>
            <w:vAlign w:val="center"/>
          </w:tcPr>
          <w:p>
            <w:r>
              <w:t>reporting and CRA</w:t>
            </w:r>
          </w:p>
        </w:tc>
      </w:tr>
      <w:tr>
        <w:trPr>
          <w:cantSplit/>
        </w:trPr>
        <w:tc>
          <w:tcPr>
            <w:tcW w:type="dxa" w:w="5040"/>
            <w:vAlign w:val="center"/>
          </w:tcPr>
          <w:p>
            <w:r>
              <w:t>AI_ACT_FAQ_CLIENT</w:t>
            </w:r>
          </w:p>
        </w:tc>
        <w:tc>
          <w:tcPr>
            <w:tcW w:type="dxa" w:w="5040"/>
            <w:vAlign w:val="center"/>
          </w:tcPr>
          <w:p>
            <w:r>
              <w:t>transparency and roles</w:t>
            </w:r>
          </w:p>
        </w:tc>
      </w:tr>
      <w:tr>
        <w:trPr>
          <w:cantSplit/>
        </w:trPr>
        <w:tc>
          <w:tcPr>
            <w:tcW w:type="dxa" w:w="5040"/>
            <w:vAlign w:val="center"/>
          </w:tcPr>
          <w:p>
            <w:r>
              <w:t>SBOM / THIRD_PARTY_NOTICES</w:t>
            </w:r>
          </w:p>
        </w:tc>
        <w:tc>
          <w:tcPr>
            <w:tcW w:type="dxa" w:w="5040"/>
            <w:vAlign w:val="center"/>
          </w:tcPr>
          <w:p>
            <w:r>
              <w:t>software supply chain</w:t>
            </w:r>
          </w:p>
        </w:tc>
      </w:tr>
    </w:tbl>
    <w:p>
      <w:r/>
    </w:p>
    <w:p>
      <w:pPr>
        <w:pStyle w:val="Heading1"/>
      </w:pPr>
      <w:r>
        <w:t>11. Incidents and support</w:t>
      </w:r>
    </w:p>
    <w:p>
      <w:r>
        <w:t>On error, retain diagnostics_ia.csv, the PPTX control JSON, Word/PPTX outputs, run time, build and technical log. Review the log before sharing.</w:t>
      </w:r>
    </w:p>
    <w:tbl>
      <w:tblPr>
        <w:tblW w:type="auto" w:w="0"/>
        <w:jc w:val="center"/>
        <w:tblLayout w:type="autofit"/>
        <w:tblLook w:firstColumn="1" w:firstRow="1" w:lastColumn="0" w:lastRow="0" w:noHBand="0" w:noVBand="1" w:val="04A0"/>
      </w:tblPr>
      <w:tblGrid>
        <w:gridCol w:w="10080"/>
      </w:tblGrid>
      <w:tr>
        <w:trPr>
          <w:cantSplit/>
          <w:tblHeader/>
        </w:trPr>
        <w:tc>
          <w:tcPr>
            <w:tcW w:type="dxa" w:w="10080"/>
            <w:shd w:fill="101A4A"/>
          </w:tcPr>
          <w:p>
            <w:pPr>
              <w:keepNext/>
            </w:pPr>
            <w:r>
              <w:rPr>
                <w:b/>
                <w:color w:val="FFFFFF"/>
              </w:rPr>
              <w:t>Security</w:t>
            </w:r>
          </w:p>
        </w:tc>
      </w:tr>
      <w:tr>
        <w:trPr>
          <w:cantSplit/>
        </w:trPr>
        <w:tc>
          <w:tcPr>
            <w:tcW w:type="dxa" w:w="10080"/>
            <w:shd w:fill="FFF3CD"/>
          </w:tcPr>
          <w:p>
            <w:r>
              <w:t>Vulnerability: security@vauquigneux.com (main channel), subject [SECURITY CoDIR IA]; https://robinsauzet.com/contact/ as fallback, without secrets in the first message.</w:t>
            </w:r>
          </w:p>
        </w:tc>
      </w:tr>
    </w:tbl>
    <w:p>
      <w:r/>
    </w:p>
    <w:p>
      <w:pPr>
        <w:pStyle w:val="Heading1"/>
      </w:pPr>
      <w:r>
        <w:t>12. Pre-decision/disclosure checklist</w:t>
      </w:r>
    </w:p>
    <w:p>
      <w:pPr>
        <w:pStyle w:val="ListBullet"/>
      </w:pPr>
      <w:r>
        <w:t>☐ The document remains supervised work.</w:t>
      </w:r>
    </w:p>
    <w:p>
      <w:pPr>
        <w:pStyle w:val="ListBullet"/>
      </w:pPr>
      <w:r>
        <w:t>☐ No unconfirmed figure is presented as established actuals; retained assumptions remain explicitly qualified.</w:t>
      </w:r>
    </w:p>
    <w:p>
      <w:pPr>
        <w:pStyle w:val="ListBullet"/>
      </w:pPr>
      <w:r>
        <w:t>☐ Scenarios used are readable, complete and qualified; withdrawals and their effects on reasoning have been reviewed.</w:t>
      </w:r>
    </w:p>
    <w:p>
      <w:pPr>
        <w:pStyle w:val="ListBullet"/>
      </w:pPr>
      <w:r>
        <w:t>☐ Each critical fact is checked against its value, label, dimensions and source; limitations remain visible.</w:t>
      </w:r>
    </w:p>
    <w:p>
      <w:pPr>
        <w:pStyle w:val="ListBullet"/>
      </w:pPr>
      <w:r>
        <w:t>☐ Periods and scopes are explicit.</w:t>
      </w:r>
    </w:p>
    <w:p>
      <w:pPr>
        <w:pStyle w:val="ListBullet"/>
      </w:pPr>
      <w:r>
        <w:t>☐ Personal data is minimised.</w:t>
      </w:r>
    </w:p>
    <w:p>
      <w:pPr>
        <w:pStyle w:val="ListBullet"/>
      </w:pPr>
      <w:r>
        <w:t>☐ The client received appropriate terms and notice.</w:t>
      </w:r>
    </w:p>
    <w:p>
      <w:pPr>
        <w:pStyle w:val="ListBullet"/>
      </w:pPr>
      <w:r>
        <w:t>☐ The final decision is human and recorded.</w:t>
      </w:r>
    </w:p>
    <w:p>
      <w:pPr>
        <w:pStyle w:val="Heading1"/>
      </w:pPr>
      <w:r>
        <w:t>Appendix A — Build a reproducible analysis</w:t>
      </w:r>
    </w:p>
    <w:p>
      <w:r>
        <w:t>Result quality depends less on brief length than on precise boundaries. A reproducible analysis identifies the requester, legal target, scope, knowledge date, authoritative documents, expected decision and constraints. Each change should be visible in a new run or in history.</w:t>
      </w:r>
    </w:p>
    <w:p>
      <w:pPr>
        <w:pStyle w:val="ListBullet"/>
      </w:pPr>
      <w:r>
        <w:t>Which exact entity?</w:t>
      </w:r>
    </w:p>
    <w:p>
      <w:pPr>
        <w:pStyle w:val="ListBullet"/>
      </w:pPr>
      <w:r>
        <w:t>Group or standalone company?</w:t>
      </w:r>
    </w:p>
    <w:p>
      <w:pPr>
        <w:pStyle w:val="ListBullet"/>
      </w:pPr>
      <w:r>
        <w:t>Which period is current?</w:t>
      </w:r>
    </w:p>
    <w:p>
      <w:pPr>
        <w:pStyle w:val="ListBullet"/>
      </w:pPr>
      <w:r>
        <w:t>Which data is primary?</w:t>
      </w:r>
    </w:p>
    <w:p>
      <w:pPr>
        <w:pStyle w:val="ListBullet"/>
      </w:pPr>
      <w:r>
        <w:t>Which decision is being prepared?</w:t>
      </w:r>
    </w:p>
    <w:p>
      <w:pPr>
        <w:pStyle w:val="ListBullet"/>
      </w:pPr>
      <w:r>
        <w:t>What would change the trade-off?</w:t>
      </w:r>
    </w:p>
    <w:p>
      <w:pPr>
        <w:pStyle w:val="ListBullet"/>
      </w:pPr>
      <w:r>
        <w:t>Which information must not leave the workstation?</w:t>
      </w:r>
    </w:p>
    <w:p>
      <w:pPr>
        <w:pStyle w:val="Heading1"/>
      </w:pPr>
      <w:r>
        <w:t>Appendix B — Detailed evidence-status reading</w:t>
      </w:r>
    </w:p>
    <w:p>
      <w:r>
        <w:t>Evidence asks whether the complete statement is matched to its source. Canonical role distinguishes current reference, history and post-close indication. Nature distinguishes actuals, budgets, assumptions and targets; approval status distinguishes proposals from human decisions. None of these axes substitutes for another.</w:t>
      </w:r>
    </w:p>
    <w:tbl>
      <w:tblPr>
        <w:tblStyle w:val="TableGrid"/>
        <w:tblW w:type="auto" w:w="0"/>
        <w:jc w:val="center"/>
        <w:tblLook w:firstColumn="1" w:firstRow="1" w:lastColumn="0" w:lastRow="0" w:noHBand="0" w:noVBand="1" w:val="04A0"/>
      </w:tblPr>
      <w:tblGrid>
        <w:gridCol w:w="3360"/>
        <w:gridCol w:w="3360"/>
        <w:gridCol w:w="3360"/>
      </w:tblGrid>
      <w:tr>
        <w:trPr>
          <w:cantSplit/>
          <w:tblHeader/>
        </w:trPr>
        <w:tc>
          <w:tcPr>
            <w:tcW w:type="dxa" w:w="3360"/>
            <w:shd w:fill="101A4A"/>
          </w:tcPr>
          <w:p>
            <w:pPr>
              <w:keepNext/>
            </w:pPr>
            <w:r>
              <w:rPr>
                <w:b/>
                <w:color w:val="FFFFFF"/>
              </w:rPr>
              <w:t>Proof status</w:t>
            </w:r>
          </w:p>
        </w:tc>
        <w:tc>
          <w:tcPr>
            <w:tcW w:type="dxa" w:w="3360"/>
            <w:shd w:fill="101A4A"/>
          </w:tcPr>
          <w:p>
            <w:pPr>
              <w:keepNext/>
            </w:pPr>
            <w:r>
              <w:rPr>
                <w:b/>
                <w:color w:val="FFFFFF"/>
              </w:rPr>
              <w:t>Canonical role</w:t>
            </w:r>
          </w:p>
        </w:tc>
        <w:tc>
          <w:tcPr>
            <w:tcW w:type="dxa" w:w="3360"/>
            <w:shd w:fill="101A4A"/>
          </w:tcPr>
          <w:p>
            <w:pPr>
              <w:keepNext/>
            </w:pPr>
            <w:r>
              <w:rPr>
                <w:b/>
                <w:color w:val="FFFFFF"/>
              </w:rPr>
              <w:t>Interpretation</w:t>
            </w:r>
          </w:p>
        </w:tc>
      </w:tr>
      <w:tr>
        <w:trPr>
          <w:cantSplit/>
        </w:trPr>
        <w:tc>
          <w:tcPr>
            <w:tcW w:type="dxa" w:w="3360"/>
            <w:vAlign w:val="center"/>
          </w:tcPr>
          <w:p>
            <w:r>
              <w:t>CONFIRMED_ON_PAGE</w:t>
            </w:r>
          </w:p>
        </w:tc>
        <w:tc>
          <w:tcPr>
            <w:tcW w:type="dxa" w:w="3360"/>
            <w:vAlign w:val="center"/>
          </w:tcPr>
          <w:p>
            <w:r>
              <w:t>CURRENT</w:t>
            </w:r>
          </w:p>
        </w:tc>
        <w:tc>
          <w:tcPr>
            <w:tcW w:type="dxa" w:w="3360"/>
            <w:vAlign w:val="center"/>
          </w:tcPr>
          <w:p>
            <w:r>
              <w:t>Matched current reference; verify dimensions and nature</w:t>
            </w:r>
          </w:p>
        </w:tc>
      </w:tr>
      <w:tr>
        <w:trPr>
          <w:cantSplit/>
        </w:trPr>
        <w:tc>
          <w:tcPr>
            <w:tcW w:type="dxa" w:w="3360"/>
            <w:vAlign w:val="center"/>
          </w:tcPr>
          <w:p>
            <w:r>
              <w:t>CONFIRMED_ON_PAGE</w:t>
            </w:r>
          </w:p>
        </w:tc>
        <w:tc>
          <w:tcPr>
            <w:tcW w:type="dxa" w:w="3360"/>
            <w:vAlign w:val="center"/>
          </w:tcPr>
          <w:p>
            <w:r>
              <w:t>CONTRIBUTING_HISTORY</w:t>
            </w:r>
          </w:p>
        </w:tc>
        <w:tc>
          <w:tcPr>
            <w:tcW w:type="dxa" w:w="3360"/>
            <w:vAlign w:val="center"/>
          </w:tcPr>
          <w:p>
            <w:r>
              <w:t>Proved historical comparison</w:t>
            </w:r>
          </w:p>
        </w:tc>
      </w:tr>
      <w:tr>
        <w:trPr>
          <w:cantSplit/>
        </w:trPr>
        <w:tc>
          <w:tcPr>
            <w:tcW w:type="dxa" w:w="3360"/>
            <w:vAlign w:val="center"/>
          </w:tcPr>
          <w:p>
            <w:r>
              <w:t>CONFIRMED_ON_PAGE</w:t>
            </w:r>
          </w:p>
        </w:tc>
        <w:tc>
          <w:tcPr>
            <w:tcW w:type="dxa" w:w="3360"/>
            <w:vAlign w:val="center"/>
          </w:tcPr>
          <w:p>
            <w:r>
              <w:t>POST_CLOSE_INDICATION</w:t>
            </w:r>
          </w:p>
        </w:tc>
        <w:tc>
          <w:tcPr>
            <w:tcW w:type="dxa" w:w="3360"/>
            <w:vAlign w:val="center"/>
          </w:tcPr>
          <w:p>
            <w:r>
              <w:t>Later indication, visible but not annual canonical</w:t>
            </w:r>
          </w:p>
        </w:tc>
      </w:tr>
      <w:tr>
        <w:trPr>
          <w:cantSplit/>
        </w:trPr>
        <w:tc>
          <w:tcPr>
            <w:tcW w:type="dxa" w:w="3360"/>
            <w:vAlign w:val="center"/>
          </w:tcPr>
          <w:p>
            <w:r>
              <w:t>CONFLICT</w:t>
            </w:r>
          </w:p>
        </w:tc>
        <w:tc>
          <w:tcPr>
            <w:tcW w:type="dxa" w:w="3360"/>
            <w:vAlign w:val="center"/>
          </w:tcPr>
          <w:p>
            <w:r>
              <w:t>—</w:t>
            </w:r>
          </w:p>
        </w:tc>
        <w:tc>
          <w:tcPr>
            <w:tcW w:type="dxa" w:w="3360"/>
            <w:vAlign w:val="center"/>
          </w:tcPr>
          <w:p>
            <w:r>
              <w:t>Same-identity disagreement to resolve</w:t>
            </w:r>
          </w:p>
        </w:tc>
      </w:tr>
      <w:tr>
        <w:trPr>
          <w:cantSplit/>
        </w:trPr>
        <w:tc>
          <w:tcPr>
            <w:tcW w:type="dxa" w:w="3360"/>
            <w:vAlign w:val="center"/>
          </w:tcPr>
          <w:p>
            <w:r>
              <w:t>OCR_REQUIRED</w:t>
            </w:r>
          </w:p>
        </w:tc>
        <w:tc>
          <w:tcPr>
            <w:tcW w:type="dxa" w:w="3360"/>
            <w:vAlign w:val="center"/>
          </w:tcPr>
          <w:p>
            <w:r>
              <w:t>—</w:t>
            </w:r>
          </w:p>
        </w:tc>
        <w:tc>
          <w:tcPr>
            <w:tcW w:type="dxa" w:w="3360"/>
            <w:vAlign w:val="center"/>
          </w:tcPr>
          <w:p>
            <w:r>
              <w:t>Image-only document; no automated reading</w:t>
            </w:r>
          </w:p>
        </w:tc>
      </w:tr>
    </w:tbl>
    <w:p>
      <w:r/>
    </w:p>
    <w:p>
      <w:pPr>
        <w:pStyle w:val="Heading1"/>
      </w:pPr>
      <w:r>
        <w:t>Appendix C — Derived calculations</w:t>
      </w:r>
    </w:p>
    <w:p>
      <w:r>
        <w:t>A derived calculation must expose its components, available identifiers and formula. Check definitions, currency, unit, scale, scope and coherent periods. The reader must be able to reproduce it; the DERIVED label alone does not certify it.</w:t>
      </w:r>
    </w:p>
    <w:p>
      <w:pPr>
        <w:pStyle w:val="ListBullet"/>
      </w:pPr>
      <w:r>
        <w:t>Revenue growth: two comparable consolidated revenue facts.</w:t>
      </w:r>
    </w:p>
    <w:p>
      <w:pPr>
        <w:pStyle w:val="ListBullet"/>
      </w:pPr>
      <w:r>
        <w:t>Margin: result and revenue for the same period/definition.</w:t>
      </w:r>
    </w:p>
    <w:p>
      <w:pPr>
        <w:pStyle w:val="ListBullet"/>
      </w:pPr>
      <w:r>
        <w:t>Leverage: net debt and EBITDA with coherent definitions.</w:t>
      </w:r>
    </w:p>
    <w:p>
      <w:pPr>
        <w:pStyle w:val="ListBullet"/>
      </w:pPr>
      <w:r>
        <w:t>Inventory change: comparable closing balances.</w:t>
      </w:r>
    </w:p>
    <w:p>
      <w:pPr>
        <w:pStyle w:val="ListBullet"/>
      </w:pPr>
      <w:r>
        <w:t>No constant-currency calculation without a published metric.</w:t>
      </w:r>
    </w:p>
    <w:p>
      <w:pPr>
        <w:pStyle w:val="Heading1"/>
      </w:pPr>
      <w:r>
        <w:t>Appendix D — Working scenarios (historical appendix: the current rule is in chapter 8)</w:t>
      </w:r>
    </w:p>
    <w:p>
      <w:r>
        <w:t>Historical appendix — this appendix describes an earlier state of the product, kept for the record; the current version is described in the operating path and chapter 8.</w:t>
      </w:r>
    </w:p>
    <w:p>
      <w:r>
        <w:t>Keeping principle: an unvalidated prospective number stays in place in the body of the document, highlighted and followed by “⚠ to verify — reason”, and the first-page box counts it (exceptions: personal calculations removed, Finance prudence frame — see “Deterministic guards”). This reduces anchoring bias while preserving analytical material.</w:t>
      </w:r>
    </w:p>
    <w:tbl>
      <w:tblPr>
        <w:tblStyle w:val="TableGrid"/>
        <w:tblW w:type="auto" w:w="0"/>
        <w:jc w:val="center"/>
        <w:tblLook w:firstColumn="1" w:firstRow="1" w:lastColumn="0" w:lastRow="0" w:noHBand="0" w:noVBand="1" w:val="04A0"/>
      </w:tblPr>
      <w:tblGrid>
        <w:gridCol w:w="3360"/>
        <w:gridCol w:w="3360"/>
        <w:gridCol w:w="3360"/>
      </w:tblGrid>
      <w:tr>
        <w:trPr>
          <w:cantSplit/>
          <w:tblHeader/>
        </w:trPr>
        <w:tc>
          <w:tcPr>
            <w:tcW w:type="dxa" w:w="3360"/>
            <w:shd w:fill="101A4A"/>
          </w:tcPr>
          <w:p>
            <w:pPr>
              <w:keepNext/>
            </w:pPr>
            <w:r>
              <w:rPr>
                <w:b/>
                <w:color w:val="FFFFFF"/>
              </w:rPr>
              <w:t>Item</w:t>
            </w:r>
          </w:p>
        </w:tc>
        <w:tc>
          <w:tcPr>
            <w:tcW w:type="dxa" w:w="3360"/>
            <w:shd w:fill="101A4A"/>
          </w:tcPr>
          <w:p>
            <w:pPr>
              <w:keepNext/>
            </w:pPr>
            <w:r>
              <w:rPr>
                <w:b/>
                <w:color w:val="FFFFFF"/>
              </w:rPr>
              <w:t>Main body</w:t>
            </w:r>
          </w:p>
        </w:tc>
        <w:tc>
          <w:tcPr>
            <w:tcW w:type="dxa" w:w="3360"/>
            <w:shd w:fill="101A4A"/>
          </w:tcPr>
          <w:p>
            <w:pPr>
              <w:keepNext/>
            </w:pPr>
            <w:r>
              <w:rPr>
                <w:b/>
                <w:color w:val="FFFFFF"/>
              </w:rPr>
              <w:t>Evidence register</w:t>
            </w:r>
          </w:p>
        </w:tc>
      </w:tr>
      <w:tr>
        <w:trPr>
          <w:cantSplit/>
        </w:trPr>
        <w:tc>
          <w:tcPr>
            <w:tcW w:type="dxa" w:w="3360"/>
            <w:vAlign w:val="center"/>
          </w:tcPr>
          <w:p>
            <w:r>
              <w:t>Page-confirmed fact</w:t>
            </w:r>
          </w:p>
        </w:tc>
        <w:tc>
          <w:tcPr>
            <w:tcW w:type="dxa" w:w="3360"/>
            <w:vAlign w:val="center"/>
          </w:tcPr>
          <w:p>
            <w:r>
              <w:t>Yes</w:t>
            </w:r>
          </w:p>
        </w:tc>
        <w:tc>
          <w:tcPr>
            <w:tcW w:type="dxa" w:w="3360"/>
            <w:vAlign w:val="center"/>
          </w:tcPr>
          <w:p>
            <w:r>
              <w:t>Possible reference</w:t>
            </w:r>
          </w:p>
        </w:tc>
      </w:tr>
      <w:tr>
        <w:trPr>
          <w:cantSplit/>
        </w:trPr>
        <w:tc>
          <w:tcPr>
            <w:tcW w:type="dxa" w:w="3360"/>
            <w:vAlign w:val="center"/>
          </w:tcPr>
          <w:p>
            <w:r>
              <w:t>Deterministic derivative</w:t>
            </w:r>
          </w:p>
        </w:tc>
        <w:tc>
          <w:tcPr>
            <w:tcW w:type="dxa" w:w="3360"/>
            <w:vAlign w:val="center"/>
          </w:tcPr>
          <w:p>
            <w:r>
              <w:t>Yes</w:t>
            </w:r>
          </w:p>
        </w:tc>
        <w:tc>
          <w:tcPr>
            <w:tcW w:type="dxa" w:w="3360"/>
            <w:vAlign w:val="center"/>
          </w:tcPr>
          <w:p>
            <w:r>
              <w:t>Formula and sources</w:t>
            </w:r>
          </w:p>
        </w:tc>
      </w:tr>
      <w:tr>
        <w:trPr>
          <w:cantSplit/>
        </w:trPr>
        <w:tc>
          <w:tcPr>
            <w:tcW w:type="dxa" w:w="3360"/>
            <w:vAlign w:val="center"/>
          </w:tcPr>
          <w:p>
            <w:r>
              <w:t>Qualitative hypothesis</w:t>
            </w:r>
          </w:p>
        </w:tc>
        <w:tc>
          <w:tcPr>
            <w:tcW w:type="dxa" w:w="3360"/>
            <w:vAlign w:val="center"/>
          </w:tcPr>
          <w:p>
            <w:r>
              <w:t>Yes, qualified</w:t>
            </w:r>
          </w:p>
        </w:tc>
        <w:tc>
          <w:tcPr>
            <w:tcW w:type="dxa" w:w="3360"/>
            <w:vAlign w:val="center"/>
          </w:tcPr>
          <w:p>
            <w:r>
              <w:t>Details permitted</w:t>
            </w:r>
          </w:p>
        </w:tc>
      </w:tr>
      <w:tr>
        <w:trPr>
          <w:cantSplit/>
        </w:trPr>
        <w:tc>
          <w:tcPr>
            <w:tcW w:type="dxa" w:w="3360"/>
            <w:vAlign w:val="center"/>
          </w:tcPr>
          <w:p>
            <w:r>
              <w:t>Unvalidated budget/target</w:t>
            </w:r>
          </w:p>
        </w:tc>
        <w:tc>
          <w:tcPr>
            <w:tcW w:type="dxa" w:w="3360"/>
            <w:vAlign w:val="center"/>
          </w:tcPr>
          <w:p>
            <w:r>
              <w:t>Yes, flagged in place (⚠ to verify)</w:t>
            </w:r>
          </w:p>
        </w:tc>
        <w:tc>
          <w:tcPr>
            <w:tcW w:type="dxa" w:w="3360"/>
            <w:vAlign w:val="center"/>
          </w:tcPr>
          <w:p>
            <w:r>
              <w:t>Listed</w:t>
            </w:r>
          </w:p>
        </w:tc>
      </w:tr>
      <w:tr>
        <w:trPr>
          <w:cantSplit/>
        </w:trPr>
        <w:tc>
          <w:tcPr>
            <w:tcW w:type="dxa" w:w="3360"/>
            <w:vAlign w:val="center"/>
          </w:tcPr>
          <w:p>
            <w:r>
              <w:t>Table Base/Bear/Bull</w:t>
            </w:r>
          </w:p>
        </w:tc>
        <w:tc>
          <w:tcPr>
            <w:tcW w:type="dxa" w:w="3360"/>
            <w:vAlign w:val="center"/>
          </w:tcPr>
          <w:p>
            <w:r>
              <w:t>Yes, in place with its flags</w:t>
            </w:r>
          </w:p>
        </w:tc>
        <w:tc>
          <w:tcPr>
            <w:tcW w:type="dxa" w:w="3360"/>
            <w:vAlign w:val="center"/>
          </w:tcPr>
          <w:p>
            <w:r>
              <w:t>Recorded in the evidence register</w:t>
            </w:r>
          </w:p>
        </w:tc>
      </w:tr>
    </w:tbl>
    <w:p>
      <w:r/>
    </w:p>
    <w:p>
      <w:pPr/>
      <w:r>
        <w:t>The Word file has no replacement appendix: every doubtful passage is flagged in place in the body. The scenarios and the full register of flagged passages are in the evidence file (JSON and CSV) and in the package diagnostic.</w:t>
      </w:r>
    </w:p>
    <w:p>
      <w:pPr>
        <w:pStyle w:val="Heading1"/>
      </w:pPr>
      <w:r>
        <w:t>Appendix E — Word review</w:t>
      </w:r>
    </w:p>
    <w:p>
      <w:pPr>
        <w:pStyle w:val="ListBullet"/>
      </w:pPr>
      <w:r>
        <w:t>Read the period and scope banner.</w:t>
      </w:r>
    </w:p>
    <w:p>
      <w:pPr>
        <w:pStyle w:val="ListBullet"/>
      </w:pPr>
      <w:r>
        <w:t>Open the source pages for critical facts.</w:t>
      </w:r>
    </w:p>
    <w:p>
      <w:pPr>
        <w:pStyle w:val="ListBullet"/>
      </w:pPr>
      <w:r>
        <w:t>Identify current and historical conflicts.</w:t>
      </w:r>
    </w:p>
    <w:p>
      <w:pPr>
        <w:pStyle w:val="ListBullet"/>
      </w:pPr>
      <w:r>
        <w:t>Check tables: facts versus scenarios.</w:t>
      </w:r>
    </w:p>
    <w:p>
      <w:pPr>
        <w:pStyle w:val="ListBullet"/>
      </w:pPr>
      <w:r>
        <w:t>Check the in-place reservations and the evidence register of flagged passages.</w:t>
      </w:r>
    </w:p>
    <w:p>
      <w:pPr>
        <w:pStyle w:val="ListBullet"/>
      </w:pPr>
      <w:r>
        <w:t>Redate actions and deadlines.</w:t>
      </w:r>
    </w:p>
    <w:p>
      <w:pPr>
        <w:pStyle w:val="ListBullet"/>
      </w:pPr>
      <w:r>
        <w:t>Remove sections unnecessary for the final context.</w:t>
      </w:r>
    </w:p>
    <w:p>
      <w:pPr>
        <w:pStyle w:val="ListBullet"/>
      </w:pPr>
      <w:r>
        <w:t>Add actual owners and approved decisions.</w:t>
      </w:r>
    </w:p>
    <w:p>
      <w:pPr>
        <w:pStyle w:val="Heading1"/>
      </w:pPr>
      <w:r>
        <w:t>Appendix F — Working Deck review</w:t>
      </w:r>
    </w:p>
    <w:p>
      <w:r>
        <w:t>The PPTX is a draft to prepare after reading the Word documents. Select useful messages, add visuals, repair cuts and adapt timing to the audience. An incomplete selection is not inherently wrong; it must not alter meaning or hide a material reservation. An unnecessary card may be removed.</w:t>
      </w:r>
    </w:p>
    <w:p>
      <w:pPr>
        <w:pStyle w:val="ListBullet"/>
      </w:pPr>
      <w:r>
        <w:t>10-to-15-slide (up to 18 when the material requires it) framework.</w:t>
      </w:r>
    </w:p>
    <w:p>
      <w:pPr>
        <w:pStyle w:val="ListBullet"/>
      </w:pPr>
      <w:r>
        <w:t>No unconfirmed number presented as an established fact; proposed parameters explicitly qualified.</w:t>
      </w:r>
    </w:p>
    <w:p>
      <w:pPr>
        <w:pStyle w:val="ListBullet"/>
      </w:pPr>
      <w:r>
        <w:t>For selected content, preserve meaning, values and statuses across Word, PPTX and diagnostics.</w:t>
      </w:r>
    </w:p>
    <w:p>
      <w:pPr>
        <w:pStyle w:val="ListBullet"/>
      </w:pPr>
      <w:r>
        <w:t>Complete or remove unnecessary cards; do not invent KPIs to fill the deck.</w:t>
      </w:r>
    </w:p>
    <w:p>
      <w:pPr>
        <w:pStyle w:val="ListBullet"/>
      </w:pPr>
      <w:r>
        <w:t>Qualitative Supply Chain if baseline is absent.</w:t>
      </w:r>
    </w:p>
    <w:p>
      <w:pPr>
        <w:pStyle w:val="ListBullet"/>
      </w:pPr>
      <w:r>
        <w:t>Adapt branding, messages and logo before client use.</w:t>
      </w:r>
    </w:p>
    <w:p>
      <w:pPr>
        <w:pStyle w:val="Heading1"/>
      </w:pPr>
      <w:r>
        <w:t>Appendix G — Sensitive cases and prohibited uses</w:t>
      </w:r>
    </w:p>
    <w:p>
      <w:r>
        <w:t>An intended use may become legally different because of context. Users must stop and seek review when outputs are used to decide about individuals, essential services or rights. Human oversight is not a slogan: it requires competence, time, source access and authority to change or reject the result.</w:t>
      </w:r>
    </w:p>
    <w:p>
      <w:pPr>
        <w:pStyle w:val="ListBullet"/>
      </w:pPr>
      <w:r>
        <w:t>Recruitment and individual assessment.</w:t>
      </w:r>
    </w:p>
    <w:p>
      <w:pPr>
        <w:pStyle w:val="ListBullet"/>
      </w:pPr>
      <w:r>
        <w:t>Credit, insurance or essential-service access.</w:t>
      </w:r>
    </w:p>
    <w:p>
      <w:pPr>
        <w:pStyle w:val="ListBullet"/>
      </w:pPr>
      <w:r>
        <w:t>Health, safety or diagnosis.</w:t>
      </w:r>
    </w:p>
    <w:p>
      <w:pPr>
        <w:pStyle w:val="ListBullet"/>
      </w:pPr>
      <w:r>
        <w:t>Biometric or behavioural surveillance.</w:t>
      </w:r>
    </w:p>
    <w:p>
      <w:pPr>
        <w:pStyle w:val="ListBullet"/>
      </w:pPr>
      <w:r>
        <w:t>Classified, defence-secret or medical-secret data.</w:t>
      </w:r>
    </w:p>
    <w:p>
      <w:pPr>
        <w:pStyle w:val="ListBullet"/>
      </w:pPr>
      <w:r>
        <w:t>Automated decision without meaningful intervention.</w:t>
      </w:r>
    </w:p>
    <w:p>
      <w:pPr>
        <w:pStyle w:val="Heading1"/>
      </w:pPr>
      <w:r>
        <w:t>Appendix H — Audit pack and retention</w:t>
      </w:r>
    </w:p>
    <w:p>
      <w:r>
        <w:t>For important cases, retain the ZIP and external SHA, exact brief, attachment manifest, configuration, diagnostics, CONTROLE_LIVRAISON.json where available, PPTX checks, three deliverables and human decisions. A package may contain data omitted from the documents: check its confidentiality.</w:t>
      </w:r>
    </w:p>
    <w:tbl>
      <w:tblPr>
        <w:tblStyle w:val="TableGrid"/>
        <w:tblW w:type="auto" w:w="0"/>
        <w:jc w:val="center"/>
        <w:tblLook w:firstColumn="1" w:firstRow="1" w:lastColumn="0" w:lastRow="0" w:noHBand="0" w:noVBand="1" w:val="04A0"/>
      </w:tblPr>
      <w:tblGrid>
        <w:gridCol w:w="3360"/>
        <w:gridCol w:w="3360"/>
        <w:gridCol w:w="3360"/>
      </w:tblGrid>
      <w:tr>
        <w:trPr>
          <w:cantSplit/>
          <w:tblHeader/>
        </w:trPr>
        <w:tc>
          <w:tcPr>
            <w:tcW w:type="dxa" w:w="3360"/>
            <w:shd w:fill="101A4A"/>
          </w:tcPr>
          <w:p>
            <w:pPr>
              <w:keepNext/>
            </w:pPr>
            <w:r>
              <w:rPr>
                <w:b/>
                <w:color w:val="FFFFFF"/>
              </w:rPr>
              <w:t>Artefact</w:t>
            </w:r>
          </w:p>
        </w:tc>
        <w:tc>
          <w:tcPr>
            <w:tcW w:type="dxa" w:w="3360"/>
            <w:shd w:fill="101A4A"/>
          </w:tcPr>
          <w:p>
            <w:pPr>
              <w:keepNext/>
            </w:pPr>
            <w:r>
              <w:rPr>
                <w:b/>
                <w:color w:val="FFFFFF"/>
              </w:rPr>
              <w:t>Why</w:t>
            </w:r>
          </w:p>
        </w:tc>
        <w:tc>
          <w:tcPr>
            <w:tcW w:type="dxa" w:w="3360"/>
            <w:shd w:fill="101A4A"/>
          </w:tcPr>
          <w:p>
            <w:pPr>
              <w:keepNext/>
            </w:pPr>
            <w:r>
              <w:rPr>
                <w:b/>
                <w:color w:val="FFFFFF"/>
              </w:rPr>
              <w:t>Confidentiality</w:t>
            </w:r>
          </w:p>
        </w:tc>
      </w:tr>
      <w:tr>
        <w:trPr>
          <w:cantSplit/>
        </w:trPr>
        <w:tc>
          <w:tcPr>
            <w:tcW w:type="dxa" w:w="3360"/>
            <w:vAlign w:val="center"/>
          </w:tcPr>
          <w:p>
            <w:r>
              <w:t>ZIP + SHA</w:t>
            </w:r>
          </w:p>
        </w:tc>
        <w:tc>
          <w:tcPr>
            <w:tcW w:type="dxa" w:w="3360"/>
            <w:vAlign w:val="center"/>
          </w:tcPr>
          <w:p>
            <w:r>
              <w:t>Reproducibility</w:t>
            </w:r>
          </w:p>
        </w:tc>
        <w:tc>
          <w:tcPr>
            <w:tcW w:type="dxa" w:w="3360"/>
            <w:vAlign w:val="center"/>
          </w:tcPr>
          <w:p>
            <w:r>
              <w:t>Internal</w:t>
            </w:r>
          </w:p>
        </w:tc>
      </w:tr>
      <w:tr>
        <w:trPr>
          <w:cantSplit/>
        </w:trPr>
        <w:tc>
          <w:tcPr>
            <w:tcW w:type="dxa" w:w="3360"/>
            <w:vAlign w:val="center"/>
          </w:tcPr>
          <w:p>
            <w:r>
              <w:t>Brief + attachments</w:t>
            </w:r>
          </w:p>
        </w:tc>
        <w:tc>
          <w:tcPr>
            <w:tcW w:type="dxa" w:w="3360"/>
            <w:vAlign w:val="center"/>
          </w:tcPr>
          <w:p>
            <w:r>
              <w:t>Context and evidence</w:t>
            </w:r>
          </w:p>
        </w:tc>
        <w:tc>
          <w:tcPr>
            <w:tcW w:type="dxa" w:w="3360"/>
            <w:vAlign w:val="center"/>
          </w:tcPr>
          <w:p>
            <w:r>
              <w:t>According to client classification</w:t>
            </w:r>
          </w:p>
        </w:tc>
      </w:tr>
      <w:tr>
        <w:trPr>
          <w:cantSplit/>
        </w:trPr>
        <w:tc>
          <w:tcPr>
            <w:tcW w:type="dxa" w:w="3360"/>
            <w:vAlign w:val="center"/>
          </w:tcPr>
          <w:p>
            <w:r>
              <w:t>Diagnostics</w:t>
            </w:r>
          </w:p>
        </w:tc>
        <w:tc>
          <w:tcPr>
            <w:tcW w:type="dxa" w:w="3360"/>
            <w:vAlign w:val="center"/>
          </w:tcPr>
          <w:p>
            <w:r>
              <w:t>Gate traceability</w:t>
            </w:r>
          </w:p>
        </w:tc>
        <w:tc>
          <w:tcPr>
            <w:tcW w:type="dxa" w:w="3360"/>
            <w:vAlign w:val="center"/>
          </w:tcPr>
          <w:p>
            <w:r>
              <w:t>Review before sharing</w:t>
            </w:r>
          </w:p>
        </w:tc>
      </w:tr>
      <w:tr>
        <w:trPr>
          <w:cantSplit/>
        </w:trPr>
        <w:tc>
          <w:tcPr>
            <w:tcW w:type="dxa" w:w="3360"/>
            <w:vAlign w:val="center"/>
          </w:tcPr>
          <w:p>
            <w:r>
              <w:t>Word/PPTX</w:t>
            </w:r>
          </w:p>
        </w:tc>
        <w:tc>
          <w:tcPr>
            <w:tcW w:type="dxa" w:w="3360"/>
            <w:vAlign w:val="center"/>
          </w:tcPr>
          <w:p>
            <w:r>
              <w:t>Working output</w:t>
            </w:r>
          </w:p>
        </w:tc>
        <w:tc>
          <w:tcPr>
            <w:tcW w:type="dxa" w:w="3360"/>
            <w:vAlign w:val="center"/>
          </w:tcPr>
          <w:p>
            <w:r>
              <w:t>Human review</w:t>
            </w:r>
          </w:p>
        </w:tc>
      </w:tr>
      <w:tr>
        <w:trPr>
          <w:cantSplit/>
        </w:trPr>
        <w:tc>
          <w:tcPr>
            <w:tcW w:type="dxa" w:w="3360"/>
            <w:vAlign w:val="center"/>
          </w:tcPr>
          <w:p>
            <w:r>
              <w:t>Decision log</w:t>
            </w:r>
          </w:p>
        </w:tc>
        <w:tc>
          <w:tcPr>
            <w:tcW w:type="dxa" w:w="3360"/>
            <w:vAlign w:val="center"/>
          </w:tcPr>
          <w:p>
            <w:r>
              <w:t>Accountability</w:t>
            </w:r>
          </w:p>
        </w:tc>
        <w:tc>
          <w:tcPr>
            <w:tcW w:type="dxa" w:w="3360"/>
            <w:vAlign w:val="center"/>
          </w:tcPr>
          <w:p>
            <w:r>
              <w:t>Restricted access</w:t>
            </w:r>
          </w:p>
        </w:tc>
      </w:tr>
    </w:tbl>
    <w:p>
      <w:r/>
    </w:p>
    <w:p>
      <w:pPr>
        <w:pStyle w:val="Heading1"/>
      </w:pPr>
      <w:r>
        <w:t>Appendix I — Operational glossary</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fill="101A4A"/>
          </w:tcPr>
          <w:p>
            <w:pPr>
              <w:keepNext/>
            </w:pPr>
            <w:r>
              <w:rPr>
                <w:b/>
                <w:color w:val="FFFFFF"/>
              </w:rPr>
              <w:t>Term</w:t>
            </w:r>
          </w:p>
        </w:tc>
        <w:tc>
          <w:tcPr>
            <w:tcW w:type="dxa" w:w="5040"/>
            <w:shd w:fill="101A4A"/>
          </w:tcPr>
          <w:p>
            <w:pPr>
              <w:keepNext/>
            </w:pPr>
            <w:r>
              <w:rPr>
                <w:b/>
                <w:color w:val="FFFFFF"/>
              </w:rPr>
              <w:t>Definition</w:t>
            </w:r>
          </w:p>
        </w:tc>
      </w:tr>
      <w:tr>
        <w:trPr>
          <w:cantSplit/>
        </w:trPr>
        <w:tc>
          <w:tcPr>
            <w:tcW w:type="dxa" w:w="5040"/>
            <w:vAlign w:val="center"/>
          </w:tcPr>
          <w:p>
            <w:r>
              <w:t>Board Scrutiny</w:t>
            </w:r>
          </w:p>
        </w:tc>
        <w:tc>
          <w:tcPr>
            <w:tcW w:type="dxa" w:w="5040"/>
            <w:vAlign w:val="center"/>
          </w:tcPr>
          <w:p>
            <w:r>
              <w:t>Enhanced prudence mode</w:t>
            </w:r>
          </w:p>
        </w:tc>
      </w:tr>
      <w:tr>
        <w:trPr>
          <w:cantSplit/>
        </w:trPr>
        <w:tc>
          <w:tcPr>
            <w:tcW w:type="dxa" w:w="5040"/>
            <w:vAlign w:val="center"/>
          </w:tcPr>
          <w:p>
            <w:r>
              <w:t>Canonical claim</w:t>
            </w:r>
          </w:p>
        </w:tc>
        <w:tc>
          <w:tcPr>
            <w:tcW w:type="dxa" w:w="5040"/>
            <w:vAlign w:val="center"/>
          </w:tcPr>
          <w:p>
            <w:r>
              <w:t>Identified object: value, metric, entity, nature, dimensions, source and evidence</w:t>
            </w:r>
          </w:p>
        </w:tc>
      </w:tr>
      <w:tr>
        <w:trPr>
          <w:cantSplit/>
        </w:trPr>
        <w:tc>
          <w:tcPr>
            <w:tcW w:type="dxa" w:w="5040"/>
            <w:vAlign w:val="center"/>
          </w:tcPr>
          <w:p>
            <w:r>
              <w:t>Fail-closed</w:t>
            </w:r>
          </w:p>
        </w:tc>
        <w:tc>
          <w:tcPr>
            <w:tcW w:type="dxa" w:w="5040"/>
            <w:vAlign w:val="center"/>
          </w:tcPr>
          <w:p>
            <w:r>
              <w:t>Precautionary principle: do not assert without adequate qualification; not a global guarantee</w:t>
            </w:r>
          </w:p>
        </w:tc>
      </w:tr>
      <w:tr>
        <w:trPr>
          <w:cantSplit/>
        </w:trPr>
        <w:tc>
          <w:tcPr>
            <w:tcW w:type="dxa" w:w="5040"/>
            <w:vAlign w:val="center"/>
          </w:tcPr>
          <w:p>
            <w:r>
              <w:t>Fidelity Gate</w:t>
            </w:r>
          </w:p>
        </w:tc>
        <w:tc>
          <w:tcPr>
            <w:tcW w:type="dxa" w:w="5040"/>
            <w:vAlign w:val="center"/>
          </w:tcPr>
          <w:p>
            <w:r>
              <w:t>Matching check; does not by itself certify the fact</w:t>
            </w:r>
          </w:p>
        </w:tc>
      </w:tr>
      <w:tr>
        <w:trPr>
          <w:cantSplit/>
        </w:trPr>
        <w:tc>
          <w:tcPr>
            <w:tcW w:type="dxa" w:w="5040"/>
            <w:vAlign w:val="center"/>
          </w:tcPr>
          <w:p>
            <w:r>
              <w:t>Working Deck</w:t>
            </w:r>
          </w:p>
        </w:tc>
        <w:tc>
          <w:tcPr>
            <w:tcW w:type="dxa" w:w="5040"/>
            <w:vAlign w:val="center"/>
          </w:tcPr>
          <w:p>
            <w:r>
              <w:t>Editable draft prepared after reading the two Word documents</w:t>
            </w:r>
          </w:p>
        </w:tc>
      </w:tr>
      <w:tr>
        <w:trPr>
          <w:cantSplit/>
        </w:trPr>
        <w:tc>
          <w:tcPr>
            <w:tcW w:type="dxa" w:w="5040"/>
            <w:vAlign w:val="center"/>
          </w:tcPr>
          <w:p>
            <w:r>
              <w:t>Evidence register</w:t>
            </w:r>
          </w:p>
        </w:tc>
        <w:tc>
          <w:tcPr>
            <w:tcW w:type="dxa" w:w="5040"/>
            <w:vAlign w:val="center"/>
          </w:tcPr>
          <w:p>
            <w:r>
              <w:t>Inventory of flagged passages and applied treatments; inclusion in the register does not mean removal from the body.</w:t>
            </w:r>
          </w:p>
        </w:tc>
      </w:tr>
      <w:tr>
        <w:trPr>
          <w:cantSplit/>
        </w:trPr>
        <w:tc>
          <w:tcPr>
            <w:tcW w:type="dxa" w:w="5040"/>
            <w:vAlign w:val="center"/>
          </w:tcPr>
          <w:p>
            <w:r>
              <w:t>Temporal authority</w:t>
            </w:r>
          </w:p>
        </w:tc>
        <w:tc>
          <w:tcPr>
            <w:tcW w:type="dxa" w:w="5040"/>
            <w:vAlign w:val="center"/>
          </w:tcPr>
          <w:p>
            <w:r>
              <w:t>Date/period governing the analysis</w:t>
            </w:r>
          </w:p>
        </w:tc>
      </w:tr>
    </w:tbl>
    <w:p>
      <w:r/>
    </w:p>
    <w:p>
      <w:pPr/>
      <w:r>
        <w:t>Last known dated figure — most recent known actual value, shown with its fiscal year and source; “last published” when a more recent year has closed but is not yet published.</w:t>
      </w:r>
    </w:p>
    <w:p>
      <w:pPr/>
      <w:r>
        <w:t>Contradicted by the filings — agent value that differs from a public filing (SEC, filed accounts); the filed value is shown.</w:t>
      </w:r>
    </w:p>
    <w:p>
      <w:pPr/>
      <w:r>
        <w:t>Carry-over — action from a previous session recognised in the current one, even reworded; it keeps its identity and history.</w:t>
      </w:r>
    </w:p>
    <w:p>
      <w:pPr/>
      <w:r>
        <w:t>Brief status — status the leader writes in the brief (completed, postponed to …, dropped); the only source that closes or postpones an action.</w:t>
      </w:r>
    </w:p>
    <w:p>
      <w:pPr>
        <w:pStyle w:val="Heading1"/>
      </w:pPr>
      <w:r>
        <w:t>Appendix J — Debrief questions</w:t>
      </w:r>
    </w:p>
    <w:p>
      <w:pPr>
        <w:pStyle w:val="ListBullet"/>
      </w:pPr>
      <w:r>
        <w:t>What was actually proved?</w:t>
      </w:r>
    </w:p>
    <w:p>
      <w:pPr>
        <w:pStyle w:val="ListBullet"/>
      </w:pPr>
      <w:r>
        <w:t>What remains hypothetical?</w:t>
      </w:r>
    </w:p>
    <w:p>
      <w:pPr>
        <w:pStyle w:val="ListBullet"/>
      </w:pPr>
      <w:r>
        <w:t>Which decision is better prepared?</w:t>
      </w:r>
    </w:p>
    <w:p>
      <w:pPr>
        <w:pStyle w:val="ListBullet"/>
      </w:pPr>
      <w:r>
        <w:t>Which data would change the analysis?</w:t>
      </w:r>
    </w:p>
    <w:p>
      <w:pPr>
        <w:pStyle w:val="ListBullet"/>
      </w:pPr>
      <w:r>
        <w:t>Which signal deserves weekly monitoring?</w:t>
      </w:r>
    </w:p>
    <w:p>
      <w:pPr>
        <w:pStyle w:val="ListBullet"/>
      </w:pPr>
      <w:r>
        <w:t>Which pages or slides must be rewritten before a client?</w:t>
      </w:r>
    </w:p>
    <w:p>
      <w:pPr>
        <w:pStyle w:val="ListBullet"/>
      </w:pPr>
      <w:r>
        <w:t>Which bias or anchoring risk remains?</w:t>
      </w:r>
    </w:p>
    <w:p>
      <w:pPr>
        <w:pStyle w:val="ListBullet"/>
      </w:pPr>
      <w:r>
        <w:t>Who owns the final decision?</w:t>
      </w:r>
    </w:p>
    <w:p>
      <w:pPr>
        <w:pStyle w:val="Heading1"/>
      </w:pPr>
      <w:r>
        <w:t>Appendix K — Strategic challenge method</w:t>
      </w:r>
    </w:p>
    <w:p>
      <w:r>
        <w:t>The professional’s role is not limited to correcting numbers. Challenge causality, materiality, pace and governance. A recommendation may be factually compatible but strategically weak if it fails to rank options or ignores execution capacity. For each direction, state the hypothesis, causal mechanism, expected outcome, failure risk, leading indicator and decision point.</w:t>
      </w:r>
    </w:p>
    <w:p>
      <w:r>
        <w:t>The best use of CoDIR IA is iterative: initial framing, collection of missing data, a narrower second analysis, then human decision preparation. Repeating runs without enriching the evidence often creates apparent precision rather than a better decision.</w:t>
      </w:r>
    </w:p>
    <w:p>
      <w:pPr>
        <w:pStyle w:val="ListBullet"/>
      </w:pPr>
      <w:r>
        <w:t>Which issues have the highest impact and least reversibility?</w:t>
      </w:r>
    </w:p>
    <w:p>
      <w:pPr>
        <w:pStyle w:val="ListBullet"/>
      </w:pPr>
      <w:r>
        <w:t>Which critical assumption is least proved?</w:t>
      </w:r>
    </w:p>
    <w:p>
      <w:pPr>
        <w:pStyle w:val="ListBullet"/>
      </w:pPr>
      <w:r>
        <w:t>Which signal would stop or accelerate the action?</w:t>
      </w:r>
    </w:p>
    <w:p>
      <w:pPr>
        <w:pStyle w:val="ListBullet"/>
      </w:pPr>
      <w:r>
        <w:t>Which owner actually has execution resources?</w:t>
      </w:r>
    </w:p>
    <w:p>
      <w:pPr>
        <w:pStyle w:val="ListBullet"/>
      </w:pPr>
      <w:r>
        <w:t>Which cross-functional conflict needs executive arbitration?</w:t>
      </w:r>
    </w:p>
    <w:p>
      <w:pPr>
        <w:pStyle w:val="Heading1"/>
      </w:pPr>
      <w:r>
        <w:t>Appendix L — Supervised financial analysis</w:t>
      </w:r>
    </w:p>
    <w:p>
      <w:r>
        <w:t>An annual account does not by itself establish a group position. Verify document type, company, standalone/consolidated scope, currency, scale, period and definitions. Adjusted measures must be separated from statutory measures. IFRS 16, leases, exceptional items and restatements may create legitimate differences.</w:t>
      </w:r>
    </w:p>
    <w:p>
      <w:r>
        <w:t>Projections should start from a closed baseline and explicit bridge. Base/Bear/Bull scenarios and their unsupported quantities remain in place with their flags and are recorded in the evidence register; their presence is neither validation nor approval. Removal or replacement exceptions are those described in the “Deterministic guards” section. The CFO or consultant turns hypotheses into a controlled model with sensitivities and covenant limits.</w:t>
      </w:r>
    </w:p>
    <w:p>
      <w:pPr>
        <w:pStyle w:val="ListBullet"/>
      </w:pPr>
      <w:r>
        <w:t>Compare revenue, margin, cash, debt and FCF on homogeneous periods.</w:t>
      </w:r>
    </w:p>
    <w:p>
      <w:pPr>
        <w:pStyle w:val="ListBullet"/>
      </w:pPr>
      <w:r>
        <w:t>Check signs for parenthesised values.</w:t>
      </w:r>
    </w:p>
    <w:p>
      <w:pPr>
        <w:pStyle w:val="ListBullet"/>
      </w:pPr>
      <w:r>
        <w:t>Do not mix gross cash, cash net of overdrafts and net debt.</w:t>
      </w:r>
    </w:p>
    <w:p>
      <w:pPr>
        <w:pStyle w:val="ListBullet"/>
      </w:pPr>
      <w:r>
        <w:t>Distinguish adjusted EBITDA, post-IFRS 16 EBITDA and operating profit.</w:t>
      </w:r>
    </w:p>
    <w:p>
      <w:pPr>
        <w:pStyle w:val="ListBullet"/>
      </w:pPr>
      <w:r>
        <w:t>Document formula and source for every decision KPI.</w:t>
      </w:r>
    </w:p>
    <w:p>
      <w:pPr>
        <w:pStyle w:val="Heading1"/>
      </w:pPr>
      <w:r>
        <w:t>Appendix M — Supervised Supply Chain analysis</w:t>
      </w:r>
    </w:p>
    <w:p>
      <w:r>
        <w:t>Without operational data, Supply Chain remains qualitative. Unmeasured 4/10 or 6/10 scores are prohibited. Establish baselines first: OTIF, service rate, forecast accuracy, coverage, ageing, turns, lead time, supplier reliability, capacity and cost-to-serve.</w:t>
      </w:r>
    </w:p>
    <w:p>
      <w:r>
        <w:t>Supply-chain tensions are often trade-offs: service versus cash, assortment versus complexity, resilience versus cost, speed versus margin. Expose the trade-off and required data rather than inventing a target.</w:t>
      </w:r>
    </w:p>
    <w:p>
      <w:pPr>
        <w:pStyle w:val="ListBullet"/>
      </w:pPr>
      <w:r>
        <w:t>Separate total stock from stock quality.</w:t>
      </w:r>
    </w:p>
    <w:p>
      <w:pPr>
        <w:pStyle w:val="ListBullet"/>
      </w:pPr>
      <w:r>
        <w:t>Identify core and seasonal SKUs.</w:t>
      </w:r>
    </w:p>
    <w:p>
      <w:pPr>
        <w:pStyle w:val="ListBullet"/>
      </w:pPr>
      <w:r>
        <w:t>Measure service by channel and region.</w:t>
      </w:r>
    </w:p>
    <w:p>
      <w:pPr>
        <w:pStyle w:val="ListBullet"/>
      </w:pPr>
      <w:r>
        <w:t>Link buying decisions to cash and markdowns.</w:t>
      </w:r>
    </w:p>
    <w:p>
      <w:pPr>
        <w:pStyle w:val="ListBullet"/>
      </w:pPr>
      <w:r>
        <w:t>Distinguish capacity, allocation and forecasting issues.</w:t>
      </w:r>
    </w:p>
    <w:p>
      <w:pPr>
        <w:pStyle w:val="Heading1"/>
      </w:pPr>
      <w:r>
        <w:t>Appendix N — Supervised commercial and marketing analysis</w:t>
      </w:r>
    </w:p>
    <w:p>
      <w:r>
        <w:t>Commercial targets may be proposed as assumptions for decision. To make them operational, establish a baseline, definition, period and required resources. A sector benchmark is not automatically a company target; a declared target is not actual performance.</w:t>
      </w:r>
    </w:p>
    <w:p>
      <w:r>
        <w:t>Marketing analysis should distinguish brand strategy, activation, distribution, customer, channel and economics. A sound recommendation may still be infeasible if margin, capacity or cash cannot support it.</w:t>
      </w:r>
    </w:p>
    <w:p>
      <w:pPr>
        <w:pStyle w:val="ListBullet"/>
      </w:pPr>
      <w:r>
        <w:t>Establish revenue and margin by channel.</w:t>
      </w:r>
    </w:p>
    <w:p>
      <w:pPr>
        <w:pStyle w:val="ListBullet"/>
      </w:pPr>
      <w:r>
        <w:t>Qualify pipeline stages.</w:t>
      </w:r>
    </w:p>
    <w:p>
      <w:pPr>
        <w:pStyle w:val="ListBullet"/>
      </w:pPr>
      <w:r>
        <w:t>Measure acquisition, conversion, retention and basket.</w:t>
      </w:r>
    </w:p>
    <w:p>
      <w:pPr>
        <w:pStyle w:val="ListBullet"/>
      </w:pPr>
      <w:r>
        <w:t>Link budget to an objective and ROI measure.</w:t>
      </w:r>
    </w:p>
    <w:p>
      <w:pPr>
        <w:pStyle w:val="ListBullet"/>
      </w:pPr>
      <w:r>
        <w:t>Document portfolio, pricing and distribution decisions.</w:t>
      </w:r>
    </w:p>
    <w:p>
      <w:pPr>
        <w:pStyle w:val="Heading1"/>
      </w:pPr>
      <w:r>
        <w:t>Appendix O — Decision governance</w:t>
      </w:r>
    </w:p>
    <w:p>
      <w:r>
        <w:t>A useful work product states what is decided, what remains to arbitrate, who owns the action, when review occurs and which evidence closes it. Statuses must never simulate a human decision. An action closes only after explicit validation.</w:t>
      </w:r>
    </w:p>
    <w:p>
      <w:r>
        <w:t>A decision meeting separates understanding, challenge and arbitration. The deck provides a short surface; Word and annexes support questions. Final decisions and reservations belong in the organisation’s governance system, not only in an AI deliverable.</w:t>
      </w:r>
    </w:p>
    <w:p>
      <w:pPr>
        <w:pStyle w:val="ListBullet"/>
      </w:pPr>
      <w:r>
        <w:t>Decision / owner / date / success criterion.</w:t>
      </w:r>
    </w:p>
    <w:p>
      <w:pPr>
        <w:pStyle w:val="ListBullet"/>
      </w:pPr>
      <w:r>
        <w:t>Risk accepted or mitigated.</w:t>
      </w:r>
    </w:p>
    <w:p>
      <w:pPr>
        <w:pStyle w:val="ListBullet"/>
      </w:pPr>
      <w:r>
        <w:t>Missing data and collection owner.</w:t>
      </w:r>
    </w:p>
    <w:p>
      <w:pPr>
        <w:pStyle w:val="ListBullet"/>
      </w:pPr>
      <w:r>
        <w:t>Next review and escalation rule.</w:t>
      </w:r>
    </w:p>
    <w:p>
      <w:pPr>
        <w:pStyle w:val="ListBullet"/>
      </w:pPr>
      <w:r>
        <w:t>Record of human review and version used.</w:t>
      </w:r>
    </w:p>
    <w:p>
      <w:pPr>
        <w:pStyle w:val="Heading1"/>
      </w:pPr>
      <w:r>
        <w:t>Final release review</w:t>
      </w:r>
    </w:p>
    <w:p>
      <w:r>
        <w:t>Detailed review checks sentences containing several numbers, calculations and consistency between analysis and synthesis. Match each value to its metric, period, sign, currency, scale and scope. Read tables by rows and columns. Retain useful assumptions with their reservations; removing a number must not leave a recommendation based on it. In the PPTX, check the selected material rather than demand Word-level completeness.</w:t>
      </w:r>
    </w:p>
    <w:p>
      <w:r>
        <w:t>Evidence quality and decision quality must be reviewed separately. A document may be useful for framing while still lacking sufficient evidence for an approval. Conversely, a well-sourced document may be strategically weak if it does not reveal the real trade-off. The reviewer should therefore score the cost of human rework: how many claims require source opening, which tables need rebuilding, which questions remain unanswered and whether the executive summary points to the same decision as the detailed sections. The objective is not to maximise the amount of text but to minimise the time required to reach a defensible judgement.</w:t>
      </w:r>
    </w:p>
    <w:p>
      <w:r>
        <w:t>When preparing a client-facing version, remove technical diagnostics that do not help the audience, but do not remove reservations that affect the decision. Replace generic retained-number fallbacks with a concise explanation and a link to the annex. Confirm that every metric card uses the correct accounting label. For example, adjusted operating margin is not EBITDA margin, and a page-confirmed revenue fact is not “indicative”. Update owners and deadlines from the actual governance meeting and keep an audit copy of the original working output.</w:t>
      </w:r>
    </w:p>
    <w:p>
      <w:r>
        <w:t>The final professional must also review the external context. Public web sources can be current but inconsistent in period or perimeter. Registry metadata may be newer than the financial content actually parsed. A source’s authority does not make every interpretation correct. Use primary documents for critical facts, note the publication date, distinguish reported from constant-currency growth, and avoid combining market benchmarks with company targets unless the bridge is explicit.</w:t>
      </w:r>
    </w:p>
    <w:p>
      <w:r>
        <w:t>Before handover, record material reservations, assumptions, unresolved conflicts and decisions actually approved. A zero-anomaly check remains a check result, not certification. Presentation editing is normal; substantive distortion must be corrected in the affected document. Retain the initial version and human approval of the version sent.</w:t>
      </w:r>
    </w:p>
    <w:p>
      <w:r>
        <w:t>Record the release build, the reviewed artefacts, the reviewer identity, the acceptance date and any residual limitation that remains open after approval. This short record supports accountability and prevents a later draft from being mistaken for the approved work product.</w:t>
      </w:r>
    </w:p>
    <w:p>
      <w:pPr>
        <w:pStyle w:val="Heading1"/>
      </w:pPr>
      <w:r>
        <w:t>Appendix — Temporal and canonical fact authority</w:t>
      </w:r>
    </w:p>
    <w:p>
      <w:r>
        <w:t>Historical appendix — this appendix describes an earlier state of the product, kept for reference; the current version is described in the operating path and chapter 8.</w:t>
      </w:r>
    </w:p>
    <w:p>
      <w:r>
        <w:t>Analysis date format: YYYY-MM-DD (example: 2023-02-15). This is the only accepted format; the adoption button in the banner fills it in for you from your brief.</w:t>
      </w:r>
    </w:p>
    <w:p>
      <w:r>
        <w:t>Historical appendix — this appendix describes an earlier state of the product, kept for traceability. The current rules are those of the chapters above.</w:t>
      </w:r>
    </w:p>
    <w:p>
      <w:r>
        <w:t>Current build: v17.4.3.62.13.9.4.65-M6B-B1.3.62.13.9.4.65. Executive numbers are authorised only by a fact confirmed on a page of an attachment or in a registry, or by a calculation from confirmed facts that shows its formula; FACT tags, sources and page tokens are not standalone evidence. Allowed horizons come from the current run Temporal Core. OCR is not included in v17.</w:t>
      </w:r>
    </w:p>
    <w:p>
      <w:pPr>
        <w:pStyle w:val="ListBullet"/>
      </w:pPr>
      <w:r>
        <w:t>For the current doctrine, see “Facts, hypotheses and scenarios” in the operating path; FACT labels, filenames and page tokens do not authorise a number without a matching canonical claim.</w:t>
      </w:r>
    </w:p>
    <w:p>
      <w:pPr>
        <w:pStyle w:val="ListBullet"/>
      </w:pPr>
      <w:r>
        <w:t>Legal claim gate: a headcount band is not converted into an exact figure, legal threshold or HR recommendation.</w:t>
      </w:r>
    </w:p>
    <w:p>
      <w:pPr>
        <w:pStyle w:val="ListBullet"/>
      </w:pPr>
      <w:r>
        <w:t>Document tri-state: text extracted, partially extractable or OCR required.</w:t>
      </w:r>
    </w:p>
    <w:p>
      <w:pPr>
        <w:pStyle w:val="ListBullet"/>
      </w:pPr>
      <w:r>
        <w:t>Cards explicitly distinguish Pappers social figures from group consolidated accounts.</w:t>
      </w:r>
    </w:p>
    <w:p>
      <w:pPr>
        <w:pStyle w:val="ListBullet"/>
      </w:pPr>
      <w:r>
        <w:t>Trends require two admissible ledger facts; planning dates remain visible.</w:t>
      </w:r>
    </w:p>
    <w:p>
      <w:pPr>
        <w:pStyle w:val="ListBullet"/>
      </w:pPr>
      <w:r>
        <w:t>Diagnostics separate technical execution grade from work-product usability.</w:t>
      </w:r>
    </w:p>
    <w:p>
      <w:pPr>
        <w:pStyle w:val="ListBullet"/>
      </w:pPr>
      <w:r>
        <w:t>Human review remains mandatory; native tests, signing and scan status: see the release notes.</w:t>
      </w:r>
    </w:p>
    <w:p>
      <w:r>
        <w:t>v17.4.3.62.13.9.4.65-M6B-B1.3.62.13.9.4.65</w:t>
      </w:r>
    </w:p>
    <w:p>
      <w:pPr>
        <w:pStyle w:val="Heading1"/>
      </w:pPr>
      <w:r>
        <w:t>Appendix — PowerPoint draft title integrity</w:t>
      </w:r>
    </w:p>
    <w:p>
      <w:r>
        <w:t>Historical appendix — this appendix describes an earlier state of the product, kept for the record; the current version is described in the operating path and chapter 8.</w:t>
      </w:r>
    </w:p>
    <w:p>
      <w:r>
        <w:t>Full commercial text is preserved until rendering. Any pre-truncated HCRIT executive title is replaced with a complete qualitative wording before the final-byte audit; the UI distinguishes OOXML corruption, a truncated title and other major unreadability.</w:t>
      </w:r>
    </w:p>
    <w:p>
      <w:r>
        <w:t>The target end date from the current-run strategic_horizon diagnostic remains in the main body. Historical diagnostics can never authorise it, and a planning date is not a quantified scenario.</w:t>
      </w:r>
    </w:p>
    <w:p>
      <w:r>
        <w:t>The current scenario doctrine and page-confirmed canonical-claim authority remain active. OCR is not included in v17; native tests, signing and scan status: see the release notes.</w:t>
      </w:r>
    </w:p>
    <w:p>
      <w:r>
        <w:t>v17.4.3.62.13.9.4.65-M6B-B1.3.62.13.9.4.65</w:t>
      </w:r>
    </w:p>
    <w:p>
      <w:pPr>
        <w:pStyle w:val="Heading1"/>
      </w:pPr>
      <w:r>
        <w:t>Version history</w:t>
      </w:r>
    </w:p>
    <w:p>
      <w:r>
        <w:t>Historical appendix — this appendix describes an earlier state of the product, kept for the record; the current version is described in the operating path and chapter 8.</w:t>
      </w:r>
    </w:p>
    <w:p>
      <w:r>
        <w:t>ADDENDUM — Mission build: v17.4.3.62.13.9.4.65-M6B-B1.3.62.13.9.4.65</w:t>
      </w:r>
    </w:p>
    <w:p>
      <w:pPr>
        <w:pStyle w:val="Heading1"/>
      </w:pPr>
      <w:r>
        <w:t>Appendix — Reference dates and canonical facts</w:t>
      </w:r>
    </w:p>
    <w:p>
      <w:r>
        <w:t>Strategic horizon and target-end-date lines are preserved only when they match the dossier Temporal Core contract. Operational delays, rollout durations and unsupported quantified milestones remain governed. A [FACT]/[FAIT] label, filename or page token is metadata, never standalone evidence: executive numbers require a matching page-confirmed canonical claim or deterministic derivative and are rewritten into clean canonical wording. In-place flagging, the legal claim gate, OCR tri-state and the immutable evidence tree remain active; OCR is not included in v17.</w:t>
      </w:r>
    </w:p>
    <w:p>
      <w:pPr>
        <w:pStyle w:val="Heading2"/>
      </w:pPr>
      <w:r>
        <w:t>What you must check yourself</w:t>
      </w:r>
    </w:p>
    <w:p>
      <w:r>
        <w:t>Before using a produced document: that the proposed decision, the values, the dates and the owners match what you know about the case; that the evidence statuses (FACT, TO VERIFY, UNSOURCED) are consistent with the documents you attached; that references to the report point to the right section.</w:t>
      </w:r>
    </w:p>
    <w:p>
      <w:r>
        <w:t>Before any external distribution: human review is mandatory and covers substance, sources, calculations and context. It does not remove the transparency obligations applicable to publishing generated content.</w:t>
      </w:r>
    </w:p>
    <w:p>
      <w:r>
        <w:t>If you work in English: compare the English and French versions clause by clause whenever the document carries a decision — exceptions, duties, roles, limits, dates and references. An exact translation proves neither native compatibility nor parity of the business controls.</w:t>
      </w:r>
    </w:p>
    <w:p>
      <w:r>
        <w:t>Reporting a vulnerability: write to security@vauquigneux.com. The initial message should contain only the version, the platform, a non-sensitive description and a way to reply; do not attach keys, passwords or client documents.</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470"/>
        <w:sz w:val="16"/>
      </w:rPr>
      <w:t>AI-assisted working documentation — human review required</w:t>
    </w:r>
    <w:r>
      <w:rPr>
        <w:sz w:val="16"/>
      </w:rPr>
      <w:t xml:space="preserve">  ·  Page </w:t>
    </w:r>
    <w:fldSimple w:instr="PAGE">
      <w:r>
        <w:rPr>
          <w:sz w:val="16"/>
        </w:rPr>
        <w:t>1</w:t>
      </w:r>
    </w:fldSimple>
    <w:r>
      <w:rPr>
        <w:sz w:val="16"/>
      </w:rPr>
      <w:t xml:space="preserve"> / </w:t>
    </w:r>
    <w:fldSimple w:instr="NUMPAGES">
      <w:r>
        <w:rPr>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470"/>
        <w:sz w:val="16"/>
      </w:rPr>
      <w:t>CoDIR IA · v17.4.3.62.13.9.4.65-M6B-B1.3.62.13.9.4.65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1A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1A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C64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1A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User Manual</dc:title>
  <dc:subject/>
  <dc:creator>python-docx</dc:creator>
  <cp:keywords/>
  <dc:description>CoDIR IA v17.0 — build 9.4.65 — documentation revised on 18 October 2026.</dc:description>
  <cp:lastModifiedBy>CoDIR IA — révision documentaire 9.4.61</cp:lastModifiedBy>
  <cp:revision>2</cp:revision>
  <dcterms:created xsi:type="dcterms:W3CDTF">2013-12-23T23:15:00Z</dcterms:created>
  <dcterms:modified xsi:type="dcterms:W3CDTF">2026-10-18T16:22:48Z</dcterms:modified>
  <cp:category/>
  <cp:version>v17.4.3.62.13.9.4.65-M6B-B1.3.62.13.9.4.65 · 9.4.65-20261018</cp:version>
</cp:coreProperties>
</file>