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CoDIR IA</w:t>
      </w:r>
    </w:p>
    <w:p>
      <w:pPr>
        <w:pStyle w:val="Title"/>
        <w:jc w:val="center"/>
      </w:pPr>
      <w:r>
        <w:t>Manuel complet utilisateur</w:t>
      </w:r>
    </w:p>
    <w:p>
      <w:pPr>
        <w:jc w:val="center"/>
      </w:pPr>
      <w:r>
        <w:t>Brief · preuves · scénarios · Word/PPTX · revue humaine</w:t>
      </w:r>
    </w:p>
    <w:p>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101A4A"/>
          </w:tcPr>
          <w:p>
            <w:r>
              <w:rPr>
                <w:b/>
                <w:color w:val="FFFFFF"/>
              </w:rPr>
              <w:t>Build</w:t>
            </w:r>
          </w:p>
        </w:tc>
        <w:tc>
          <w:tcPr>
            <w:tcW w:type="dxa" w:w="5040"/>
          </w:tcPr>
          <w:p>
            <w:r>
              <w:t>v17.4.3.62.13.9.4.65-M6B-B1.3.62.13.9.4.65</w:t>
            </w:r>
          </w:p>
        </w:tc>
      </w:tr>
      <w:tr>
        <w:trPr>
          <w:cantSplit/>
        </w:trPr>
        <w:tc>
          <w:tcPr>
            <w:tcW w:type="dxa" w:w="5040"/>
            <w:shd w:fill="101A4A"/>
          </w:tcPr>
          <w:p>
            <w:r>
              <w:rPr>
                <w:b/>
                <w:color w:val="FFFFFF"/>
              </w:rPr>
              <w:t>Document</w:t>
            </w:r>
          </w:p>
        </w:tc>
        <w:tc>
          <w:tcPr>
            <w:tcW w:type="dxa" w:w="5040"/>
          </w:tcPr>
          <w:p>
            <w:r>
              <w:t>Manuel Utilisateur FR</w:t>
            </w:r>
          </w:p>
        </w:tc>
      </w:tr>
      <w:tr>
        <w:trPr>
          <w:cantSplit/>
        </w:trPr>
        <w:tc>
          <w:tcPr>
            <w:tcW w:type="dxa" w:w="5040"/>
            <w:shd w:fill="101A4A"/>
          </w:tcPr>
          <w:p>
            <w:r>
              <w:rPr>
                <w:b/>
                <w:color w:val="FFFFFF"/>
              </w:rPr>
              <w:t>Révision</w:t>
            </w:r>
          </w:p>
        </w:tc>
        <w:tc>
          <w:tcPr>
            <w:tcW w:type="dxa" w:w="5040"/>
          </w:tcPr>
          <w:p>
            <w:r>
              <w:t>18 octobre 2026</w:t>
            </w:r>
          </w:p>
        </w:tc>
      </w:tr>
      <w:tr>
        <w:trPr>
          <w:cantSplit/>
        </w:trPr>
        <w:tc>
          <w:tcPr>
            <w:tcW w:type="dxa" w:w="5040"/>
            <w:shd w:fill="101A4A"/>
          </w:tcPr>
          <w:p>
            <w:r>
              <w:rPr>
                <w:b/>
                <w:color w:val="FFFFFF"/>
              </w:rPr>
              <w:t>Statut</w:t>
            </w:r>
          </w:p>
        </w:tc>
        <w:tc>
          <w:tcPr>
            <w:tcW w:type="dxa" w:w="5040"/>
          </w:tcPr>
          <w:p>
            <w:r>
              <w:t>v17.0 — usage professionnel supervisé</w:t>
            </w:r>
          </w:p>
        </w:tc>
      </w:tr>
    </w:tbl>
    <w:p>
      <w:r/>
    </w:p>
    <w:p>
      <w:pPr>
        <w:jc w:val="center"/>
      </w:pPr>
      <w:r>
        <w:t>Ce manuel ne constitue pas un conseil juridique. La revue humaine reste obligatoire.</w:t>
      </w:r>
    </w:p>
    <w:p>
      <w:r/>
    </w:p>
    <w:p>
      <w:pPr>
        <w:pStyle w:val="Heading1"/>
      </w:pPr>
      <w:r>
        <w:t>Parcours opératoire — ce que vous faites, ce que vous recevez</w:t>
      </w:r>
    </w:p>
    <w:p>
      <w:pPr>
        <w:pStyle w:val="Heading2"/>
      </w:pPr>
      <w:r>
        <w:t>Ce que vous pouvez faire : quatre situations distinctes</w:t>
      </w:r>
    </w:p>
    <w:p>
      <w:r>
        <w:t>1. Utiliser le logiciel en mission. La licence FSL-1.1-ALv2 autorise l'usage professionnel interne et pour vos clients, y compris payant, tant qu'il ne s'agit pas de concurrencer CoDIR IA. Aucun contrat supplémentaire n'est nécessaire pour cela.</w:t>
      </w:r>
    </w:p>
    <w:p>
      <w:r>
        <w:t>2. Remettre un document produit à un client. Les documents produits sont à vous, dans les conditions et sous les réserves des Conditions d'utilisation : vous les vérifiez, les corrigez, les complétez et les remettez sous votre responsabilité professionnelle. La revue humaine est obligatoire avant toute remise. Aucune autorisation de l'éditeur n'est requise.</w:t>
      </w:r>
    </w:p>
    <w:p>
      <w:r>
        <w:t>3. Redistribuer le logiciel. La licence encadre la redistribution du code et des exécutables ; elle ne concède aucun droit sur la marque « CoDIR IA » ni sur son logotype, qui font l'objet d'une autorisation séparée décrite dans TRADEMARKS.md. Redistribuer le logiciel sous un autre nom, ou avec la marque, demande donc deux vérifications distinctes.</w:t>
      </w:r>
    </w:p>
    <w:p>
      <w:r>
        <w:t>4. Acheter un accompagnement. Les prestations de l'éditeur — formation, paramétrage, accompagnement de mission — sont une offre commerciale distincte. Elles ne conditionnent aucun des trois usages ci-dessus.</w:t>
      </w:r>
    </w:p>
    <w:p>
      <w:r>
        <w:t>Faits, hypothèses et scénarios. Une donnée présente dans une pièce peut être un budget ou une cible : sa source ne la transforme pas en réalisé. Les scénarios admis doivent rester complets, lisibles et visiblement qualifiés ; pour ceux qui sont écartés, consulter le registre et les diagnostics disponibles, sans présumer leur exhaustivité. Le produit peut encore produire des qualifications excessives (fausses alertes) : contrôlez les tableaux et les textes restitués, sans reconstituer arbitrairement une valeur manquante. Un scénario conservé n’est ni une prévision certifiée ni une décision approuvée. Une cible écrite dans le brief et citée comme cible reste telle quelle dans le corps ; elle est signalée une fois, en tête de la section du brief (« déclarations du dirigeant, non certifiées par une pièce »), et au registre. Une cible avancée par un agent sans pièce reste en place, surlignée et suivie de « ⚠ à vérifier — cible sans pièce ».</w:t>
      </w:r>
    </w:p>
    <w:p>
      <w:r>
        <w:t>Niveaux de confirmation. « Confirmé à la page » indique un rapprochement effectué par le logiciel avec une pièce et une page ; vérifiez la valeur ET son libellé, le signe, l’unité et l’échelle, la période et le périmètre. « Confirmé au registre » renvoie à un registre interrogé, avec sa date de consultation ; ce n’est pas nécessairement l’exercice analysé et cette voie est inactive en analyse rétrospective. « Déclaré non confirmé » signifie que le rapprochement requis n’est pas établi. Causes possibles : source absente, extraction insuffisante, libellé, unité, échelle, période ou périmètre non rapprochés ; le statut n’indique pas laquelle. L’étiquette [NON SOURCÉ] / [UNSOURCED] signifie ici « déclaré non confirmé », non « aucune source n’existe ». La nature (réalisé, budget, hypothèse, cible), la preuve et l’approbation restent distinctes. Rapprochement arithmétique : entre faits confirmés d’une même période, d’un même périmètre et d’une même devise, le logiciel vérifie que chiffre d’affaires − coût des ventes = marge brute, et marge brute − charges d’exploitation = résultat d’exploitation lorsque la table porte un total des charges. Le résultat porte la note « rapproché » (ou « rapproché à l’arrondi près » jusqu’à 1 % d’écart) ; au-delà, il passe « à vérifier » et cesse de confirmer, ses deux opérandes portant une note. La valeur publiée n’est jamais remplacée par le calcul, et ce contrôle ne couvre que ces deux identités.</w:t>
      </w:r>
    </w:p>
    <w:p>
      <w:r>
        <w:t>Les deux Word sont les livrables principaux : analyse détaillée et synthèse décisionnelle. Le PPTX est une ébauche de présentation à reprendre après lecture des Word, non un document autonome prêt à remettre. Le volume dépend du brief et de la matière ; les nombres de pages ou de slides sont des repères, pas une garantie. Le paquet complet réunit les fichiers effectivement produits, les diagnostics, les registres disponibles, le journal de préparation et le manifeste.</w:t>
      </w:r>
    </w:p>
    <w:p>
      <w:r>
        <w:t>À la lecture : distinguez toujours réalisé, budget, hypothèse et décision approuvée. Pour un chiffre retiré, consultez les réserves et la source ; sa présence au registre ne vaut pas validation.</w:t>
      </w:r>
    </w:p>
    <w:p>
      <w:r>
        <w:t>Le code est distribué sous licence FSL-1.1-ALv2, de type source disponible. Cette licence ne concède aux tiers aucun droit sur la marque CoDIR IA ni sur son logotype.</w:t>
      </w:r>
    </w:p>
    <w:p>
      <w:r>
        <w:t>Langues. L'interface, les livrables et les manuels sont disponibles en français et en anglais. L'anglais est proposé en préversion à cette version : les fonctions disponibles et les limites connues sont listées dans les notes de version ; la parité des contrôles éditoriaux et financiers avec le français n'est pas certifiée à cette version. Ce statut ne dispense pas de préserver le sens des décisions, des valeurs, des dates et des responsabilités.</w:t>
      </w:r>
    </w:p>
    <w:p>
      <w:r>
        <w:t>Dix gestes, communs à Windows et macOS. Le détail de chacun est dans les chapitres et manuels correspondants ; cette page est la version de référence.</w:t>
      </w:r>
    </w:p>
    <w:p>
      <w:r>
        <w:t>1. Télécharger et vérifier. Récupérez le ZIP et son empreinte SHA-256 publiée. Calculez son empreinte avec PowerShell Get-FileHash ou macOS shasum, puis comparez-la à la référence de confiance. Après extraction, vérifiez aussi SHA256SUMS depuis sa racine : commandes détaillées au §2 du manuel d’installation. Une différence : ne pas débloquer, ne pas installer.</w:t>
      </w:r>
    </w:p>
    <w:p>
      <w:r>
        <w:t>2. Installer. Windows : DEMARRER_CODIR_IA.bat ; macOS : Demarrer_Mac.command. Le lanceur cherche un CPython standard compatible : 3.11–3.14 sous Windows, 3.11–3.13 sous macOS ; sur un PC ARM sous Windows 11, un Python x64, exécuté par l’émulation de Windows. Si le mode verrouillé échoue et qu’un repli requirements.txt est utilisé, l’environnement ne correspond plus exactement au verrou ni au SBOM : conservez INSTALL_MODE.txt et le journal, puis faites vérifier ce déploiement. La présence d’un lanceur ne certifie pas une plateforme ou une architecture ; consultez la matrice de tests natifs applicable.</w:t>
      </w:r>
    </w:p>
    <w:p>
      <w:r>
        <w:t>3. Clés et coûts. Une clé par fournisseur que vous activez (OpenAI, Anthropic, Google, Mistral, Perplexity, xAI), saisie dans la page Paramètres de l'application ; elle reste en clair sur votre poste. Chaque session consomme des crédits chez le fournisseur : vérifiez vos comptes avant de lancer. Une clé invalide ou un solde insuffisant arrête la session avec un message qui nomme le fournisseur.</w:t>
      </w:r>
    </w:p>
    <w:p>
      <w:r>
        <w:t>4. Langue, entité, périmètre. Choisissez la langue des livrables ; saisissez le nom de la société (un SIREN peut être ajouté dans le brief, section IDENTITÉ — il sert à la résolution au registre, jamais comme nom) ; indiquez le périmètre (société seule ou groupe consolidé) et l'horizon.</w:t>
      </w:r>
    </w:p>
    <w:p>
      <w:r>
        <w:t>5. Pièces. Joignez des PDF texte, Word ou tableurs exploitables. Cette version ne contient pas d’OCR : consultez la carte d’extractibilité et fournissez une version texte lorsqu’une pièce est illisible. Une pièce jointe n’est pas nécessairement intégralement exploitée.</w:t>
      </w:r>
    </w:p>
    <w:p>
      <w:r>
        <w:t>6. Lancer. Suivez les étapes affichées. Les réponses sont enregistrées avant les exports selon le chemin d’exécution ; en cas d’incident, conservez le paquet et les journaux disponibles. Ne présumez pas qu’un incident préserve toujours toutes les données.</w:t>
      </w:r>
    </w:p>
    <w:p>
      <w:r>
        <w:t>7. Récupérer. Téléchargez le CR Word, la synthèse Word, l’ébauche PPTX et le dossier complet disponibles. Conservez les avertissements et vérifiez le contenu du paquet, pas seulement le message de fin.</w:t>
      </w:r>
    </w:p>
    <w:p>
      <w:r>
        <w:t>8. Lire les réserves. Distinguez preuve, nature et approbation. Les scores et A1 orientent la revue ; ils ne certifient pas le dossier et ne décident pas de sa publication.</w:t>
      </w:r>
    </w:p>
    <w:p>
      <w:r>
        <w:t>9. Reprendre. Conservez le dossier complet. Un rejeu d’exports à partir des réponses conservées peut être possible avec une version compatible et une procédure technique adaptée ; ce n’est pas un bouton universel ni la garantie d’un rejeu complet.</w:t>
      </w:r>
    </w:p>
    <w:p>
      <w:r>
        <w:t>10. Mettre à jour, effacer. Mise à jour : nouveau ZIP et manifeste vérifiés ; fermez CoDIR IA, puis lancez la nouvelle version : sous Windows, le lanceur met de côté l’environnement Python construit pour une autre version et installe le verrou livré (guide INSTALL_WINDOWS_FR.md, rubrique « Mise à jour depuis une version antérieure »). Effacement : supprimez le dossier de configuration et le cache (chemins affichés en page Paramètres). Cela n'efface pas ce qui a déjà été transmis aux fournisseurs de modèles : voir leurs paramètres de conservation.</w:t>
      </w:r>
    </w:p>
    <w:p>
      <w:pPr>
        <w:pStyle w:val="Heading1"/>
      </w:pPr>
      <w:r>
        <w:t>Sommaire</w:t>
      </w:r>
    </w:p>
    <w:p>
      <w:pPr>
        <w:pStyle w:val="ListBullet"/>
      </w:pPr>
      <w:r>
        <w:t>1. Positionnement du produit</w:t>
      </w:r>
    </w:p>
    <w:p>
      <w:pPr>
        <w:pStyle w:val="ListBullet"/>
      </w:pPr>
      <w:r>
        <w:t>2. Préparer un brief exploitable</w:t>
      </w:r>
    </w:p>
    <w:p>
      <w:pPr>
        <w:pStyle w:val="ListBullet"/>
      </w:pPr>
      <w:r>
        <w:t>3. Cible canonique et périmètre</w:t>
      </w:r>
    </w:p>
    <w:p>
      <w:pPr>
        <w:pStyle w:val="Heading2"/>
      </w:pPr>
      <w:r>
        <w:t xml:space="preserve">Déclarer l'état des actions et la décision du conseil</w:t>
      </w:r>
    </w:p>
    <w:p>
      <w:r>
        <w:t xml:space="preserve">D'une séance à l'autre, vous dites ce qui a été fait dans un bloc placé à la fin du brief. Une ligne par action, l'action puis éventuellement son porteur, puis le statut :</w:t>
      </w:r>
    </w:p>
    <w:p>
      <w:pPr>
        <w:pStyle w:val="ListBullet"/>
      </w:pPr>
      <w:r>
        <w:t xml:space="preserve">« — Reconstituer la passerelle marge brute / coûts d'intrants — DAF — réalisée le 01/10/2026. »</w:t>
      </w:r>
    </w:p>
    <w:p>
      <w:pPr>
        <w:pStyle w:val="ListBullet"/>
      </w:pPr>
      <w:r>
        <w:t xml:space="preserve">« — Lancer le pilote commercial EIMEA — reportée au 31/03/2027. » ; « … — abandonnée. » ; « … — maintenue au 15/12/2026. »</w:t>
      </w:r>
    </w:p>
    <w:p>
      <w:pPr>
        <w:pStyle w:val="ListBullet"/>
      </w:pPr>
      <w:r>
        <w:t xml:space="preserve">« Décision du conseil du 01/10/2026 : option 2 retenue. »</w:t>
      </w:r>
    </w:p>
    <w:p>
      <w:r>
        <w:t xml:space="preserve">Avant de lancer, vérifiez l'aperçu « Statuts lus par CoDIR IA » sous le champ : chaque statut et la décision doivent y figurer, et chaque ligne est rapprochée du registre du dossier : « ✓ retrouvée au registre », « déjà appliquée lors d'une séance précédente », « ⚠ ambiguë » ou « ⚠ non retrouvée ». Corrigez une ligne marquée ⚠ avant de lancer. Ces statuts font autorité dès la séance où vous les déclarez : les agents les reçoivent avant de travailler, une reformulation ou une variante d'une action close, reportée ou abandonnée ne la défait pas, et une proposition de réouverture reste une action distincte, à arbitrer.</w:t>
      </w:r>
    </w:p>
    <w:p>
      <w:r>
        <w:t xml:space="preserve">Au lancement, une ligne « ambiguë » ou « non retrouvée » n'est pas appliquée : elle figure au compte rendu, section « Statuts déclarés dans le brief et NON appliqués », et reste conservée comme instruction d'une séance à l'autre, rappelée aux agents, jusqu'à ce qu'elle soit appliquée ou que vous la retiriez (« — action — retirée. »). Une ligne qui vise une action déjà close est signalée « déjà appliquée », sans rien modifier.</w:t>
      </w:r>
    </w:p>
    <w:p>
      <w:r>
        <w:t xml:space="preserve">Une déclaration ne clôt que la partie qu'elle vise d'une action composite (« A ; B ») : l'autre partie reste ouverte. La décision du conseil clôt le choix entre options, jamais le budget, le calendrier ou le déploiement de l'option retenue ; une action menée en parallèle d'une autre option reste ouverte.</w:t>
      </w:r>
    </w:p>
    <w:p>
      <w:r>
        <w:t xml:space="preserve">Au compte rendu, le tableau « À traiter dans ce CoDIR (issues du précédent) » montre l'état reçu en début de séance ; sa dernière colonne donne l'état après la séance.</w:t>
      </w:r>
    </w:p>
    <w:p>
      <w:pPr>
        <w:pStyle w:val="ListBullet"/>
      </w:pPr>
      <w:r>
        <w:t>4. Pièces jointes et limites OCR</w:t>
      </w:r>
    </w:p>
    <w:p>
      <w:pPr>
        <w:pStyle w:val="ListBullet"/>
      </w:pPr>
      <w:r>
        <w:t>5. Lancer une session</w:t>
      </w:r>
    </w:p>
    <w:p>
      <w:pPr>
        <w:pStyle w:val="Heading2"/>
      </w:pPr>
      <w:r>
        <w:t xml:space="preserve">Pendant et après le traitement : les deux écrans</w:t>
      </w:r>
    </w:p>
    <w:p>
      <w:r>
        <w:t xml:space="preserve">Écran d'accueil. Au lancement de CoDIR IA, un écran d'accueil affiche le logo et deux choix, « Français » et « English » : il fixe la langue de l'interface pour la session et l'enregistre. Les documents (compte rendu, synthèse, trame) peuvent être produits en français ou en anglais quelle que soit la langue de l'interface : leur langue se règle dans le brief.</w:t>
      </w:r>
    </w:p>
    <w:p>
      <w:r>
        <w:t xml:space="preserve">Dès le clic sur « Lancer », un écran de suivi recouvre toute la fenêtre : formulaire, barre latérale et en-tête disparaissent. Il indique l'étape en cours sur douze, son libellé, une barre de progression et le temps écoulé, qui s'égrène seconde par seconde ; à partir du troisième run sur le poste, il donne aussi la durée habituelle. Le détail technique du run est conservé dans le dossier complet.</w:t>
      </w:r>
    </w:p>
    <w:p>
      <w:r>
        <w:t xml:space="preserve">La barre compte les étapes accomplies, pas le temps : certaines étapes (Stratégie, Finance) durent plus longtemps que d'autres, la barre avance donc par paliers. Une étape sans objet pour le dossier est franchie aussitôt.</w:t>
      </w:r>
    </w:p>
    <w:p>
      <w:r>
        <w:t xml:space="preserve">Les douze étapes : lecture des pièces ; sources officielles et veille ; Stratégie ; préparation de la séance ; Marketing ; Finance (analyse et second avis) ; Supply chain (analyse et contradicteur) ; Direction commerciale ; synthèse des décisions ; Direction générale (feuille de route) ; contrôles et compte rendu ; trame PowerPoint et dossier complet.</w:t>
      </w:r>
    </w:p>
    <w:p>
      <w:r>
        <w:t xml:space="preserve">À la fin, l'écran « Dossier prêt » remplace la page entière et propose cinq tuiles :</w:t>
      </w:r>
    </w:p>
    <w:p>
      <w:pPr>
        <w:pStyle w:val="ListBullet"/>
      </w:pPr>
      <w:r>
        <w:rPr>
          <w:b/>
        </w:rPr>
        <w:t xml:space="preserve">Dossier complet </w:t>
      </w:r>
      <w:r>
        <w:t xml:space="preserve">— la tuile principale : les trois livrables et leurs pièces de contrôle ; le même paquet est aussi enregistré automatiquement dans le dossier application\outputs de CoDIR IA. L'écran de fin rappelle le nom du dossier traité.</w:t>
      </w:r>
    </w:p>
    <w:p>
      <w:pPr>
        <w:pStyle w:val="ListBullet"/>
      </w:pPr>
      <w:r>
        <w:rPr>
          <w:b/>
        </w:rPr>
        <w:t xml:space="preserve">Compte rendu, Synthèse, Trame PowerPoint </w:t>
      </w:r>
      <w:r>
        <w:t xml:space="preserve">— chaque livrable séparément ; ce sont les mêmes fichiers que dans le paquet. Un livrable retenu par le contrôle final apparaît grisé, avec la raison.</w:t>
      </w:r>
    </w:p>
    <w:p>
      <w:pPr>
        <w:pStyle w:val="ListBullet"/>
      </w:pPr>
      <w:r>
        <w:rPr>
          <w:b/>
        </w:rPr>
        <w:t xml:space="preserve">Nouvelle séance </w:t>
      </w:r>
      <w:r>
        <w:t xml:space="preserve">— revient au formulaire en conservant votre brief et vos réglages : la séance suivante part du même brief, auquel vous ajoutez le bloc de statuts.</w:t>
      </w:r>
    </w:p>
    <w:p>
      <w:pPr>
        <w:pStyle w:val="ListBullet"/>
      </w:pPr>
      <w:r>
        <w:rPr>
          <w:b/>
        </w:rPr>
        <w:t xml:space="preserve">Quitter </w:t>
      </w:r>
      <w:r>
        <w:t xml:space="preserve">— à part, après confirmation, arrête proprement l'application ; si le dossier complet n'a pas été téléchargé, la confirmation le signale.</w:t>
      </w:r>
    </w:p>
    <w:p>
      <w:r>
        <w:t xml:space="preserve">Chaque rôle demande la sortie maximale de son modèle : 128 000 jetons pour la Stratégie et la Finance (Claude Sonnet 5.5), le plafond publié du modèle pour les autres rôles. Si les pièces et cette sortie ne tiennent pas ensemble dans la fenêtre d'un modèle, c'est la sortie qui est réduite (8 000 jetons au moins), jamais les pièces ; une réponse arrêtée sur sa limite est reprise, ou signalée « réponse incomplète ». Le réglage « Max output tokens » (8 000 par défaut) ne sert plus qu'aux appels auxiliaires. Lecture des pièces : jusqu'à 120 000 jetons pour l'ensemble des pièces et 200 000 jetons pour les états financiers ; au-delà de la fenêtre d'un modèle, l'appel passe à un modèle qui peut tout lire, ou la coupe est écrite dans le texte et tracée au diagnostic. Une pièce n'est donc pas garantie lue intégralement dans tous les cas.</w:t>
      </w:r>
    </w:p>
    <w:p>
      <w:pPr>
        <w:pStyle w:val="ListBullet"/>
      </w:pPr>
      <w:r>
        <w:t>6. Comprendre les faits et la preuve</w:t>
      </w:r>
    </w:p>
    <w:p>
      <w:pPr>
        <w:pStyle w:val="ListBullet"/>
      </w:pPr>
      <w:r>
        <w:t>7. Scores et usages autorisés</w:t>
      </w:r>
    </w:p>
    <w:p>
      <w:pPr>
        <w:pStyle w:val="ListBullet"/>
      </w:pPr>
      <w:r>
        <w:t>8. Ce que vous recevez — deux Word, une trame, le Dossier complet</w:t>
      </w:r>
    </w:p>
    <w:p>
      <w:pPr>
        <w:pStyle w:val="Heading2"/>
      </w:pPr>
      <w:r>
        <w:t>8 bis. Lire les signalements et les chiffres datés</w:t>
      </w:r>
    </w:p>
    <w:p>
      <w:pPr/>
      <w:r>
        <w:t>Chaque passage douteux reste à sa place, surligné et suivi de « ⚠ à vérifier — motif ». Le motif dit précisément ce qui manque :</w:t>
      </w:r>
    </w:p>
    <w:p>
      <w:pPr/>
      <w:r>
        <w:t>— chiffre sans pièce / cible sans pièce / projection sans pièce : aucune pièce ni fait confirmé ne porte cette valeur ;</w:t>
      </w:r>
    </w:p>
    <w:p>
      <w:pPr/>
      <w:r>
        <w:t>— contredit par la pièce : &lt;valeur&gt; / contredit par les dépôts : &lt;valeur&gt; : la pièce fournie, ou un dépôt public (SEC, comptes déposés), donne une autre valeur, affichée ;</w:t>
      </w:r>
    </w:p>
    <w:p>
      <w:pPr/>
      <w:r>
        <w:t>— calcul à vérifier : &lt;recalcul&gt; : un calcul type (croissance annuelle moyenne, jours de stock, marge) ne correspond pas aux données citées ; le recalcul est indiqué ;</w:t>
      </w:r>
    </w:p>
    <w:p>
      <w:pPr/>
      <w:r>
        <w:t>— qualification à vérifier : un montant publié est présenté comme « ajusté » ou « hors … » alors que la pièce le publie tel quel ;</w:t>
      </w:r>
    </w:p>
    <w:p>
      <w:pPr/>
      <w:r>
        <w:t>— source citée, non rapprochée des faits extraits : la ligne cite sa pièce, mais la valeur n'a pas été extraite et rapprochée ; à contrôler dans la pièce ;</w:t>
      </w:r>
    </w:p>
    <w:p>
      <w:pPr/>
      <w:r>
        <w:t>— statut « décidé » non établi par le brief : un agent présente comme décidé ce que votre brief n'établit pas ; affirmation juridique non établie par les pièces ; entité non vérifiée ; marché non sourcé ; tendance non établie.</w:t>
      </w:r>
    </w:p>
    <w:p>
      <w:pPr/>
      <w:r>
        <w:t>En principe, ne sont pas signalés ligne à ligne : votre propre brief (ses cibles sont rappelées une fois, en tête, comme déclarations non certifiées), les tableaux écrits par le produit (registre des actions, chronologie, table de faits) et les titres. Des résidus peuvent subsister dans cette version (par exemple sur des scores ou des durées affichés dans le compte rendu) : ils sont des limites connues, non des conclusions. Les annexes « Scénarios chiffrés » et « Registre des passages signalés » ne figurent plus dans le Word : le registre complet est dans le fichier probatoire (JSON et CSV) et dans le diagnostic du paquet.</w:t>
      </w:r>
    </w:p>
    <w:p>
      <w:pPr/>
      <w:r>
        <w:t>Cartes clés et dernier réalisé daté. Chaque carte du deck porte l'exercice de sa valeur. La pièce fournie passe toujours en premier ; à défaut, le dernier dépôt public renseigne la carte, avec sa source (« FY2025 · SEC EDGAR »). Une valeur dont un exercice plus récent est clos porte « dernier publié ». Quand la situation financière courante n'est pas établie, une mention unique le dit en tête des Word, sans retirer aucune ligne.</w:t>
      </w:r>
    </w:p>
    <w:p>
      <w:pPr/>
      <w:r>
        <w:t>Sources publiques. Selon les identifiants disponibles, CoDIR IA lit les montants publiés auprès de la SEC (CIK, dépôts 10-K), de Companies House (numéro de société, comptes iXBRL ; clé personnelle requise) et de Pappers (SIREN, comptes déposés, sauf comptes confidentiels). GLEIF ne fournit que l'identité. Ces montants servent au rapprochement, à l'exercice antérieur et aux cartes clés ; ils ne remplacent jamais un fait confirmé dans vos pièces.</w:t>
      </w:r>
    </w:p>
    <w:p>
      <w:pPr/>
      <w:r>
        <w:t>Mémoire entre deux CoDIR. Une action reformulée d'une séance à l'autre est reconnue comme reprise. Pour clore, reporter ou abandonner une action, écrivez-le dans le brief suivant, une ligne par action : « — &lt;action&gt; — réalisée le 15/10/2026 », « — &lt;action&gt; — reportée au 31/03/2027 », « — &lt;action&gt; — abandonnée ». La recommandation des agents est présentée comme une orientation proposée, jamais comme une décision du CoDIR. Quand plus de 12 actions sont ouvertes, le brief suivant le dit et liste d'abord les actions en retard.</w:t>
      </w:r>
    </w:p>
    <w:p>
      <w:pPr>
        <w:pStyle w:val="ListBullet"/>
      </w:pPr>
      <w:r>
        <w:t>9. Revue humaine obligatoire</w:t>
      </w:r>
    </w:p>
    <w:p>
      <w:pPr>
        <w:pStyle w:val="ListBullet"/>
      </w:pPr>
      <w:r>
        <w:t>10. Données, sécurité et droits</w:t>
      </w:r>
    </w:p>
    <w:p>
      <w:pPr>
        <w:pStyle w:val="ListBullet"/>
      </w:pPr>
      <w:r>
        <w:t>11. Incidents et support</w:t>
      </w:r>
    </w:p>
    <w:p>
      <w:pPr>
        <w:pStyle w:val="ListBullet"/>
      </w:pPr>
      <w:r>
        <w:t>12. Checklist avant décision ou diffusion</w:t>
      </w:r>
    </w:p>
    <w:tbl>
      <w:tblPr>
        <w:tblW w:type="auto" w:w="0"/>
        <w:jc w:val="center"/>
        <w:tblLayout w:type="autofit"/>
        <w:tblLook w:firstColumn="1" w:firstRow="1" w:lastColumn="0" w:lastRow="0" w:noHBand="0" w:noVBand="1" w:val="04A0"/>
      </w:tblPr>
      <w:tblGrid>
        <w:gridCol w:w="10080"/>
      </w:tblGrid>
      <w:tr>
        <w:trPr>
          <w:cantSplit/>
          <w:tblHeader/>
        </w:trPr>
        <w:tc>
          <w:tcPr>
            <w:tcW w:type="dxa" w:w="10080"/>
            <w:shd w:fill="101A4A"/>
          </w:tcPr>
          <w:p>
            <w:pPr>
              <w:keepNext/>
            </w:pPr>
            <w:r>
              <w:rPr>
                <w:b/>
                <w:color w:val="FFFFFF"/>
              </w:rPr>
              <w:t>Doctrine</w:t>
            </w:r>
          </w:p>
        </w:tc>
      </w:tr>
      <w:tr>
        <w:trPr>
          <w:cantSplit/>
        </w:trPr>
        <w:tc>
          <w:tcPr>
            <w:tcW w:type="dxa" w:w="10080"/>
            <w:shd w:fill="F3F5F8"/>
          </w:tcPr>
          <w:p>
            <w:r>
              <w:t>CoDIR IA est un accélérateur de lucidité, pas un générateur de réponses ni un décideur.</w:t>
            </w:r>
          </w:p>
        </w:tc>
      </w:tr>
    </w:tbl>
    <w:p>
      <w:r/>
    </w:p>
    <w:p>
      <w:pPr>
        <w:pStyle w:val="Heading1"/>
      </w:pPr>
      <w:r>
        <w:t>1. Positionnement du produit</w:t>
      </w:r>
    </w:p>
    <w:p>
      <w:r>
        <w:t>CoDIR IA prépare un comité de direction à la demande pour les consultants, managers de transition et dirigeants de PME/PMI/ETI, à partir du brief et des pièces retenues. Le Word long porte l’analyse ; le Word synthétique en présente les conclusions et les arbitrages. Ce sont les deux livrables principaux, à relire et valider par le professionnel. Le PPTX est une ébauche éditable à compléter après lecture des Word : sélection, messages, illustrations et mise en page restent à sa charge. La mémoire locale de dossier soutient la continuité entre séances ; elle ne remplace ni un procès-verbal approuvé ni la validation humaine.</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fill="101A4A"/>
          </w:tcPr>
          <w:p>
            <w:pPr>
              <w:keepNext/>
            </w:pPr>
            <w:r>
              <w:rPr>
                <w:b/>
                <w:color w:val="FFFFFF"/>
              </w:rPr>
              <w:t>Usage</w:t>
            </w:r>
          </w:p>
        </w:tc>
        <w:tc>
          <w:tcPr>
            <w:tcW w:type="dxa" w:w="5040"/>
            <w:shd w:fill="101A4A"/>
          </w:tcPr>
          <w:p>
            <w:pPr>
              <w:keepNext/>
            </w:pPr>
            <w:r>
              <w:rPr>
                <w:b/>
                <w:color w:val="FFFFFF"/>
              </w:rPr>
              <w:t>Statut</w:t>
            </w:r>
          </w:p>
        </w:tc>
      </w:tr>
      <w:tr>
        <w:trPr>
          <w:cantSplit/>
        </w:trPr>
        <w:tc>
          <w:tcPr>
            <w:tcW w:type="dxa" w:w="5040"/>
            <w:vAlign w:val="center"/>
          </w:tcPr>
          <w:p>
            <w:r>
              <w:t>Consultant / manager de transition</w:t>
            </w:r>
          </w:p>
        </w:tc>
        <w:tc>
          <w:tcPr>
            <w:tcW w:type="dxa" w:w="5040"/>
            <w:vAlign w:val="center"/>
          </w:tcPr>
          <w:p>
            <w:r>
              <w:t>Usage supervisé</w:t>
            </w:r>
          </w:p>
        </w:tc>
      </w:tr>
      <w:tr>
        <w:trPr>
          <w:cantSplit/>
        </w:trPr>
        <w:tc>
          <w:tcPr>
            <w:tcW w:type="dxa" w:w="5040"/>
            <w:vAlign w:val="center"/>
          </w:tcPr>
          <w:p>
            <w:r>
              <w:t>Dirigeant PME/PMI/ETI</w:t>
            </w:r>
          </w:p>
        </w:tc>
        <w:tc>
          <w:tcPr>
            <w:tcW w:type="dxa" w:w="5040"/>
            <w:vAlign w:val="center"/>
          </w:tcPr>
          <w:p>
            <w:r>
              <w:t>Réflexion supervisée</w:t>
            </w:r>
          </w:p>
        </w:tc>
      </w:tr>
      <w:tr>
        <w:trPr>
          <w:cantSplit/>
        </w:trPr>
        <w:tc>
          <w:tcPr>
            <w:tcW w:type="dxa" w:w="5040"/>
            <w:vAlign w:val="center"/>
          </w:tcPr>
          <w:p>
            <w:r>
              <w:t>Client final tel quel</w:t>
            </w:r>
          </w:p>
        </w:tc>
        <w:tc>
          <w:tcPr>
            <w:tcW w:type="dxa" w:w="5040"/>
            <w:vAlign w:val="center"/>
          </w:tcPr>
          <w:p>
            <w:r>
              <w:t>Non destiné</w:t>
            </w:r>
          </w:p>
        </w:tc>
      </w:tr>
      <w:tr>
        <w:trPr>
          <w:cantSplit/>
        </w:trPr>
        <w:tc>
          <w:tcPr>
            <w:tcW w:type="dxa" w:w="5040"/>
            <w:vAlign w:val="center"/>
          </w:tcPr>
          <w:p>
            <w:r>
              <w:t>Diffusion publique</w:t>
            </w:r>
          </w:p>
        </w:tc>
        <w:tc>
          <w:tcPr>
            <w:tcW w:type="dxa" w:w="5040"/>
            <w:vAlign w:val="center"/>
          </w:tcPr>
          <w:p>
            <w:r>
              <w:t>Revue humaine obligatoire ; vérifier les droits sur les pièces d'origine et les autorisations de diffusion. Ni l'usage en mission ni la remise à un client n'exigent un contrat supplémentaire avec l'éditeur.</w:t>
            </w:r>
          </w:p>
        </w:tc>
      </w:tr>
    </w:tbl>
    <w:p>
      <w:r/>
    </w:p>
    <w:p>
      <w:pPr>
        <w:pStyle w:val="Heading1"/>
      </w:pPr>
      <w:r>
        <w:t>2. Préparer un brief exploitable</w:t>
      </w:r>
    </w:p>
    <w:p>
      <w:r>
        <w:t>Un bon brief précise identité/périmètre, données, décision attendue et enjeu/contrainte. Fixez la date d’analyse dans les paramètres. Une durée de 24 mois part de cette date, pas de la date de génération. Arbitrez toute incompatibilité entre durée et date de fin avant lancement.</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fill="101A4A"/>
          </w:tcPr>
          <w:p>
            <w:pPr>
              <w:keepNext/>
            </w:pPr>
            <w:r>
              <w:rPr>
                <w:b/>
                <w:color w:val="FFFFFF"/>
              </w:rPr>
              <w:t>Élément</w:t>
            </w:r>
          </w:p>
        </w:tc>
        <w:tc>
          <w:tcPr>
            <w:tcW w:type="dxa" w:w="5040"/>
            <w:shd w:fill="101A4A"/>
          </w:tcPr>
          <w:p>
            <w:pPr>
              <w:keepNext/>
            </w:pPr>
            <w:r>
              <w:rPr>
                <w:b/>
                <w:color w:val="FFFFFF"/>
              </w:rPr>
              <w:t>Exemple</w:t>
            </w:r>
          </w:p>
        </w:tc>
      </w:tr>
      <w:tr>
        <w:trPr>
          <w:cantSplit/>
        </w:trPr>
        <w:tc>
          <w:tcPr>
            <w:tcW w:type="dxa" w:w="5040"/>
            <w:vAlign w:val="center"/>
          </w:tcPr>
          <w:p>
            <w:r>
              <w:t>Entité</w:t>
            </w:r>
          </w:p>
        </w:tc>
        <w:tc>
          <w:tcPr>
            <w:tcW w:type="dxa" w:w="5040"/>
            <w:vAlign w:val="center"/>
          </w:tcPr>
          <w:p>
            <w:r>
              <w:t>SIREN / Companies House / LEI</w:t>
            </w:r>
          </w:p>
        </w:tc>
      </w:tr>
      <w:tr>
        <w:trPr>
          <w:cantSplit/>
        </w:trPr>
        <w:tc>
          <w:tcPr>
            <w:tcW w:type="dxa" w:w="5040"/>
            <w:vAlign w:val="center"/>
          </w:tcPr>
          <w:p>
            <w:r>
              <w:t>Périmètre</w:t>
            </w:r>
          </w:p>
        </w:tc>
        <w:tc>
          <w:tcPr>
            <w:tcW w:type="dxa" w:w="5040"/>
            <w:vAlign w:val="center"/>
          </w:tcPr>
          <w:p>
            <w:r>
              <w:t>groupe consolidé, société sociale, filiales</w:t>
            </w:r>
          </w:p>
        </w:tc>
      </w:tr>
      <w:tr>
        <w:trPr>
          <w:cantSplit/>
        </w:trPr>
        <w:tc>
          <w:tcPr>
            <w:tcW w:type="dxa" w:w="5040"/>
            <w:vAlign w:val="center"/>
          </w:tcPr>
          <w:p>
            <w:r>
              <w:t>Décision</w:t>
            </w:r>
          </w:p>
        </w:tc>
        <w:tc>
          <w:tcPr>
            <w:tcW w:type="dxa" w:w="5040"/>
            <w:vAlign w:val="center"/>
          </w:tcPr>
          <w:p>
            <w:r>
              <w:t>arbitrer, choisir, prioriser, cadrer</w:t>
            </w:r>
          </w:p>
        </w:tc>
      </w:tr>
      <w:tr>
        <w:trPr>
          <w:cantSplit/>
        </w:trPr>
        <w:tc>
          <w:tcPr>
            <w:tcW w:type="dxa" w:w="5040"/>
            <w:vAlign w:val="center"/>
          </w:tcPr>
          <w:p>
            <w:r>
              <w:t>Horizon</w:t>
            </w:r>
          </w:p>
        </w:tc>
        <w:tc>
          <w:tcPr>
            <w:tcW w:type="dxa" w:w="5040"/>
            <w:vAlign w:val="center"/>
          </w:tcPr>
          <w:p>
            <w:r>
              <w:t>24 mois à compter de la date d’analyse retenue</w:t>
            </w:r>
          </w:p>
        </w:tc>
      </w:tr>
      <w:tr>
        <w:trPr>
          <w:cantSplit/>
        </w:trPr>
        <w:tc>
          <w:tcPr>
            <w:tcW w:type="dxa" w:w="5040"/>
            <w:vAlign w:val="center"/>
          </w:tcPr>
          <w:p>
            <w:r>
              <w:t>Livrables</w:t>
            </w:r>
          </w:p>
        </w:tc>
        <w:tc>
          <w:tcPr>
            <w:tcW w:type="dxa" w:w="5040"/>
            <w:vAlign w:val="center"/>
          </w:tcPr>
          <w:p>
            <w:r>
              <w:t>Deux Word principaux + ébauche PPTX adaptée à la matière</w:t>
            </w:r>
          </w:p>
        </w:tc>
      </w:tr>
    </w:tbl>
    <w:p>
      <w:r/>
    </w:p>
    <w:tbl>
      <w:tblPr>
        <w:tblW w:type="auto" w:w="0"/>
        <w:jc w:val="center"/>
        <w:tblLayout w:type="autofit"/>
        <w:tblLook w:firstColumn="1" w:firstRow="1" w:lastColumn="0" w:lastRow="0" w:noHBand="0" w:noVBand="1" w:val="04A0"/>
      </w:tblPr>
      <w:tblGrid>
        <w:gridCol w:w="10080"/>
      </w:tblGrid>
      <w:tr>
        <w:trPr>
          <w:cantSplit/>
          <w:tblHeader/>
        </w:trPr>
        <w:tc>
          <w:tcPr>
            <w:tcW w:type="dxa" w:w="10080"/>
            <w:shd w:fill="101A4A"/>
          </w:tcPr>
          <w:p>
            <w:pPr>
              <w:keepNext/>
            </w:pPr>
            <w:r>
              <w:rPr>
                <w:b/>
                <w:color w:val="FFFFFF"/>
              </w:rPr>
              <w:t>Éviter</w:t>
            </w:r>
          </w:p>
        </w:tc>
      </w:tr>
      <w:tr>
        <w:trPr>
          <w:cantSplit/>
        </w:trPr>
        <w:tc>
          <w:tcPr>
            <w:tcW w:type="dxa" w:w="10080"/>
            <w:shd w:fill="F3F5F8"/>
          </w:tcPr>
          <w:p>
            <w:r>
              <w:t>Les demandes vagues, les périodes ambiguës, les chiffres sans unité et les entités non identifiées.</w:t>
            </w:r>
          </w:p>
        </w:tc>
      </w:tr>
    </w:tbl>
    <w:p>
      <w:r/>
    </w:p>
    <w:p>
      <w:pPr>
        <w:pStyle w:val="Heading1"/>
      </w:pPr>
      <w:r>
        <w:t>3. Cible canonique et périmètre</w:t>
      </w:r>
    </w:p>
    <w:p>
      <w:r>
        <w:t>Confirmez la cible légale une fois. CoDIR IA mémorise l’objet structuré : nom, pays, registre, identifiant, LEI/CIK/ticker selon disponibilité. Au redémarrage, l’utilisateur choisit explicitement Utiliser ou Changer.</w:t>
      </w:r>
    </w:p>
    <w:p>
      <w:pPr>
        <w:pStyle w:val="ListBullet"/>
      </w:pPr>
      <w:r>
        <w:t>Vérifier le nom canonique et l’identifiant.</w:t>
      </w:r>
    </w:p>
    <w:p>
      <w:pPr>
        <w:pStyle w:val="ListBullet"/>
      </w:pPr>
      <w:r>
        <w:t>Distinguer groupe, holding, société sociale et filiale.</w:t>
      </w:r>
    </w:p>
    <w:p>
      <w:pPr>
        <w:pStyle w:val="ListBullet"/>
      </w:pPr>
      <w:r>
        <w:t>Ne jamais utiliser un fait social pour établir artificiellement le consolidé.</w:t>
      </w:r>
    </w:p>
    <w:p>
      <w:pPr>
        <w:pStyle w:val="Heading2"/>
      </w:pPr>
      <w:r>
        <w:t>Continuité entre deux CoDIR</w:t>
      </w:r>
    </w:p>
    <w:p>
      <w:r>
        <w:t>Mémoire entre CoDIR. Le code comporte un historique local par dossier et un registre d’actions horodaté. Réutilisez le même dossier — même « Libellé de dossier » d’une séance à l’autre — et vérifiez l’entité, l’identifiant, le répertoire de données et la date d’analyse. Dans le nouveau brief, précisez les décisions réellement approuvées, les actions réalisées ou reportées et les clôtures explicites. Relisez ensuite les reprises et les écarts : une proposition ne devient pas approuvée par simple répétition. Les modes rétrospectif/futur n’écrivent pas le registre vivant ; la case « Repartir de zéro — ignorer l’historique de ce dossier » (variable technique CODIR_IGNORE_HISTORY) neutralise la reprise pour un test isolé. La reprise exhaustive des décisions, actions et questions sur deux séances n’est pas certifiée par cette révision documentaire ; elle reste à vérifier sur votre dossier. Ce n’est ni une mémoire de toutes les conversations ni un apprentissage du modèle.</w:t>
      </w:r>
    </w:p>
    <w:p>
      <w:pPr>
        <w:pStyle w:val="Heading1"/>
      </w:pPr>
      <w:r>
        <w:t>4. Pièces jointes et limites OCR</w:t>
      </w:r>
    </w:p>
    <w:p>
      <w:r>
        <w:t>Les textes sont extraits localement ; les extraits nécessaires peuvent être transmis aux fournisseurs activés. Aucun OCR n’est intégré à cette version. Fournissez une version textuelle autorisée ; ne considérez pas une pièce illisible comme analysée.</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fill="101A4A"/>
          </w:tcPr>
          <w:p>
            <w:pPr>
              <w:keepNext/>
            </w:pPr>
            <w:r>
              <w:rPr>
                <w:b/>
                <w:color w:val="FFFFFF"/>
              </w:rPr>
              <w:t>Statut</w:t>
            </w:r>
          </w:p>
        </w:tc>
        <w:tc>
          <w:tcPr>
            <w:tcW w:type="dxa" w:w="5040"/>
            <w:shd w:fill="101A4A"/>
          </w:tcPr>
          <w:p>
            <w:pPr>
              <w:keepNext/>
            </w:pPr>
            <w:r>
              <w:rPr>
                <w:b/>
                <w:color w:val="FFFFFF"/>
              </w:rPr>
              <w:t>Signification</w:t>
            </w:r>
          </w:p>
        </w:tc>
      </w:tr>
      <w:tr>
        <w:trPr>
          <w:cantSplit/>
        </w:trPr>
        <w:tc>
          <w:tcPr>
            <w:tcW w:type="dxa" w:w="5040"/>
            <w:vAlign w:val="center"/>
          </w:tcPr>
          <w:p>
            <w:r>
              <w:t>CONFIRMED_ON_PAGE</w:t>
            </w:r>
          </w:p>
        </w:tc>
        <w:tc>
          <w:tcPr>
            <w:tcW w:type="dxa" w:w="5040"/>
            <w:vAlign w:val="center"/>
          </w:tcPr>
          <w:p>
            <w:r>
              <w:t>Rapprochement à une page par le moteur ; vérifier valeur, libellé, unité/échelle, période et périmètre.</w:t>
            </w:r>
          </w:p>
        </w:tc>
      </w:tr>
      <w:tr>
        <w:trPr>
          <w:cantSplit/>
        </w:trPr>
        <w:tc>
          <w:tcPr>
            <w:tcW w:type="dxa" w:w="5040"/>
            <w:vAlign w:val="center"/>
          </w:tcPr>
          <w:p>
            <w:r>
              <w:t>TO VERIFY</w:t>
            </w:r>
          </w:p>
        </w:tc>
        <w:tc>
          <w:tcPr>
            <w:tcW w:type="dxa" w:w="5040"/>
            <w:vAlign w:val="center"/>
          </w:tcPr>
          <w:p>
            <w:r>
              <w:t>signal insuffisant ou sans preuve page</w:t>
            </w:r>
          </w:p>
        </w:tc>
      </w:tr>
      <w:tr>
        <w:trPr>
          <w:cantSplit/>
        </w:trPr>
        <w:tc>
          <w:tcPr>
            <w:tcW w:type="dxa" w:w="5040"/>
            <w:vAlign w:val="center"/>
          </w:tcPr>
          <w:p>
            <w:r>
              <w:t>OCR_REQUIRED</w:t>
            </w:r>
          </w:p>
        </w:tc>
        <w:tc>
          <w:tcPr>
            <w:tcW w:type="dxa" w:w="5040"/>
            <w:vAlign w:val="center"/>
          </w:tcPr>
          <w:p>
            <w:r>
              <w:t>scan sans texte exploitable</w:t>
            </w:r>
          </w:p>
        </w:tc>
      </w:tr>
      <w:tr>
        <w:trPr>
          <w:cantSplit/>
        </w:trPr>
        <w:tc>
          <w:tcPr>
            <w:tcW w:type="dxa" w:w="5040"/>
            <w:vAlign w:val="center"/>
          </w:tcPr>
          <w:p>
            <w:r>
              <w:t>CONTRIBUTING_HISTORY</w:t>
            </w:r>
          </w:p>
        </w:tc>
        <w:tc>
          <w:tcPr>
            <w:tcW w:type="dxa" w:w="5040"/>
            <w:vAlign w:val="center"/>
          </w:tcPr>
          <w:p>
            <w:r>
              <w:t>historique prouvé, non canonique courant</w:t>
            </w:r>
          </w:p>
        </w:tc>
      </w:tr>
      <w:tr>
        <w:trPr>
          <w:cantSplit/>
        </w:trPr>
        <w:tc>
          <w:tcPr>
            <w:tcW w:type="dxa" w:w="5040"/>
            <w:vAlign w:val="center"/>
          </w:tcPr>
          <w:p>
            <w:r>
              <w:t>POST_CLOSE_INDICATION</w:t>
            </w:r>
          </w:p>
        </w:tc>
        <w:tc>
          <w:tcPr>
            <w:tcW w:type="dxa" w:w="5040"/>
            <w:vAlign w:val="center"/>
          </w:tcPr>
          <w:p>
            <w:r>
              <w:t>arrêté postérieur visible, non canonique</w:t>
            </w:r>
          </w:p>
        </w:tc>
      </w:tr>
    </w:tbl>
    <w:p>
      <w:r/>
    </w:p>
    <w:p>
      <w:pPr>
        <w:pStyle w:val="Heading1"/>
      </w:pPr>
      <w:r>
        <w:t>5. Lancer une session</w:t>
      </w:r>
    </w:p>
    <w:p>
      <w:pPr>
        <w:pStyle w:val="ListNumber"/>
        <w:numPr>
          <w:ilvl w:val="0"/>
          <w:numId w:val="1001"/>
        </w:numPr>
      </w:pPr>
      <w:r>
        <w:t>Choisir LIVE sauf analyse rétrospective volontaire.</w:t>
      </w:r>
    </w:p>
    <w:p>
      <w:pPr>
        <w:pStyle w:val="ListNumber"/>
        <w:numPr>
          <w:ilvl w:val="0"/>
          <w:numId w:val="1001"/>
        </w:numPr>
      </w:pPr>
      <w:r>
        <w:t>Contrôler la date d’analyse et l’horizon.</w:t>
      </w:r>
    </w:p>
    <w:p>
      <w:pPr>
        <w:pStyle w:val="ListNumber"/>
        <w:numPr>
          <w:ilvl w:val="0"/>
          <w:numId w:val="1001"/>
        </w:numPr>
      </w:pPr>
      <w:r>
        <w:t>Confirmer la cible et les fournisseurs.</w:t>
      </w:r>
    </w:p>
    <w:p>
      <w:pPr>
        <w:pStyle w:val="ListNumber"/>
        <w:numPr>
          <w:ilvl w:val="0"/>
          <w:numId w:val="1001"/>
        </w:numPr>
      </w:pPr>
      <w:r>
        <w:t>Joindre les pièces strictement nécessaires.</w:t>
      </w:r>
    </w:p>
    <w:p>
      <w:pPr>
        <w:pStyle w:val="ListNumber"/>
        <w:numPr>
          <w:ilvl w:val="0"/>
          <w:numId w:val="1001"/>
        </w:numPr>
      </w:pPr>
      <w:r>
        <w:t>Lancer et conserver les diagnostics avec les livrables.</w:t>
      </w:r>
    </w:p>
    <w:tbl>
      <w:tblPr>
        <w:tblW w:type="auto" w:w="0"/>
        <w:jc w:val="center"/>
        <w:tblLayout w:type="autofit"/>
        <w:tblLook w:firstColumn="1" w:firstRow="1" w:lastColumn="0" w:lastRow="0" w:noHBand="0" w:noVBand="1" w:val="04A0"/>
      </w:tblPr>
      <w:tblGrid>
        <w:gridCol w:w="10080"/>
      </w:tblGrid>
      <w:tr>
        <w:trPr>
          <w:cantSplit/>
          <w:tblHeader/>
        </w:trPr>
        <w:tc>
          <w:tcPr>
            <w:tcW w:type="dxa" w:w="10080"/>
            <w:shd w:fill="101A4A"/>
          </w:tcPr>
          <w:p>
            <w:pPr>
              <w:keepNext/>
            </w:pPr>
            <w:r>
              <w:rPr>
                <w:b/>
                <w:color w:val="FFFFFF"/>
              </w:rPr>
              <w:t>Coût</w:t>
            </w:r>
          </w:p>
        </w:tc>
      </w:tr>
      <w:tr>
        <w:trPr>
          <w:cantSplit/>
        </w:trPr>
        <w:tc>
          <w:tcPr>
            <w:tcW w:type="dxa" w:w="10080"/>
            <w:shd w:fill="F3F5F8"/>
          </w:tcPr>
          <w:p>
            <w:r>
              <w:t>Un run peut appeler plusieurs fournisseurs. Vérifiez les clés, quotas et politiques de conservation avant lancement.</w:t>
            </w:r>
          </w:p>
        </w:tc>
      </w:tr>
    </w:tbl>
    <w:p>
      <w:r/>
    </w:p>
    <w:p>
      <w:pPr>
        <w:pStyle w:val="Heading1"/>
      </w:pPr>
      <w:r>
        <w:t>6. Comprendre les faits et la preuve</w:t>
      </w:r>
    </w:p>
    <w:p>
      <w:r>
        <w:t>Situation financière établie. Le oui/non et sa raison, lorsqu’ils sont disponibles dans le CR ou les diagnostics, portent sur la base courante que le moteur a pu qualifier au périmètre et à la date retenus. « Oui » ne certifie ni tous les chiffres ni les scénarios. « Non » ne prouve pas l’absence de comptes : examinez les pièces recensées, l’extractibilité, les périodes, les périmètres et les conflits. Cette raison globale n’est pas une explication par chiffre.</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fill="101A4A"/>
          </w:tcPr>
          <w:p>
            <w:pPr>
              <w:keepNext/>
            </w:pPr>
            <w:r>
              <w:rPr>
                <w:b/>
                <w:color w:val="FFFFFF"/>
              </w:rPr>
              <w:t>Étiquette</w:t>
            </w:r>
          </w:p>
        </w:tc>
        <w:tc>
          <w:tcPr>
            <w:tcW w:type="dxa" w:w="5040"/>
            <w:shd w:fill="101A4A"/>
          </w:tcPr>
          <w:p>
            <w:pPr>
              <w:keepNext/>
            </w:pPr>
            <w:r>
              <w:rPr>
                <w:b/>
                <w:color w:val="FFFFFF"/>
              </w:rPr>
              <w:t>Usage</w:t>
            </w:r>
          </w:p>
        </w:tc>
      </w:tr>
      <w:tr>
        <w:trPr>
          <w:cantSplit/>
        </w:trPr>
        <w:tc>
          <w:tcPr>
            <w:tcW w:type="dxa" w:w="5040"/>
            <w:vAlign w:val="center"/>
          </w:tcPr>
          <w:p>
            <w:r>
              <w:t>FACT / FAIT</w:t>
            </w:r>
          </w:p>
        </w:tc>
        <w:tc>
          <w:tcPr>
            <w:tcW w:type="dxa" w:w="5040"/>
            <w:vAlign w:val="center"/>
          </w:tcPr>
          <w:p>
            <w:r>
              <w:t>Étiquette de qualification du moteur, non certification. Contrôler nature et preuve dans la source.</w:t>
            </w:r>
          </w:p>
        </w:tc>
      </w:tr>
      <w:tr>
        <w:trPr>
          <w:cantSplit/>
        </w:trPr>
        <w:tc>
          <w:tcPr>
            <w:tcW w:type="dxa" w:w="5040"/>
            <w:vAlign w:val="center"/>
          </w:tcPr>
          <w:p>
            <w:r>
              <w:t>DERIVED FROM FACTS</w:t>
            </w:r>
          </w:p>
        </w:tc>
        <w:tc>
          <w:tcPr>
            <w:tcW w:type="dxa" w:w="5040"/>
            <w:vAlign w:val="center"/>
          </w:tcPr>
          <w:p>
            <w:r>
              <w:t>calcul déterministe à partir de claims</w:t>
            </w:r>
          </w:p>
        </w:tc>
      </w:tr>
      <w:tr>
        <w:trPr>
          <w:cantSplit/>
        </w:trPr>
        <w:tc>
          <w:tcPr>
            <w:tcW w:type="dxa" w:w="5040"/>
            <w:vAlign w:val="center"/>
          </w:tcPr>
          <w:p>
            <w:r>
              <w:t>SECT. REF.</w:t>
            </w:r>
          </w:p>
        </w:tc>
        <w:tc>
          <w:tcPr>
            <w:tcW w:type="dxa" w:w="5040"/>
            <w:vAlign w:val="center"/>
          </w:tcPr>
          <w:p>
            <w:r>
              <w:t>benchmark sectoriel</w:t>
            </w:r>
          </w:p>
        </w:tc>
      </w:tr>
      <w:tr>
        <w:trPr>
          <w:cantSplit/>
        </w:trPr>
        <w:tc>
          <w:tcPr>
            <w:tcW w:type="dxa" w:w="5040"/>
            <w:vAlign w:val="center"/>
          </w:tcPr>
          <w:p>
            <w:r>
              <w:t>AI ESTIM.</w:t>
            </w:r>
          </w:p>
        </w:tc>
        <w:tc>
          <w:tcPr>
            <w:tcW w:type="dxa" w:w="5040"/>
            <w:vAlign w:val="center"/>
          </w:tcPr>
          <w:p>
            <w:r>
              <w:t>inférence à vérifier</w:t>
            </w:r>
          </w:p>
        </w:tc>
      </w:tr>
      <w:tr>
        <w:trPr>
          <w:cantSplit/>
        </w:trPr>
        <w:tc>
          <w:tcPr>
            <w:tcW w:type="dxa" w:w="5040"/>
            <w:vAlign w:val="center"/>
          </w:tcPr>
          <w:p>
            <w:r>
              <w:t>Historical conflict</w:t>
            </w:r>
          </w:p>
        </w:tc>
        <w:tc>
          <w:tcPr>
            <w:tcW w:type="dxa" w:w="5040"/>
            <w:vAlign w:val="center"/>
          </w:tcPr>
          <w:p>
            <w:r>
              <w:t>valeurs prouvées mais incompatibles, non établies</w:t>
            </w:r>
          </w:p>
        </w:tc>
      </w:tr>
    </w:tbl>
    <w:p>
      <w:r/>
    </w:p>
    <w:p>
      <w:pPr>
        <w:pStyle w:val="Heading1"/>
      </w:pPr>
      <w:r>
        <w:t>7. Scores et usages autorisés</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fill="101A4A"/>
          </w:tcPr>
          <w:p>
            <w:pPr>
              <w:keepNext/>
            </w:pPr>
            <w:r>
              <w:rPr>
                <w:b/>
                <w:color w:val="FFFFFF"/>
              </w:rPr>
              <w:t>Indicateur</w:t>
            </w:r>
          </w:p>
        </w:tc>
        <w:tc>
          <w:tcPr>
            <w:tcW w:type="dxa" w:w="5040"/>
            <w:shd w:fill="101A4A"/>
          </w:tcPr>
          <w:p>
            <w:pPr>
              <w:keepNext/>
            </w:pPr>
            <w:r>
              <w:rPr>
                <w:b/>
                <w:color w:val="FFFFFF"/>
              </w:rPr>
              <w:t>Question</w:t>
            </w:r>
          </w:p>
        </w:tc>
      </w:tr>
      <w:tr>
        <w:trPr>
          <w:cantSplit/>
        </w:trPr>
        <w:tc>
          <w:tcPr>
            <w:tcW w:type="dxa" w:w="5040"/>
            <w:vAlign w:val="center"/>
          </w:tcPr>
          <w:p>
            <w:r>
              <w:t>Evidence / preuve</w:t>
            </w:r>
          </w:p>
        </w:tc>
        <w:tc>
          <w:tcPr>
            <w:tcW w:type="dxa" w:w="5040"/>
            <w:vAlign w:val="center"/>
          </w:tcPr>
          <w:p>
            <w:r>
              <w:t>Les affirmations sont-elles étayées ?</w:t>
            </w:r>
          </w:p>
        </w:tc>
      </w:tr>
      <w:tr>
        <w:trPr>
          <w:cantSplit/>
        </w:trPr>
        <w:tc>
          <w:tcPr>
            <w:tcW w:type="dxa" w:w="5040"/>
            <w:vAlign w:val="center"/>
          </w:tcPr>
          <w:p>
            <w:r>
              <w:t>Usefulness / utilité</w:t>
            </w:r>
          </w:p>
        </w:tc>
        <w:tc>
          <w:tcPr>
            <w:tcW w:type="dxa" w:w="5040"/>
            <w:vAlign w:val="center"/>
          </w:tcPr>
          <w:p>
            <w:r>
              <w:t>Le document aide-t-il à cadrer et agir ?</w:t>
            </w:r>
          </w:p>
        </w:tc>
      </w:tr>
      <w:tr>
        <w:trPr>
          <w:cantSplit/>
        </w:trPr>
        <w:tc>
          <w:tcPr>
            <w:tcW w:type="dxa" w:w="5040"/>
            <w:vAlign w:val="center"/>
          </w:tcPr>
          <w:p>
            <w:r>
              <w:t>Run stability</w:t>
            </w:r>
          </w:p>
        </w:tc>
        <w:tc>
          <w:tcPr>
            <w:tcW w:type="dxa" w:w="5040"/>
            <w:vAlign w:val="center"/>
          </w:tcPr>
          <w:p>
            <w:r>
              <w:t>La chaîne a-t-elle fonctionné sans erreur ?</w:t>
            </w:r>
          </w:p>
        </w:tc>
      </w:tr>
      <w:tr>
        <w:trPr>
          <w:cantSplit/>
        </w:trPr>
        <w:tc>
          <w:tcPr>
            <w:tcW w:type="dxa" w:w="5040"/>
            <w:vAlign w:val="center"/>
          </w:tcPr>
          <w:p>
            <w:r>
              <w:t>Brief cap</w:t>
            </w:r>
          </w:p>
        </w:tc>
        <w:tc>
          <w:tcPr>
            <w:tcW w:type="dxa" w:w="5040"/>
            <w:vAlign w:val="center"/>
          </w:tcPr>
          <w:p>
            <w:r>
              <w:t>Le brief fournit-il les leviers nécessaires ?</w:t>
            </w:r>
          </w:p>
        </w:tc>
      </w:tr>
    </w:tbl>
    <w:p>
      <w:r/>
    </w:p>
    <w:p>
      <w:pPr>
        <w:pStyle w:val="Heading1"/>
      </w:pPr>
      <w:r>
        <w:t>8. Ce que vous recevez — deux Word, une trame, le Dossier complet</w:t>
      </w:r>
    </w:p>
    <w:p>
      <w:r>
        <w:t>Les deux Word sont les livrables principaux : analyse détaillée et synthèse décisionnelle. Le PPTX est une ébauche de présentation à reprendre après lecture des Word, non un document autonome prêt à remettre. Le volume dépend du brief et de la matière ; les nombres de pages ou de slides sont des repères, pas une garantie. Le paquet complet réunit les fichiers effectivement produits, les diagnostics, les registres disponibles, le journal de préparation et le manifeste.</w:t>
      </w:r>
    </w:p>
    <w:p>
      <w:r>
        <w:t>Gardes déterministes. Après la génération par les modèles, des règles Python locales examinent les textes et les données structurées. Aucun modèle n’est appelé pour décider dans ces gardes. Doctrine « tout livrer, tout signaler en place » : le principe est de conserver. Une quantité non étayée reste à sa place, surlignée et suivie de « ⚠ à vérifier — motif » ; un chiffre contredit par une pièce porte la valeur de la pièce ; l’encadré de première page compte et liste les passages signalés, et le registre les recense. Exceptions actuelles : les calculs personnels (rémunération, dividendes, statut de travailleur non salarié) sont écartés ; sans états financiers primaires du périmètre, la note Finance d’un dossier d’une personne (SASU, EURL, EI) ou une note très courte est remplacée par un cadre de prudence ; certaines formulations comptables reçoivent une réserve normalisée, elle-même à confronter aux pièces. Seule une panne technique empêche la livraison. Ces contrôles réduisent certains risques ; ils ne garantissent ni l’absence d’erreur, ni l’exhaustivité, ni une traçabilité complète de chaque transformation. Un élément légitime peut être sur-étiqueté ou masqué ; un élément incorrect peut échapper au contrôle. Relire les Word et comparer les réserves, registres et sources avant usage.</w:t>
      </w:r>
    </w:p>
    <w:p>
      <w:r>
        <w:t>Lire le paquet. Commencez par la synthèse Word, puis le CR long et ses sources ; préparez ensuite le PPTX. diagnostics_ia.csv et diagnostic_A1_RUN-*.json décrivent l’exécution ; les registres JSON/CSV et le journal de préparation complètent la revue. CONTROLE_LIVRAISON.json, lorsqu’il est produit, rapproche des objets des fichiers écrits : absent, altéré, attribut perdu, coupé, lecture impossible. controle_pptx_*.json décrit les contrôles propres au deck. Zéro anomalie détectée n’est pas une garantie d’exactitude. Ses alertes portent sur les Word : objet absent de tous les documents ; objet altéré, coupé sans renvoi ou privé de son porteur, de son échéance ou de son statut dans un Word. Le contrôle du deck livré aligne la décision sur celle du conseil, qualifie un effectif d’une autre entité et renvoie au compte rendu les cartes vides ou réduites à un intertitre ; son rapport figure au diagnostic. Une ébauche peut être incomplète, pas trompeuse.</w:t>
      </w:r>
    </w:p>
    <w:p>
      <w:pPr>
        <w:pStyle w:val="Heading1"/>
      </w:pPr>
      <w:r>
        <w:t>9. Revue humaine obligatoire</w:t>
      </w:r>
    </w:p>
    <w:p>
      <w:pPr>
        <w:pStyle w:val="ListBullet"/>
      </w:pPr>
      <w:r>
        <w:t>☐ Entité et périmètre corrects</w:t>
      </w:r>
    </w:p>
    <w:p>
      <w:pPr>
        <w:pStyle w:val="ListBullet"/>
      </w:pPr>
      <w:r>
        <w:t>☐ Date/période courante correcte</w:t>
      </w:r>
    </w:p>
    <w:p>
      <w:pPr>
        <w:pStyle w:val="ListBullet"/>
      </w:pPr>
      <w:r>
        <w:t>☐ Sources et pages ouvertes</w:t>
      </w:r>
    </w:p>
    <w:p>
      <w:pPr>
        <w:pStyle w:val="ListBullet"/>
      </w:pPr>
      <w:r>
        <w:t>☐ Calculs recomputés</w:t>
      </w:r>
    </w:p>
    <w:p>
      <w:pPr>
        <w:pStyle w:val="ListBullet"/>
      </w:pPr>
      <w:r>
        <w:t>☐ Conflits historiques compris</w:t>
      </w:r>
    </w:p>
    <w:p>
      <w:pPr>
        <w:pStyle w:val="ListBullet"/>
      </w:pPr>
      <w:r>
        <w:t>☐ Hypothèses séparées des faits</w:t>
      </w:r>
    </w:p>
    <w:p>
      <w:pPr>
        <w:pStyle w:val="ListBullet"/>
      </w:pPr>
      <w:r>
        <w:t>☐ Décisions et échéances réalistes</w:t>
      </w:r>
    </w:p>
    <w:p>
      <w:pPr>
        <w:pStyle w:val="ListBullet"/>
      </w:pPr>
      <w:r>
        <w:t>☐ Confidentialité vérifiée</w:t>
      </w:r>
    </w:p>
    <w:p>
      <w:pPr>
        <w:pStyle w:val="ListBullet"/>
      </w:pPr>
      <w:r>
        <w:t>☐ PPTX repris pour le contexte client</w:t>
      </w:r>
    </w:p>
    <w:p>
      <w:pPr>
        <w:pStyle w:val="ListBullet"/>
      </w:pPr>
      <w:r>
        <w:t>☐ Validation du responsable métier</w:t>
      </w:r>
    </w:p>
    <w:p>
      <w:pPr>
        <w:pStyle w:val="Heading1"/>
      </w:pPr>
      <w:r>
        <w:t>10. Données, sécurité et droits</w:t>
      </w:r>
    </w:p>
    <w:p>
      <w:r>
        <w:t>Les chemins, catégories de données, fournisseurs et procédures d’effacement figurent dans PRIVACY_FR/EN. Minimisez les données, contrôlez les accès et vérifiez les rôles et accords applicables, dont un accord de sous-traitance lorsqu’il est requis. Local ne signifie pas hors ligne. L’interface, le stockage et les gardes s’exécutent sur le poste ; les fournisseurs d’IA, registres et recherches activés reçoivent les contenus nécessaires selon les fonctions. Les gardes ne constituent ni une anonymisation ni un pare-feu avant transmission. Le brief, les extraits et, selon le contexte transmis, des éléments d’historique peuvent quitter le poste. Vérifiez vos droits et les comptes fournisseurs avant lancement.</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fill="101A4A"/>
          </w:tcPr>
          <w:p>
            <w:pPr>
              <w:keepNext/>
            </w:pPr>
            <w:r>
              <w:rPr>
                <w:b/>
                <w:color w:val="FFFFFF"/>
              </w:rPr>
              <w:t>Document</w:t>
            </w:r>
          </w:p>
        </w:tc>
        <w:tc>
          <w:tcPr>
            <w:tcW w:type="dxa" w:w="5040"/>
            <w:shd w:fill="101A4A"/>
          </w:tcPr>
          <w:p>
            <w:pPr>
              <w:keepNext/>
            </w:pPr>
            <w:r>
              <w:rPr>
                <w:b/>
                <w:color w:val="FFFFFF"/>
              </w:rPr>
              <w:t>Objet</w:t>
            </w:r>
          </w:p>
        </w:tc>
      </w:tr>
      <w:tr>
        <w:trPr>
          <w:cantSplit/>
        </w:trPr>
        <w:tc>
          <w:tcPr>
            <w:tcW w:type="dxa" w:w="5040"/>
            <w:vAlign w:val="center"/>
          </w:tcPr>
          <w:p>
            <w:r>
              <w:t>TERMS_OF_USE_FR/EN</w:t>
            </w:r>
          </w:p>
        </w:tc>
        <w:tc>
          <w:tcPr>
            <w:tcW w:type="dxa" w:w="5040"/>
            <w:vAlign w:val="center"/>
          </w:tcPr>
          <w:p>
            <w:r>
              <w:t>usage et responsabilité</w:t>
            </w:r>
          </w:p>
        </w:tc>
      </w:tr>
      <w:tr>
        <w:trPr>
          <w:cantSplit/>
        </w:trPr>
        <w:tc>
          <w:tcPr>
            <w:tcW w:type="dxa" w:w="5040"/>
            <w:vAlign w:val="center"/>
          </w:tcPr>
          <w:p>
            <w:r>
              <w:t>PRIVACY_FR/EN</w:t>
            </w:r>
          </w:p>
        </w:tc>
        <w:tc>
          <w:tcPr>
            <w:tcW w:type="dxa" w:w="5040"/>
            <w:vAlign w:val="center"/>
          </w:tcPr>
          <w:p>
            <w:r>
              <w:t>flux et droits</w:t>
            </w:r>
          </w:p>
        </w:tc>
      </w:tr>
      <w:tr>
        <w:trPr>
          <w:cantSplit/>
        </w:trPr>
        <w:tc>
          <w:tcPr>
            <w:tcW w:type="dxa" w:w="5040"/>
            <w:vAlign w:val="center"/>
          </w:tcPr>
          <w:p>
            <w:r>
              <w:t>DPA_TEMPLATE</w:t>
            </w:r>
          </w:p>
        </w:tc>
        <w:tc>
          <w:tcPr>
            <w:tcW w:type="dxa" w:w="5040"/>
            <w:vAlign w:val="center"/>
          </w:tcPr>
          <w:p>
            <w:r>
              <w:t>Modèle non inclus dans le paquet public ; à demander à l’éditeur dans le cadre contractuel applicable.</w:t>
            </w:r>
          </w:p>
        </w:tc>
      </w:tr>
      <w:tr>
        <w:trPr>
          <w:cantSplit/>
        </w:trPr>
        <w:tc>
          <w:tcPr>
            <w:tcW w:type="dxa" w:w="5040"/>
            <w:vAlign w:val="center"/>
          </w:tcPr>
          <w:p>
            <w:r>
              <w:t>SECURITY_FR/EN</w:t>
            </w:r>
          </w:p>
        </w:tc>
        <w:tc>
          <w:tcPr>
            <w:tcW w:type="dxa" w:w="5040"/>
            <w:vAlign w:val="center"/>
          </w:tcPr>
          <w:p>
            <w:r>
              <w:t>signalement et CRA</w:t>
            </w:r>
          </w:p>
        </w:tc>
      </w:tr>
      <w:tr>
        <w:trPr>
          <w:cantSplit/>
        </w:trPr>
        <w:tc>
          <w:tcPr>
            <w:tcW w:type="dxa" w:w="5040"/>
            <w:vAlign w:val="center"/>
          </w:tcPr>
          <w:p>
            <w:r>
              <w:t>AI_ACT_FAQ_CLIENT</w:t>
            </w:r>
          </w:p>
        </w:tc>
        <w:tc>
          <w:tcPr>
            <w:tcW w:type="dxa" w:w="5040"/>
            <w:vAlign w:val="center"/>
          </w:tcPr>
          <w:p>
            <w:r>
              <w:t>transparence et rôles</w:t>
            </w:r>
          </w:p>
        </w:tc>
      </w:tr>
      <w:tr>
        <w:trPr>
          <w:cantSplit/>
        </w:trPr>
        <w:tc>
          <w:tcPr>
            <w:tcW w:type="dxa" w:w="5040"/>
            <w:vAlign w:val="center"/>
          </w:tcPr>
          <w:p>
            <w:r>
              <w:t>SBOM / THIRD_PARTY_NOTICES</w:t>
            </w:r>
          </w:p>
        </w:tc>
        <w:tc>
          <w:tcPr>
            <w:tcW w:type="dxa" w:w="5040"/>
            <w:vAlign w:val="center"/>
          </w:tcPr>
          <w:p>
            <w:r>
              <w:t>supply chain logicielle</w:t>
            </w:r>
          </w:p>
        </w:tc>
      </w:tr>
    </w:tbl>
    <w:p>
      <w:r/>
    </w:p>
    <w:p>
      <w:pPr>
        <w:pStyle w:val="Heading1"/>
      </w:pPr>
      <w:r>
        <w:t>11. Incidents et support</w:t>
      </w:r>
    </w:p>
    <w:p>
      <w:r>
        <w:t>En cas d’erreur, conserver diagnostics_ia.csv, contrôle PPTX JSON, Word/PPTX, heure du run, build et journal technique. Relire le journal avant transmission.</w:t>
      </w:r>
    </w:p>
    <w:tbl>
      <w:tblPr>
        <w:tblW w:type="auto" w:w="0"/>
        <w:jc w:val="center"/>
        <w:tblLayout w:type="autofit"/>
        <w:tblLook w:firstColumn="1" w:firstRow="1" w:lastColumn="0" w:lastRow="0" w:noHBand="0" w:noVBand="1" w:val="04A0"/>
      </w:tblPr>
      <w:tblGrid>
        <w:gridCol w:w="10080"/>
      </w:tblGrid>
      <w:tr>
        <w:trPr>
          <w:cantSplit/>
          <w:tblHeader/>
        </w:trPr>
        <w:tc>
          <w:tcPr>
            <w:tcW w:type="dxa" w:w="10080"/>
            <w:shd w:fill="101A4A"/>
          </w:tcPr>
          <w:p>
            <w:pPr>
              <w:keepNext/>
            </w:pPr>
            <w:r>
              <w:rPr>
                <w:b/>
                <w:color w:val="FFFFFF"/>
              </w:rPr>
              <w:t>Sécurité</w:t>
            </w:r>
          </w:p>
        </w:tc>
      </w:tr>
      <w:tr>
        <w:trPr>
          <w:cantSplit/>
        </w:trPr>
        <w:tc>
          <w:tcPr>
            <w:tcW w:type="dxa" w:w="10080"/>
            <w:shd w:fill="FFF3CD"/>
          </w:tcPr>
          <w:p>
            <w:r>
              <w:t>Vulnérabilité : security@vauquigneux.com (canal principal), objet [SECURITY CoDIR IA] ; https://robinsauzet.com/contact/ en repli, sans secret dans le premier message.</w:t>
            </w:r>
          </w:p>
        </w:tc>
      </w:tr>
    </w:tbl>
    <w:p>
      <w:r/>
    </w:p>
    <w:p>
      <w:pPr>
        <w:pStyle w:val="Heading1"/>
      </w:pPr>
      <w:r>
        <w:t>12. Checklist avant décision ou diffusion</w:t>
      </w:r>
    </w:p>
    <w:p>
      <w:pPr>
        <w:pStyle w:val="ListBullet"/>
      </w:pPr>
      <w:r>
        <w:t>☐ Le document reste un travail supervisé.</w:t>
      </w:r>
    </w:p>
    <w:p>
      <w:pPr>
        <w:pStyle w:val="ListBullet"/>
      </w:pPr>
      <w:r>
        <w:t>☐ Aucun chiffre non confirmé n’est présenté comme réalisé acquis ; les hypothèses conservées restent explicitement qualifiées.</w:t>
      </w:r>
    </w:p>
    <w:p>
      <w:pPr>
        <w:pStyle w:val="ListBullet"/>
      </w:pPr>
      <w:r>
        <w:t>☐ Les scénarios utilisés sont lisibles, complets et qualifiés ; les retraits et leurs effets sur le raisonnement sont examinés.</w:t>
      </w:r>
    </w:p>
    <w:p>
      <w:pPr>
        <w:pStyle w:val="ListBullet"/>
      </w:pPr>
      <w:r>
        <w:t>☐ Chaque fait critique est rapproché de sa valeur, son libellé, ses dimensions et sa source ; les limites restent visibles.</w:t>
      </w:r>
    </w:p>
    <w:p>
      <w:pPr>
        <w:pStyle w:val="ListBullet"/>
      </w:pPr>
      <w:r>
        <w:t>☐ Les périodes et périmètres sont explicites.</w:t>
      </w:r>
    </w:p>
    <w:p>
      <w:pPr>
        <w:pStyle w:val="ListBullet"/>
      </w:pPr>
      <w:r>
        <w:t>☐ Les données personnelles sont minimisées.</w:t>
      </w:r>
    </w:p>
    <w:p>
      <w:pPr>
        <w:pStyle w:val="ListBullet"/>
      </w:pPr>
      <w:r>
        <w:t>☐ Le client a reçu les conditions et la notice adaptées.</w:t>
      </w:r>
    </w:p>
    <w:p>
      <w:pPr>
        <w:pStyle w:val="ListBullet"/>
      </w:pPr>
      <w:r>
        <w:t>☐ La décision finale est humaine et tracée.</w:t>
      </w:r>
    </w:p>
    <w:p>
      <w:pPr>
        <w:pStyle w:val="Heading1"/>
      </w:pPr>
      <w:r>
        <w:t>Annexe A — Construire une analyse reproductible</w:t>
      </w:r>
    </w:p>
    <w:p>
      <w:r>
        <w:t>La qualité du résultat dépend moins de la longueur du brief que de la précision des frontières. Une analyse reproductible identifie la personne qui demande, la cible légale, le périmètre, la date de connaissance, les pièces faisant foi, la décision attendue et les contraintes. Chaque modification doit être visible dans un nouveau run ou dans l’historique.</w:t>
      </w:r>
    </w:p>
    <w:p>
      <w:pPr>
        <w:pStyle w:val="ListBullet"/>
      </w:pPr>
      <w:r>
        <w:t>Quelle entité exacte ?</w:t>
      </w:r>
    </w:p>
    <w:p>
      <w:pPr>
        <w:pStyle w:val="ListBullet"/>
      </w:pPr>
      <w:r>
        <w:t>Groupe ou société ?</w:t>
      </w:r>
    </w:p>
    <w:p>
      <w:pPr>
        <w:pStyle w:val="ListBullet"/>
      </w:pPr>
      <w:r>
        <w:t>Quelle période est actuelle ?</w:t>
      </w:r>
    </w:p>
    <w:p>
      <w:pPr>
        <w:pStyle w:val="ListBullet"/>
      </w:pPr>
      <w:r>
        <w:t>Quelles données sont primaires ?</w:t>
      </w:r>
    </w:p>
    <w:p>
      <w:pPr>
        <w:pStyle w:val="ListBullet"/>
      </w:pPr>
      <w:r>
        <w:t>Quelle décision doit être préparée ?</w:t>
      </w:r>
    </w:p>
    <w:p>
      <w:pPr>
        <w:pStyle w:val="ListBullet"/>
      </w:pPr>
      <w:r>
        <w:t>Qu’est-ce qui ferait changer l’arbitrage ?</w:t>
      </w:r>
    </w:p>
    <w:p>
      <w:pPr>
        <w:pStyle w:val="ListBullet"/>
      </w:pPr>
      <w:r>
        <w:t>Quelles informations ne doivent pas sortir du poste ?</w:t>
      </w:r>
    </w:p>
    <w:p>
      <w:pPr>
        <w:pStyle w:val="Heading1"/>
      </w:pPr>
      <w:r>
        <w:t>Annexe B — Lecture détaillée des statuts de preuve</w:t>
      </w:r>
    </w:p>
    <w:p>
      <w:r>
        <w:t>La preuve répond à la question : l’énoncé complet est-il rapproché de sa source ? Le rôle canonique distingue référence courante, historique et indication postérieure. La nature distingue réalisé, budget, hypothèse et cible ; le statut d’approbation distingue proposition et décision humaine. Aucun de ces axes ne remplace les autres.</w:t>
      </w:r>
    </w:p>
    <w:tbl>
      <w:tblPr>
        <w:tblStyle w:val="TableGrid"/>
        <w:tblW w:type="auto" w:w="0"/>
        <w:jc w:val="center"/>
        <w:tblLook w:firstColumn="1" w:firstRow="1" w:lastColumn="0" w:lastRow="0" w:noHBand="0" w:noVBand="1" w:val="04A0"/>
      </w:tblPr>
      <w:tblGrid>
        <w:gridCol w:w="3360"/>
        <w:gridCol w:w="3360"/>
        <w:gridCol w:w="3360"/>
      </w:tblGrid>
      <w:tr>
        <w:trPr>
          <w:cantSplit/>
          <w:tblHeader/>
        </w:trPr>
        <w:tc>
          <w:tcPr>
            <w:tcW w:type="dxa" w:w="3360"/>
            <w:shd w:fill="101A4A"/>
          </w:tcPr>
          <w:p>
            <w:pPr>
              <w:keepNext/>
            </w:pPr>
            <w:r>
              <w:rPr>
                <w:b/>
                <w:color w:val="FFFFFF"/>
              </w:rPr>
              <w:t>Statut de preuve</w:t>
            </w:r>
          </w:p>
        </w:tc>
        <w:tc>
          <w:tcPr>
            <w:tcW w:type="dxa" w:w="3360"/>
            <w:shd w:fill="101A4A"/>
          </w:tcPr>
          <w:p>
            <w:pPr>
              <w:keepNext/>
            </w:pPr>
            <w:r>
              <w:rPr>
                <w:b/>
                <w:color w:val="FFFFFF"/>
              </w:rPr>
              <w:t>Rôle canonique</w:t>
            </w:r>
          </w:p>
        </w:tc>
        <w:tc>
          <w:tcPr>
            <w:tcW w:type="dxa" w:w="3360"/>
            <w:shd w:fill="101A4A"/>
          </w:tcPr>
          <w:p>
            <w:pPr>
              <w:keepNext/>
            </w:pPr>
            <w:r>
              <w:rPr>
                <w:b/>
                <w:color w:val="FFFFFF"/>
              </w:rPr>
              <w:t>Interprétation</w:t>
            </w:r>
          </w:p>
        </w:tc>
      </w:tr>
      <w:tr>
        <w:trPr>
          <w:cantSplit/>
        </w:trPr>
        <w:tc>
          <w:tcPr>
            <w:tcW w:type="dxa" w:w="3360"/>
            <w:vAlign w:val="center"/>
          </w:tcPr>
          <w:p>
            <w:r>
              <w:t>CONFIRMED_ON_PAGE</w:t>
            </w:r>
          </w:p>
        </w:tc>
        <w:tc>
          <w:tcPr>
            <w:tcW w:type="dxa" w:w="3360"/>
            <w:vAlign w:val="center"/>
          </w:tcPr>
          <w:p>
            <w:r>
              <w:t>CURRENT</w:t>
            </w:r>
          </w:p>
        </w:tc>
        <w:tc>
          <w:tcPr>
            <w:tcW w:type="dxa" w:w="3360"/>
            <w:vAlign w:val="center"/>
          </w:tcPr>
          <w:p>
            <w:r>
              <w:t>Référence courante rapprochée ; dimensions et nature à vérifier</w:t>
            </w:r>
          </w:p>
        </w:tc>
      </w:tr>
      <w:tr>
        <w:trPr>
          <w:cantSplit/>
        </w:trPr>
        <w:tc>
          <w:tcPr>
            <w:tcW w:type="dxa" w:w="3360"/>
            <w:vAlign w:val="center"/>
          </w:tcPr>
          <w:p>
            <w:r>
              <w:t>CONFIRMED_ON_PAGE</w:t>
            </w:r>
          </w:p>
        </w:tc>
        <w:tc>
          <w:tcPr>
            <w:tcW w:type="dxa" w:w="3360"/>
            <w:vAlign w:val="center"/>
          </w:tcPr>
          <w:p>
            <w:r>
              <w:t>CONTRIBUTING_HISTORY</w:t>
            </w:r>
          </w:p>
        </w:tc>
        <w:tc>
          <w:tcPr>
            <w:tcW w:type="dxa" w:w="3360"/>
            <w:vAlign w:val="center"/>
          </w:tcPr>
          <w:p>
            <w:r>
              <w:t>Comparaison historique rapprochée</w:t>
            </w:r>
          </w:p>
        </w:tc>
      </w:tr>
      <w:tr>
        <w:trPr>
          <w:cantSplit/>
        </w:trPr>
        <w:tc>
          <w:tcPr>
            <w:tcW w:type="dxa" w:w="3360"/>
            <w:vAlign w:val="center"/>
          </w:tcPr>
          <w:p>
            <w:r>
              <w:t>CONFIRMED_ON_PAGE</w:t>
            </w:r>
          </w:p>
        </w:tc>
        <w:tc>
          <w:tcPr>
            <w:tcW w:type="dxa" w:w="3360"/>
            <w:vAlign w:val="center"/>
          </w:tcPr>
          <w:p>
            <w:r>
              <w:t>POST_CLOSE_INDICATION</w:t>
            </w:r>
          </w:p>
        </w:tc>
        <w:tc>
          <w:tcPr>
            <w:tcW w:type="dxa" w:w="3360"/>
            <w:vAlign w:val="center"/>
          </w:tcPr>
          <w:p>
            <w:r>
              <w:t>Indication postérieure, distincte du réalisé annuel</w:t>
            </w:r>
          </w:p>
        </w:tc>
      </w:tr>
      <w:tr>
        <w:trPr>
          <w:cantSplit/>
        </w:trPr>
        <w:tc>
          <w:tcPr>
            <w:tcW w:type="dxa" w:w="3360"/>
            <w:vAlign w:val="center"/>
          </w:tcPr>
          <w:p>
            <w:r>
              <w:t>CONFLICT</w:t>
            </w:r>
          </w:p>
        </w:tc>
        <w:tc>
          <w:tcPr>
            <w:tcW w:type="dxa" w:w="3360"/>
            <w:vAlign w:val="center"/>
          </w:tcPr>
          <w:p>
            <w:r>
              <w:t>—</w:t>
            </w:r>
          </w:p>
        </w:tc>
        <w:tc>
          <w:tcPr>
            <w:tcW w:type="dxa" w:w="3360"/>
            <w:vAlign w:val="center"/>
          </w:tcPr>
          <w:p>
            <w:r>
              <w:t>Désaccord de même identité à résoudre</w:t>
            </w:r>
          </w:p>
        </w:tc>
      </w:tr>
      <w:tr>
        <w:trPr>
          <w:cantSplit/>
        </w:trPr>
        <w:tc>
          <w:tcPr>
            <w:tcW w:type="dxa" w:w="3360"/>
            <w:vAlign w:val="center"/>
          </w:tcPr>
          <w:p>
            <w:r>
              <w:t>OCR_REQUIRED</w:t>
            </w:r>
          </w:p>
        </w:tc>
        <w:tc>
          <w:tcPr>
            <w:tcW w:type="dxa" w:w="3360"/>
            <w:vAlign w:val="center"/>
          </w:tcPr>
          <w:p>
            <w:r>
              <w:t>—</w:t>
            </w:r>
          </w:p>
        </w:tc>
        <w:tc>
          <w:tcPr>
            <w:tcW w:type="dxa" w:w="3360"/>
            <w:vAlign w:val="center"/>
          </w:tcPr>
          <w:p>
            <w:r>
              <w:t>Document image sans lecture optique intégrée</w:t>
            </w:r>
          </w:p>
        </w:tc>
      </w:tr>
    </w:tbl>
    <w:p>
      <w:r/>
    </w:p>
    <w:p>
      <w:pPr>
        <w:pStyle w:val="Heading1"/>
      </w:pPr>
      <w:r>
        <w:t>Annexe C — Calculs dérivés</w:t>
      </w:r>
    </w:p>
    <w:p>
      <w:r>
        <w:t>Un calcul dérivé doit expliciter ses composantes, leurs identifiants disponibles et sa formule. Vérifiez définitions, devise, unité, échelle, périmètre et périodes cohérentes. Le lecteur doit pouvoir reproduire le calcul ; le seul label DERIVED ne le certifie pas.</w:t>
      </w:r>
    </w:p>
    <w:p>
      <w:pPr>
        <w:pStyle w:val="ListBullet"/>
      </w:pPr>
      <w:r>
        <w:t>Croissance du CA : deux revenus consolidés comparables.</w:t>
      </w:r>
    </w:p>
    <w:p>
      <w:pPr>
        <w:pStyle w:val="ListBullet"/>
      </w:pPr>
      <w:r>
        <w:t>Marge : résultat et chiffre d’affaires de même période/définition.</w:t>
      </w:r>
    </w:p>
    <w:p>
      <w:pPr>
        <w:pStyle w:val="ListBullet"/>
      </w:pPr>
      <w:r>
        <w:t>Levier : dette nette et EBITDA de définition cohérente.</w:t>
      </w:r>
    </w:p>
    <w:p>
      <w:pPr>
        <w:pStyle w:val="ListBullet"/>
      </w:pPr>
      <w:r>
        <w:t>Variation stock : stock de clôtures comparables.</w:t>
      </w:r>
    </w:p>
    <w:p>
      <w:pPr>
        <w:pStyle w:val="ListBullet"/>
      </w:pPr>
      <w:r>
        <w:t>Aucun calcul de taux constant sans donnée publiée dédiée.</w:t>
      </w:r>
    </w:p>
    <w:p>
      <w:pPr>
        <w:pStyle w:val="Heading1"/>
      </w:pPr>
      <w:r>
        <w:t>Annexe D — Scénarios de travail (annexe historique : la règle courante est au chapitre 8)</w:t>
      </w:r>
    </w:p>
    <w:p>
      <w:r>
        <w:t>Annexe historique — cette annexe décrit un état antérieur du produit, conservé pour mémoire ; la version courante est décrite dans le parcours opératoire et le chapitre 8.</w:t>
      </w:r>
    </w:p>
    <w:p>
      <w:r>
        <w:t>Principe de conservation : un chiffre prospectif non validé reste en place dans le corps du document, surligné et suivi de « ⚠ à vérifier — motif », et l’encadré de première page le compte (exceptions : calculs personnels écartés, cadre de prudence Finance — voir « Gardes déterministes »). Cette doctrine réduit les biais d’ancrage tout en gardant la matière de réflexion.</w:t>
      </w:r>
    </w:p>
    <w:tbl>
      <w:tblPr>
        <w:tblStyle w:val="TableGrid"/>
        <w:tblW w:type="auto" w:w="0"/>
        <w:jc w:val="center"/>
        <w:tblLook w:firstColumn="1" w:firstRow="1" w:lastColumn="0" w:lastRow="0" w:noHBand="0" w:noVBand="1" w:val="04A0"/>
      </w:tblPr>
      <w:tblGrid>
        <w:gridCol w:w="3360"/>
        <w:gridCol w:w="3360"/>
        <w:gridCol w:w="3360"/>
      </w:tblGrid>
      <w:tr>
        <w:trPr>
          <w:cantSplit/>
          <w:tblHeader/>
        </w:trPr>
        <w:tc>
          <w:tcPr>
            <w:tcW w:type="dxa" w:w="3360"/>
            <w:shd w:fill="101A4A"/>
          </w:tcPr>
          <w:p>
            <w:pPr>
              <w:keepNext/>
            </w:pPr>
            <w:r>
              <w:rPr>
                <w:b/>
                <w:color w:val="FFFFFF"/>
              </w:rPr>
              <w:t>Élément</w:t>
            </w:r>
          </w:p>
        </w:tc>
        <w:tc>
          <w:tcPr>
            <w:tcW w:type="dxa" w:w="3360"/>
            <w:shd w:fill="101A4A"/>
          </w:tcPr>
          <w:p>
            <w:pPr>
              <w:keepNext/>
            </w:pPr>
            <w:r>
              <w:rPr>
                <w:b/>
                <w:color w:val="FFFFFF"/>
              </w:rPr>
              <w:t>Corps principal</w:t>
            </w:r>
          </w:p>
        </w:tc>
        <w:tc>
          <w:tcPr>
            <w:tcW w:type="dxa" w:w="3360"/>
            <w:shd w:fill="101A4A"/>
          </w:tcPr>
          <w:p>
            <w:pPr>
              <w:keepNext/>
            </w:pPr>
            <w:r>
              <w:rPr>
                <w:b/>
                <w:color w:val="FFFFFF"/>
              </w:rPr>
              <w:t>Registre probatoire</w:t>
            </w:r>
          </w:p>
        </w:tc>
      </w:tr>
      <w:tr>
        <w:trPr>
          <w:cantSplit/>
        </w:trPr>
        <w:tc>
          <w:tcPr>
            <w:tcW w:type="dxa" w:w="3360"/>
            <w:vAlign w:val="center"/>
          </w:tcPr>
          <w:p>
            <w:r>
              <w:t>Fait page-confirmé</w:t>
            </w:r>
          </w:p>
        </w:tc>
        <w:tc>
          <w:tcPr>
            <w:tcW w:type="dxa" w:w="3360"/>
            <w:vAlign w:val="center"/>
          </w:tcPr>
          <w:p>
            <w:r>
              <w:t>Oui</w:t>
            </w:r>
          </w:p>
        </w:tc>
        <w:tc>
          <w:tcPr>
            <w:tcW w:type="dxa" w:w="3360"/>
            <w:vAlign w:val="center"/>
          </w:tcPr>
          <w:p>
            <w:r>
              <w:t>Référence possible</w:t>
            </w:r>
          </w:p>
        </w:tc>
      </w:tr>
      <w:tr>
        <w:trPr>
          <w:cantSplit/>
        </w:trPr>
        <w:tc>
          <w:tcPr>
            <w:tcW w:type="dxa" w:w="3360"/>
            <w:vAlign w:val="center"/>
          </w:tcPr>
          <w:p>
            <w:r>
              <w:t>Dérivé déterministe</w:t>
            </w:r>
          </w:p>
        </w:tc>
        <w:tc>
          <w:tcPr>
            <w:tcW w:type="dxa" w:w="3360"/>
            <w:vAlign w:val="center"/>
          </w:tcPr>
          <w:p>
            <w:r>
              <w:t>Oui</w:t>
            </w:r>
          </w:p>
        </w:tc>
        <w:tc>
          <w:tcPr>
            <w:tcW w:type="dxa" w:w="3360"/>
            <w:vAlign w:val="center"/>
          </w:tcPr>
          <w:p>
            <w:r>
              <w:t>Formule et sources</w:t>
            </w:r>
          </w:p>
        </w:tc>
      </w:tr>
      <w:tr>
        <w:trPr>
          <w:cantSplit/>
        </w:trPr>
        <w:tc>
          <w:tcPr>
            <w:tcW w:type="dxa" w:w="3360"/>
            <w:vAlign w:val="center"/>
          </w:tcPr>
          <w:p>
            <w:r>
              <w:t>Hypothèse qualitative</w:t>
            </w:r>
          </w:p>
        </w:tc>
        <w:tc>
          <w:tcPr>
            <w:tcW w:type="dxa" w:w="3360"/>
            <w:vAlign w:val="center"/>
          </w:tcPr>
          <w:p>
            <w:r>
              <w:t>Oui, qualifiée</w:t>
            </w:r>
          </w:p>
        </w:tc>
        <w:tc>
          <w:tcPr>
            <w:tcW w:type="dxa" w:w="3360"/>
            <w:vAlign w:val="center"/>
          </w:tcPr>
          <w:p>
            <w:r>
              <w:t>Détails possibles</w:t>
            </w:r>
          </w:p>
        </w:tc>
      </w:tr>
      <w:tr>
        <w:trPr>
          <w:cantSplit/>
        </w:trPr>
        <w:tc>
          <w:tcPr>
            <w:tcW w:type="dxa" w:w="3360"/>
            <w:vAlign w:val="center"/>
          </w:tcPr>
          <w:p>
            <w:r>
              <w:t>Budget/cible non validé</w:t>
            </w:r>
          </w:p>
        </w:tc>
        <w:tc>
          <w:tcPr>
            <w:tcW w:type="dxa" w:w="3360"/>
            <w:vAlign w:val="center"/>
          </w:tcPr>
          <w:p>
            <w:r>
              <w:t>Oui, signalé en place (⚠ à vérifier)</w:t>
            </w:r>
          </w:p>
        </w:tc>
        <w:tc>
          <w:tcPr>
            <w:tcW w:type="dxa" w:w="3360"/>
            <w:vAlign w:val="center"/>
          </w:tcPr>
          <w:p>
            <w:r>
              <w:t>Recensé</w:t>
            </w:r>
          </w:p>
        </w:tc>
      </w:tr>
      <w:tr>
        <w:trPr>
          <w:cantSplit/>
        </w:trPr>
        <w:tc>
          <w:tcPr>
            <w:tcW w:type="dxa" w:w="3360"/>
            <w:vAlign w:val="center"/>
          </w:tcPr>
          <w:p>
            <w:r>
              <w:t>Table Base/Bear/Bull</w:t>
            </w:r>
          </w:p>
        </w:tc>
        <w:tc>
          <w:tcPr>
            <w:tcW w:type="dxa" w:w="3360"/>
            <w:vAlign w:val="center"/>
          </w:tcPr>
          <w:p>
            <w:r>
              <w:t>Oui, en place avec ses signalements</w:t>
            </w:r>
          </w:p>
        </w:tc>
        <w:tc>
          <w:tcPr>
            <w:tcW w:type="dxa" w:w="3360"/>
            <w:vAlign w:val="center"/>
          </w:tcPr>
          <w:p>
            <w:r>
              <w:t>Recensée au registre probatoire</w:t>
            </w:r>
          </w:p>
        </w:tc>
      </w:tr>
    </w:tbl>
    <w:p>
      <w:r/>
    </w:p>
    <w:p>
      <w:pPr/>
      <w:r>
        <w:t>Le Word ne comporte pas d’annexe de remplacement : chaque passage douteux est signalé en place dans le corps. Les scénarios et le registre complet des passages signalés figurent dans le fichier probatoire (JSON et CSV) et dans le diagnostic du paquet.</w:t>
      </w:r>
    </w:p>
    <w:p>
      <w:pPr>
        <w:pStyle w:val="Heading1"/>
      </w:pPr>
      <w:r>
        <w:t>Annexe E — Revue du Word</w:t>
      </w:r>
    </w:p>
    <w:p>
      <w:pPr>
        <w:pStyle w:val="ListBullet"/>
      </w:pPr>
      <w:r>
        <w:t>Lire le bandeau de période et de périmètre.</w:t>
      </w:r>
    </w:p>
    <w:p>
      <w:pPr>
        <w:pStyle w:val="ListBullet"/>
      </w:pPr>
      <w:r>
        <w:t>Ouvrir les pages sources des faits critiques.</w:t>
      </w:r>
    </w:p>
    <w:p>
      <w:pPr>
        <w:pStyle w:val="ListBullet"/>
      </w:pPr>
      <w:r>
        <w:t>Repérer les conflits courants et historiques.</w:t>
      </w:r>
    </w:p>
    <w:p>
      <w:pPr>
        <w:pStyle w:val="ListBullet"/>
      </w:pPr>
      <w:r>
        <w:t>Contrôler les tableaux : faits vs scénarios.</w:t>
      </w:r>
    </w:p>
    <w:p>
      <w:pPr>
        <w:pStyle w:val="ListBullet"/>
      </w:pPr>
      <w:r>
        <w:t>Vérifier les réserves en place et le registre probatoire des passages signalés.</w:t>
      </w:r>
    </w:p>
    <w:p>
      <w:pPr>
        <w:pStyle w:val="ListBullet"/>
      </w:pPr>
      <w:r>
        <w:t>Redater les actions et échéances.</w:t>
      </w:r>
    </w:p>
    <w:p>
      <w:pPr>
        <w:pStyle w:val="ListBullet"/>
      </w:pPr>
      <w:r>
        <w:t>Supprimer les sections inutiles au contexte final.</w:t>
      </w:r>
    </w:p>
    <w:p>
      <w:pPr>
        <w:pStyle w:val="ListBullet"/>
      </w:pPr>
      <w:r>
        <w:t>Ajouter les responsabilités et décisions réellement arbitrées.</w:t>
      </w:r>
    </w:p>
    <w:p>
      <w:pPr>
        <w:pStyle w:val="Heading1"/>
      </w:pPr>
      <w:r>
        <w:t>Annexe F — Revue du Working Deck</w:t>
      </w:r>
    </w:p>
    <w:p>
      <w:r>
        <w:t>Le PPTX est une ébauche à préparer après lecture des Word. Retenez les messages utiles, complétez les visuels, corrigez les coupes et adaptez la durée à l’audience. Une sélection incomplète n’est pas en soi une erreur ; elle ne doit ni transformer le sens ni masquer une réserve déterminante. Une carte inutile peut être retirée.</w:t>
      </w:r>
    </w:p>
    <w:p>
      <w:pPr>
        <w:pStyle w:val="ListBullet"/>
      </w:pPr>
      <w:r>
        <w:t>trame de 10 à 15 slides (jusqu'à 18 quand la matière l'exige).</w:t>
      </w:r>
    </w:p>
    <w:p>
      <w:pPr>
        <w:pStyle w:val="ListBullet"/>
      </w:pPr>
      <w:r>
        <w:t>Aucun chiffre non confirmé présenté comme un fait acquis ; paramètres proposés explicitement qualifiés.</w:t>
      </w:r>
    </w:p>
    <w:p>
      <w:pPr>
        <w:pStyle w:val="ListBullet"/>
      </w:pPr>
      <w:r>
        <w:t>Pour le contenu sélectionné, même sens, valeurs et statuts dans les Word, le PPTX et les diagnostics.</w:t>
      </w:r>
    </w:p>
    <w:p>
      <w:pPr>
        <w:pStyle w:val="ListBullet"/>
      </w:pPr>
      <w:r>
        <w:t>Compléter ou supprimer les cartes inutiles ; ne pas inventer de KPI pour remplir le deck.</w:t>
      </w:r>
    </w:p>
    <w:p>
      <w:pPr>
        <w:pStyle w:val="ListBullet"/>
      </w:pPr>
      <w:r>
        <w:t>Supply Chain qualitative si baseline absente.</w:t>
      </w:r>
    </w:p>
    <w:p>
      <w:pPr>
        <w:pStyle w:val="ListBullet"/>
      </w:pPr>
      <w:r>
        <w:t>Reprendre charte, messages et logo avant client.</w:t>
      </w:r>
    </w:p>
    <w:p>
      <w:pPr>
        <w:pStyle w:val="Heading1"/>
      </w:pPr>
      <w:r>
        <w:t>Annexe G — Cas sensibles et interdictions</w:t>
      </w:r>
    </w:p>
    <w:p>
      <w:r>
        <w:t>Un usage prévu peut devenir juridiquement différent par son contexte. L’utilisateur doit arrêter le run et demander une revue lorsque les résultats sont utilisés pour décider sur des personnes, des services essentiels ou des droits. La supervision humaine n’est pas une formule : elle suppose compétence, temps, accès aux sources et pouvoir de modifier ou rejeter le résultat.</w:t>
      </w:r>
    </w:p>
    <w:p>
      <w:pPr>
        <w:pStyle w:val="ListBullet"/>
      </w:pPr>
      <w:r>
        <w:t>Recrutement et évaluation individuelle.</w:t>
      </w:r>
    </w:p>
    <w:p>
      <w:pPr>
        <w:pStyle w:val="ListBullet"/>
      </w:pPr>
      <w:r>
        <w:t>Crédit, assurance ou accès à un service essentiel.</w:t>
      </w:r>
    </w:p>
    <w:p>
      <w:pPr>
        <w:pStyle w:val="ListBullet"/>
      </w:pPr>
      <w:r>
        <w:t>Santé, sécurité ou diagnostic.</w:t>
      </w:r>
    </w:p>
    <w:p>
      <w:pPr>
        <w:pStyle w:val="ListBullet"/>
      </w:pPr>
      <w:r>
        <w:t>Surveillance biométrique ou comportementale.</w:t>
      </w:r>
    </w:p>
    <w:p>
      <w:pPr>
        <w:pStyle w:val="ListBullet"/>
      </w:pPr>
      <w:r>
        <w:t>Données classifiées, secret défense ou secret médical.</w:t>
      </w:r>
    </w:p>
    <w:p>
      <w:pPr>
        <w:pStyle w:val="ListBullet"/>
      </w:pPr>
      <w:r>
        <w:t>Décision automatisée sans possibilité réelle d’intervention.</w:t>
      </w:r>
    </w:p>
    <w:p>
      <w:pPr>
        <w:pStyle w:val="Heading1"/>
      </w:pPr>
      <w:r>
        <w:t>Annexe H — Dossier d’audit et archivage</w:t>
      </w:r>
    </w:p>
    <w:p>
      <w:r>
        <w:t>Pour un dossier important, archivez le ZIP et son SHA externe, le brief exact, le manifeste des pièces, la configuration, les diagnostics, CONTROLE_LIVRAISON.json lorsqu’il existe, les contrôles PPTX, les trois livrables et les arbitrages humains. Le paquet peut contenir des données absentes des documents : contrôlez sa confidentialité.</w:t>
      </w:r>
    </w:p>
    <w:tbl>
      <w:tblPr>
        <w:tblStyle w:val="TableGrid"/>
        <w:tblW w:type="auto" w:w="0"/>
        <w:jc w:val="center"/>
        <w:tblLook w:firstColumn="1" w:firstRow="1" w:lastColumn="0" w:lastRow="0" w:noHBand="0" w:noVBand="1" w:val="04A0"/>
      </w:tblPr>
      <w:tblGrid>
        <w:gridCol w:w="3360"/>
        <w:gridCol w:w="3360"/>
        <w:gridCol w:w="3360"/>
      </w:tblGrid>
      <w:tr>
        <w:trPr>
          <w:cantSplit/>
          <w:tblHeader/>
        </w:trPr>
        <w:tc>
          <w:tcPr>
            <w:tcW w:type="dxa" w:w="3360"/>
            <w:shd w:fill="101A4A"/>
          </w:tcPr>
          <w:p>
            <w:pPr>
              <w:keepNext/>
            </w:pPr>
            <w:r>
              <w:rPr>
                <w:b/>
                <w:color w:val="FFFFFF"/>
              </w:rPr>
              <w:t>Artefact</w:t>
            </w:r>
          </w:p>
        </w:tc>
        <w:tc>
          <w:tcPr>
            <w:tcW w:type="dxa" w:w="3360"/>
            <w:shd w:fill="101A4A"/>
          </w:tcPr>
          <w:p>
            <w:pPr>
              <w:keepNext/>
            </w:pPr>
            <w:r>
              <w:rPr>
                <w:b/>
                <w:color w:val="FFFFFF"/>
              </w:rPr>
              <w:t>Pourquoi</w:t>
            </w:r>
          </w:p>
        </w:tc>
        <w:tc>
          <w:tcPr>
            <w:tcW w:type="dxa" w:w="3360"/>
            <w:shd w:fill="101A4A"/>
          </w:tcPr>
          <w:p>
            <w:pPr>
              <w:keepNext/>
            </w:pPr>
            <w:r>
              <w:rPr>
                <w:b/>
                <w:color w:val="FFFFFF"/>
              </w:rPr>
              <w:t>Confidentialité</w:t>
            </w:r>
          </w:p>
        </w:tc>
      </w:tr>
      <w:tr>
        <w:trPr>
          <w:cantSplit/>
        </w:trPr>
        <w:tc>
          <w:tcPr>
            <w:tcW w:type="dxa" w:w="3360"/>
            <w:vAlign w:val="center"/>
          </w:tcPr>
          <w:p>
            <w:r>
              <w:t>ZIP + SHA</w:t>
            </w:r>
          </w:p>
        </w:tc>
        <w:tc>
          <w:tcPr>
            <w:tcW w:type="dxa" w:w="3360"/>
            <w:vAlign w:val="center"/>
          </w:tcPr>
          <w:p>
            <w:r>
              <w:t>Reproductibilité</w:t>
            </w:r>
          </w:p>
        </w:tc>
        <w:tc>
          <w:tcPr>
            <w:tcW w:type="dxa" w:w="3360"/>
            <w:vAlign w:val="center"/>
          </w:tcPr>
          <w:p>
            <w:r>
              <w:t>Interne</w:t>
            </w:r>
          </w:p>
        </w:tc>
      </w:tr>
      <w:tr>
        <w:trPr>
          <w:cantSplit/>
        </w:trPr>
        <w:tc>
          <w:tcPr>
            <w:tcW w:type="dxa" w:w="3360"/>
            <w:vAlign w:val="center"/>
          </w:tcPr>
          <w:p>
            <w:r>
              <w:t>Brief + pièces</w:t>
            </w:r>
          </w:p>
        </w:tc>
        <w:tc>
          <w:tcPr>
            <w:tcW w:type="dxa" w:w="3360"/>
            <w:vAlign w:val="center"/>
          </w:tcPr>
          <w:p>
            <w:r>
              <w:t>Contexte et preuve</w:t>
            </w:r>
          </w:p>
        </w:tc>
        <w:tc>
          <w:tcPr>
            <w:tcW w:type="dxa" w:w="3360"/>
            <w:vAlign w:val="center"/>
          </w:tcPr>
          <w:p>
            <w:r>
              <w:t>Selon classification client</w:t>
            </w:r>
          </w:p>
        </w:tc>
      </w:tr>
      <w:tr>
        <w:trPr>
          <w:cantSplit/>
        </w:trPr>
        <w:tc>
          <w:tcPr>
            <w:tcW w:type="dxa" w:w="3360"/>
            <w:vAlign w:val="center"/>
          </w:tcPr>
          <w:p>
            <w:r>
              <w:t>Diagnostics</w:t>
            </w:r>
          </w:p>
        </w:tc>
        <w:tc>
          <w:tcPr>
            <w:tcW w:type="dxa" w:w="3360"/>
            <w:vAlign w:val="center"/>
          </w:tcPr>
          <w:p>
            <w:r>
              <w:t>Traçabilité des gates</w:t>
            </w:r>
          </w:p>
        </w:tc>
        <w:tc>
          <w:tcPr>
            <w:tcW w:type="dxa" w:w="3360"/>
            <w:vAlign w:val="center"/>
          </w:tcPr>
          <w:p>
            <w:r>
              <w:t>Relire avant partage</w:t>
            </w:r>
          </w:p>
        </w:tc>
      </w:tr>
      <w:tr>
        <w:trPr>
          <w:cantSplit/>
        </w:trPr>
        <w:tc>
          <w:tcPr>
            <w:tcW w:type="dxa" w:w="3360"/>
            <w:vAlign w:val="center"/>
          </w:tcPr>
          <w:p>
            <w:r>
              <w:t>Word/PPTX</w:t>
            </w:r>
          </w:p>
        </w:tc>
        <w:tc>
          <w:tcPr>
            <w:tcW w:type="dxa" w:w="3360"/>
            <w:vAlign w:val="center"/>
          </w:tcPr>
          <w:p>
            <w:r>
              <w:t>Résultat de travail</w:t>
            </w:r>
          </w:p>
        </w:tc>
        <w:tc>
          <w:tcPr>
            <w:tcW w:type="dxa" w:w="3360"/>
            <w:vAlign w:val="center"/>
          </w:tcPr>
          <w:p>
            <w:r>
              <w:t>Revue humaine</w:t>
            </w:r>
          </w:p>
        </w:tc>
      </w:tr>
      <w:tr>
        <w:trPr>
          <w:cantSplit/>
        </w:trPr>
        <w:tc>
          <w:tcPr>
            <w:tcW w:type="dxa" w:w="3360"/>
            <w:vAlign w:val="center"/>
          </w:tcPr>
          <w:p>
            <w:r>
              <w:t>Journal décisions</w:t>
            </w:r>
          </w:p>
        </w:tc>
        <w:tc>
          <w:tcPr>
            <w:tcW w:type="dxa" w:w="3360"/>
            <w:vAlign w:val="center"/>
          </w:tcPr>
          <w:p>
            <w:r>
              <w:t>Responsabilité</w:t>
            </w:r>
          </w:p>
        </w:tc>
        <w:tc>
          <w:tcPr>
            <w:tcW w:type="dxa" w:w="3360"/>
            <w:vAlign w:val="center"/>
          </w:tcPr>
          <w:p>
            <w:r>
              <w:t>Accès restreint</w:t>
            </w:r>
          </w:p>
        </w:tc>
      </w:tr>
    </w:tbl>
    <w:p>
      <w:r/>
    </w:p>
    <w:p>
      <w:pPr>
        <w:pStyle w:val="Heading1"/>
      </w:pPr>
      <w:r>
        <w:t>Annexe I — Glossaire opérationnel</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fill="101A4A"/>
          </w:tcPr>
          <w:p>
            <w:pPr>
              <w:keepNext/>
            </w:pPr>
            <w:r>
              <w:rPr>
                <w:b/>
                <w:color w:val="FFFFFF"/>
              </w:rPr>
              <w:t>Terme</w:t>
            </w:r>
          </w:p>
        </w:tc>
        <w:tc>
          <w:tcPr>
            <w:tcW w:type="dxa" w:w="5040"/>
            <w:shd w:fill="101A4A"/>
          </w:tcPr>
          <w:p>
            <w:pPr>
              <w:keepNext/>
            </w:pPr>
            <w:r>
              <w:rPr>
                <w:b/>
                <w:color w:val="FFFFFF"/>
              </w:rPr>
              <w:t>Définition</w:t>
            </w:r>
          </w:p>
        </w:tc>
      </w:tr>
      <w:tr>
        <w:trPr>
          <w:cantSplit/>
        </w:trPr>
        <w:tc>
          <w:tcPr>
            <w:tcW w:type="dxa" w:w="5040"/>
            <w:vAlign w:val="center"/>
          </w:tcPr>
          <w:p>
            <w:r>
              <w:t>Board Scrutiny</w:t>
            </w:r>
          </w:p>
        </w:tc>
        <w:tc>
          <w:tcPr>
            <w:tcW w:type="dxa" w:w="5040"/>
            <w:vAlign w:val="center"/>
          </w:tcPr>
          <w:p>
            <w:r>
              <w:t>Mode de prudence renforcée</w:t>
            </w:r>
          </w:p>
        </w:tc>
      </w:tr>
      <w:tr>
        <w:trPr>
          <w:cantSplit/>
        </w:trPr>
        <w:tc>
          <w:tcPr>
            <w:tcW w:type="dxa" w:w="5040"/>
            <w:vAlign w:val="center"/>
          </w:tcPr>
          <w:p>
            <w:r>
              <w:t>Canonical claim</w:t>
            </w:r>
          </w:p>
        </w:tc>
        <w:tc>
          <w:tcPr>
            <w:tcW w:type="dxa" w:w="5040"/>
            <w:vAlign w:val="center"/>
          </w:tcPr>
          <w:p>
            <w:r>
              <w:t>Objet identifié : valeur, métrique, entité, nature, dimensions, source et preuve</w:t>
            </w:r>
          </w:p>
        </w:tc>
      </w:tr>
      <w:tr>
        <w:trPr>
          <w:cantSplit/>
        </w:trPr>
        <w:tc>
          <w:tcPr>
            <w:tcW w:type="dxa" w:w="5040"/>
            <w:vAlign w:val="center"/>
          </w:tcPr>
          <w:p>
            <w:r>
              <w:t>Fail-closed</w:t>
            </w:r>
          </w:p>
        </w:tc>
        <w:tc>
          <w:tcPr>
            <w:tcW w:type="dxa" w:w="5040"/>
            <w:vAlign w:val="center"/>
          </w:tcPr>
          <w:p>
            <w:r>
              <w:t>Principe de prudence : ne pas affirmer sans qualification suffisante ; pas une garantie globale</w:t>
            </w:r>
          </w:p>
        </w:tc>
      </w:tr>
      <w:tr>
        <w:trPr>
          <w:cantSplit/>
        </w:trPr>
        <w:tc>
          <w:tcPr>
            <w:tcW w:type="dxa" w:w="5040"/>
            <w:vAlign w:val="center"/>
          </w:tcPr>
          <w:p>
            <w:r>
              <w:t>Fidelity Gate</w:t>
            </w:r>
          </w:p>
        </w:tc>
        <w:tc>
          <w:tcPr>
            <w:tcW w:type="dxa" w:w="5040"/>
            <w:vAlign w:val="center"/>
          </w:tcPr>
          <w:p>
            <w:r>
              <w:t>Contrôle de correspondance ; ne certifie pas à lui seul le fait</w:t>
            </w:r>
          </w:p>
        </w:tc>
      </w:tr>
      <w:tr>
        <w:trPr>
          <w:cantSplit/>
        </w:trPr>
        <w:tc>
          <w:tcPr>
            <w:tcW w:type="dxa" w:w="5040"/>
            <w:vAlign w:val="center"/>
          </w:tcPr>
          <w:p>
            <w:r>
              <w:t>Working Deck</w:t>
            </w:r>
          </w:p>
        </w:tc>
        <w:tc>
          <w:tcPr>
            <w:tcW w:type="dxa" w:w="5040"/>
            <w:vAlign w:val="center"/>
          </w:tcPr>
          <w:p>
            <w:r>
              <w:t>Ébauche éditable préparée après lecture des deux Word</w:t>
            </w:r>
          </w:p>
        </w:tc>
      </w:tr>
      <w:tr>
        <w:trPr>
          <w:cantSplit/>
        </w:trPr>
        <w:tc>
          <w:tcPr>
            <w:tcW w:type="dxa" w:w="5040"/>
            <w:vAlign w:val="center"/>
          </w:tcPr>
          <w:p>
            <w:r>
              <w:t>Registre probatoire</w:t>
            </w:r>
          </w:p>
        </w:tc>
        <w:tc>
          <w:tcPr>
            <w:tcW w:type="dxa" w:w="5040"/>
            <w:vAlign w:val="center"/>
          </w:tcPr>
          <w:p>
            <w:r>
              <w:t>Inventaire des passages signalés et des traitements appliqués ; leur présence dans le registre ne signifie pas qu’ils ont été retirés du corps</w:t>
            </w:r>
          </w:p>
        </w:tc>
      </w:tr>
      <w:tr>
        <w:trPr>
          <w:cantSplit/>
        </w:trPr>
        <w:tc>
          <w:tcPr>
            <w:tcW w:type="dxa" w:w="5040"/>
            <w:vAlign w:val="center"/>
          </w:tcPr>
          <w:p>
            <w:r>
              <w:t>Temporal authority</w:t>
            </w:r>
          </w:p>
        </w:tc>
        <w:tc>
          <w:tcPr>
            <w:tcW w:type="dxa" w:w="5040"/>
            <w:vAlign w:val="center"/>
          </w:tcPr>
          <w:p>
            <w:r>
              <w:t>Date/période qui gouverne l’analyse</w:t>
            </w:r>
          </w:p>
        </w:tc>
      </w:tr>
    </w:tbl>
    <w:p>
      <w:r/>
    </w:p>
    <w:p>
      <w:pPr/>
      <w:r>
        <w:t>Dernier réalisé daté — valeur réalisée la plus récente connue, affichée avec son exercice et sa source ; « dernier publié » quand un exercice plus récent est clos mais pas encore publié.</w:t>
      </w:r>
    </w:p>
    <w:p>
      <w:pPr/>
      <w:r>
        <w:t>Contredit par les dépôts — valeur d'un agent qui diffère d'un dépôt public (SEC, comptes déposés) ; la valeur du dépôt est indiquée.</w:t>
      </w:r>
    </w:p>
    <w:p>
      <w:pPr/>
      <w:r>
        <w:t>Reprise — action d'une séance précédente reconnue dans la séance courante, même reformulée ; elle garde son identité et son historique.</w:t>
      </w:r>
    </w:p>
    <w:p>
      <w:pPr/>
      <w:r>
        <w:t>Statut du brief — statut qu'écrit le dirigeant dans son brief (réalisée, reportée au …, abandonnée) ; seule source qui clôt ou reporte une action.</w:t>
      </w:r>
    </w:p>
    <w:p>
      <w:pPr>
        <w:pStyle w:val="Heading1"/>
      </w:pPr>
      <w:r>
        <w:t>Annexe J — Questions de débrief</w:t>
      </w:r>
    </w:p>
    <w:p>
      <w:pPr>
        <w:pStyle w:val="ListBullet"/>
      </w:pPr>
      <w:r>
        <w:t>Qu’est-ce qui a réellement été prouvé ?</w:t>
      </w:r>
    </w:p>
    <w:p>
      <w:pPr>
        <w:pStyle w:val="ListBullet"/>
      </w:pPr>
      <w:r>
        <w:t>Qu’est-ce qui reste hypothétique ?</w:t>
      </w:r>
    </w:p>
    <w:p>
      <w:pPr>
        <w:pStyle w:val="ListBullet"/>
      </w:pPr>
      <w:r>
        <w:t>Quelle décision le document permet-il de mieux préparer ?</w:t>
      </w:r>
    </w:p>
    <w:p>
      <w:pPr>
        <w:pStyle w:val="ListBullet"/>
      </w:pPr>
      <w:r>
        <w:t>Quelle donnée ferait changer l’analyse ?</w:t>
      </w:r>
    </w:p>
    <w:p>
      <w:pPr>
        <w:pStyle w:val="ListBullet"/>
      </w:pPr>
      <w:r>
        <w:t>Quel signal mérite un suivi hebdomadaire ?</w:t>
      </w:r>
    </w:p>
    <w:p>
      <w:pPr>
        <w:pStyle w:val="ListBullet"/>
      </w:pPr>
      <w:r>
        <w:t>Quelles pages ou sections doivent être réécrites avant client ?</w:t>
      </w:r>
    </w:p>
    <w:p>
      <w:pPr>
        <w:pStyle w:val="ListBullet"/>
      </w:pPr>
      <w:r>
        <w:t>Quel risque de biais ou d’ancrage reste présent ?</w:t>
      </w:r>
    </w:p>
    <w:p>
      <w:pPr>
        <w:pStyle w:val="ListBullet"/>
      </w:pPr>
      <w:r>
        <w:t>Qui assume l’arbitrage final ?</w:t>
      </w:r>
    </w:p>
    <w:p>
      <w:pPr>
        <w:pStyle w:val="Heading1"/>
      </w:pPr>
      <w:r>
        <w:t>Annexe K — Méthode de challenge stratégique</w:t>
      </w:r>
    </w:p>
    <w:p>
      <w:r>
        <w:t>Le rôle du professionnel ne consiste pas seulement à corriger des chiffres. Il doit challenger la causalité, la matérialité, le rythme et la gouvernance. Une recommandation peut être factuellement compatible mais stratégiquement faible si elle ne hiérarchise pas les options ou ignore les capacités d’exécution. Pour chaque orientation, formulez une hypothèse, un mécanisme causal, un résultat attendu, un risque d’échec, un indicateur avancé et un point d’arbitrage.</w:t>
      </w:r>
    </w:p>
    <w:p>
      <w:r>
        <w:t>La meilleure utilisation de CoDIR IA est itérative : premier cadrage, collecte des données manquantes, deuxième analyse plus étroite, puis préparation humaine de la décision. Multiplier les runs sans enrichir le dossier produit souvent une précision apparente plutôt qu’une meilleure décision.</w:t>
      </w:r>
    </w:p>
    <w:p>
      <w:pPr>
        <w:pStyle w:val="ListBullet"/>
      </w:pPr>
      <w:r>
        <w:t>Quels enjeux ont le plus d’impact et le moins de réversibilité ?</w:t>
      </w:r>
    </w:p>
    <w:p>
      <w:pPr>
        <w:pStyle w:val="ListBullet"/>
      </w:pPr>
      <w:r>
        <w:t>Quelle hypothèse critique est la moins prouvée ?</w:t>
      </w:r>
    </w:p>
    <w:p>
      <w:pPr>
        <w:pStyle w:val="ListBullet"/>
      </w:pPr>
      <w:r>
        <w:t>Quel signal permettrait d’arrêter ou accélérer l’action ?</w:t>
      </w:r>
    </w:p>
    <w:p>
      <w:pPr>
        <w:pStyle w:val="ListBullet"/>
      </w:pPr>
      <w:r>
        <w:t>Quel propriétaire possède réellement les moyens d’exécuter ?</w:t>
      </w:r>
    </w:p>
    <w:p>
      <w:pPr>
        <w:pStyle w:val="ListBullet"/>
      </w:pPr>
      <w:r>
        <w:t>Quel conflit entre fonctions doit être arbitré par le dirigeant ?</w:t>
      </w:r>
    </w:p>
    <w:p>
      <w:pPr>
        <w:pStyle w:val="Heading1"/>
      </w:pPr>
      <w:r>
        <w:t>Annexe L — Analyse financière supervisée</w:t>
      </w:r>
    </w:p>
    <w:p>
      <w:r>
        <w:t>La présence d’un compte annuel ne suffit pas à établir une situation groupe. Vérifiez le type de document, la société, le périmètre social ou consolidé, la devise, l’unité, la période et les définitions. Les indicateurs ajustés doivent être distingués des indicateurs statutaires. IFRS 16, leases, éléments exceptionnels et restatements peuvent créer des écarts légitimes.</w:t>
      </w:r>
    </w:p>
    <w:p>
      <w:r>
        <w:t>Les projections doivent partir d’une baseline clôturée et d’un bridge explicite. Les scénarios Base/Bear/Bull et leurs quantités non étayées restent en place, avec leurs signalements, et sont recensés dans le registre probatoire ; leur présence ne vaut ni validation ni approbation. Les exceptions de retrait ou de remplacement sont celles décrites au chapitre « Gardes déterministes ». Le rôle du CFO ou du consultant est de transformer ces hypothèses en modèle contrôlable, avec sensibilités et limites de covenant.</w:t>
      </w:r>
    </w:p>
    <w:p>
      <w:pPr>
        <w:pStyle w:val="ListBullet"/>
      </w:pPr>
      <w:r>
        <w:t>Comparer revenue, marge, cash, dette et FCF sur des périodes homogènes.</w:t>
      </w:r>
    </w:p>
    <w:p>
      <w:pPr>
        <w:pStyle w:val="ListBullet"/>
      </w:pPr>
      <w:r>
        <w:t>Vérifier les signes des montants entre parenthèses.</w:t>
      </w:r>
    </w:p>
    <w:p>
      <w:pPr>
        <w:pStyle w:val="ListBullet"/>
      </w:pPr>
      <w:r>
        <w:t>Ne jamais mélanger cash brut, cash net d’overdrafts et net debt.</w:t>
      </w:r>
    </w:p>
    <w:p>
      <w:pPr>
        <w:pStyle w:val="ListBullet"/>
      </w:pPr>
      <w:r>
        <w:t>Distinguer EBITDA ajusté, EBITDA post-IFRS 16 et résultat opérationnel.</w:t>
      </w:r>
    </w:p>
    <w:p>
      <w:pPr>
        <w:pStyle w:val="ListBullet"/>
      </w:pPr>
      <w:r>
        <w:t>Documenter la formule et la source de chaque KPI de décision.</w:t>
      </w:r>
    </w:p>
    <w:p>
      <w:pPr>
        <w:pStyle w:val="Heading1"/>
      </w:pPr>
      <w:r>
        <w:t>Annexe M — Analyse Supply Chain supervisée</w:t>
      </w:r>
    </w:p>
    <w:p>
      <w:r>
        <w:t>Sans données opérationnelles, la Supply Chain doit rester qualitative. Les notes 4/10 ou 6/10 non mesurées sont interdites. Construisez d’abord les baselines : OTIF, taux de service, prévision, couverture, stock âgé, rotation, lead time, fiabilité fournisseur, capacité et coût-to-serve.</w:t>
      </w:r>
    </w:p>
    <w:p>
      <w:r>
        <w:t>Les tensions supply chain sont souvent des arbitrages : service contre cash, assortiment contre complexité, résilience contre coût, vitesse contre marge. Le document doit expliciter le trade-off et les données nécessaires plutôt que proposer une fausse cible.</w:t>
      </w:r>
    </w:p>
    <w:p>
      <w:pPr>
        <w:pStyle w:val="ListBullet"/>
      </w:pPr>
      <w:r>
        <w:t>Séparer stock total et qualité du stock.</w:t>
      </w:r>
    </w:p>
    <w:p>
      <w:pPr>
        <w:pStyle w:val="ListBullet"/>
      </w:pPr>
      <w:r>
        <w:t>Identifier les SKU cœur et saisonniers.</w:t>
      </w:r>
    </w:p>
    <w:p>
      <w:pPr>
        <w:pStyle w:val="ListBullet"/>
      </w:pPr>
      <w:r>
        <w:t>Mesurer service par canal et région.</w:t>
      </w:r>
    </w:p>
    <w:p>
      <w:pPr>
        <w:pStyle w:val="ListBullet"/>
      </w:pPr>
      <w:r>
        <w:t>Relier les décisions d’achat au cash et aux markdowns.</w:t>
      </w:r>
    </w:p>
    <w:p>
      <w:pPr>
        <w:pStyle w:val="ListBullet"/>
      </w:pPr>
      <w:r>
        <w:t>Distinguer problème de capacité, d’allocation et de prévision.</w:t>
      </w:r>
    </w:p>
    <w:p>
      <w:pPr>
        <w:pStyle w:val="Heading1"/>
      </w:pPr>
      <w:r>
        <w:t>Annexe N — Analyse commerciale et marketing supervisée</w:t>
      </w:r>
    </w:p>
    <w:p>
      <w:r>
        <w:t>Les objectifs commerciaux peuvent être proposés comme hypothèses à arbitrer. Pour leur donner une portée opérationnelle, construisez une baseline, une définition, une période et les moyens nécessaires. Un benchmark sectoriel n’est pas automatiquement une cible de l’entreprise ; un objectif déclaré n’est pas une performance réalisée.</w:t>
      </w:r>
    </w:p>
    <w:p>
      <w:r>
        <w:t>L’analyse marketing doit distinguer stratégie de marque, activation, distribution, client, canal et economics. Une recommandation peut être pertinente mais irréaliste si la marge, la capacité ou le cash ne permettent pas son exécution.</w:t>
      </w:r>
    </w:p>
    <w:p>
      <w:pPr>
        <w:pStyle w:val="ListBullet"/>
      </w:pPr>
      <w:r>
        <w:t>Établir le revenu et la marge par canal.</w:t>
      </w:r>
    </w:p>
    <w:p>
      <w:pPr>
        <w:pStyle w:val="ListBullet"/>
      </w:pPr>
      <w:r>
        <w:t>Qualifier le pipeline et ses étapes.</w:t>
      </w:r>
    </w:p>
    <w:p>
      <w:pPr>
        <w:pStyle w:val="ListBullet"/>
      </w:pPr>
      <w:r>
        <w:t>Mesurer acquisition, conversion, rétention et panier.</w:t>
      </w:r>
    </w:p>
    <w:p>
      <w:pPr>
        <w:pStyle w:val="ListBullet"/>
      </w:pPr>
      <w:r>
        <w:t>Relier budget à un objectif et une mesure de ROI.</w:t>
      </w:r>
    </w:p>
    <w:p>
      <w:pPr>
        <w:pStyle w:val="ListBullet"/>
      </w:pPr>
      <w:r>
        <w:t>Documenter les décisions de portefeuille, prix et distribution.</w:t>
      </w:r>
    </w:p>
    <w:p>
      <w:pPr>
        <w:pStyle w:val="Heading1"/>
      </w:pPr>
      <w:r>
        <w:t>Annexe O — Gouvernance de la décision</w:t>
      </w:r>
    </w:p>
    <w:p>
      <w:r>
        <w:t>Un bon livrable de travail précise ce qui est décidé, ce qui reste à arbitrer, qui porte l’action, quand la revue a lieu et quelle preuve permettra de clôturer. Les statuts ne doivent jamais simuler une décision humaine. Une action n’est clôturée que par validation explicite.</w:t>
      </w:r>
    </w:p>
    <w:p>
      <w:r>
        <w:t>La réunion de décision doit distinguer le temps de compréhension, le temps de challenge et le temps d’arbitrage. Le deck fournit la surface courte ; le Word et les annexes permettent la réponse aux questions. Les décisions et réserves finales doivent être enregistrées dans le système de gouvernance de l’entreprise, pas uniquement dans le livrable IA.</w:t>
      </w:r>
    </w:p>
    <w:p>
      <w:pPr>
        <w:pStyle w:val="ListBullet"/>
      </w:pPr>
      <w:r>
        <w:t>Décision / propriétaire / date / critère de succès.</w:t>
      </w:r>
    </w:p>
    <w:p>
      <w:pPr>
        <w:pStyle w:val="ListBullet"/>
      </w:pPr>
      <w:r>
        <w:t>Risque accepté ou mitigé.</w:t>
      </w:r>
    </w:p>
    <w:p>
      <w:pPr>
        <w:pStyle w:val="ListBullet"/>
      </w:pPr>
      <w:r>
        <w:t>Donnée manquante et responsable de collecte.</w:t>
      </w:r>
    </w:p>
    <w:p>
      <w:pPr>
        <w:pStyle w:val="ListBullet"/>
      </w:pPr>
      <w:r>
        <w:t>Prochaine revue et règle d’escalade.</w:t>
      </w:r>
    </w:p>
    <w:p>
      <w:pPr>
        <w:pStyle w:val="ListBullet"/>
      </w:pPr>
      <w:r>
        <w:t>Trace de la revue humaine et de la version utilisée.</w:t>
      </w:r>
    </w:p>
    <w:p>
      <w:pPr>
        <w:pStyle w:val="Heading1"/>
      </w:pPr>
      <w:r>
        <w:t>Revue finale de release</w:t>
      </w:r>
    </w:p>
    <w:p>
      <w:r>
        <w:t>La revue approfondie vérifie les phrases comportant plusieurs nombres, les calculs et la cohérence entre analyse et synthèse. Rapprochez chaque valeur de son indicateur, sa période, son signe, sa devise, son échelle et son périmètre. Vérifiez les tableaux en lignes et en colonnes. Gardez les hypothèses utiles avec leurs réserves ; un retrait numérique ne doit pas laisser une recommandation fondée sur le chiffre retiré. Dans le PPTX, vérifiez ce qui est sélectionné plutôt qu’exiger l’exhaustivité du Word.</w:t>
      </w:r>
    </w:p>
    <w:p>
      <w:r>
        <w:t>La qualité de preuve et la qualité de décision doivent être revues séparément. Un document peut être utile au cadrage tout en restant insuffisant pour une approbation. À l’inverse, un document bien sourcé peut être stratégiquement faible s’il ne révèle pas le véritable arbitrage. Le relecteur doit donc mesurer le coût de reprise humaine : nombre de claims nécessitant l’ouverture d’une source, tableaux à reconstruire, questions encore ouvertes et cohérence entre synthèse et analyses détaillées. L’objectif n’est pas de maximiser le texte, mais de réduire le temps nécessaire pour atteindre un jugement défendable.</w:t>
      </w:r>
    </w:p>
    <w:p>
      <w:r>
        <w:t>Pour préparer une version client, supprimez les diagnostics techniques sans valeur pour l’audience, mais conservez les réserves qui changent la décision. Remplacez les fallbacks génériques par une explication concise et un renvoi à l’annexe. Vérifiez que chaque carte KPI utilise le bon libellé comptable. Une marge opérationnelle ajustée n’est pas une marge EBITDA et un revenu page-confirmé n’est pas « indicatif ». Actualisez propriétaires et échéances depuis la réunion réelle, puis conservez une copie d’audit du document de travail initial.</w:t>
      </w:r>
    </w:p>
    <w:p>
      <w:r>
        <w:t>Avant remise, consignez les réserves utiles, les hypothèses, les conflits non résolus et les décisions effectivement approuvées. Un contrôle à zéro anomalie reste un résultat de contrôle, pas une certification. Une reprise de présentation est normale ; une altération de fond doit être corrigée dans le document concerné. Conservez la version initiale et la validation humaine de la version transmise.</w:t>
      </w:r>
    </w:p>
    <w:p>
      <w:r>
        <w:t>Le professionnel doit aussi revoir le contexte externe. Les sources web publiques peuvent être récentes mais incohérentes en période ou en périmètre. Les métadonnées d’un registre peuvent être plus récentes que le contenu financier réellement lu. L’autorité d’une source ne rend pas chaque interprétation exacte. Utilisez des documents primaires pour les faits critiques, notez la date de publication, distinguez croissance publiée et croissance à change constant, et ne combinez pas un benchmark de marché avec une cible de l’entreprise sans passerelle explicite.</w:t>
      </w:r>
    </w:p>
    <w:p>
      <w:r>
        <w:t>Consignez le build utilisé, les documents revus, l’identité du relecteur, la date d’acceptation et toute limite résiduelle restée ouverte après approbation. Cette courte trace soutient la responsabilité et évite qu’un brouillon ultérieur soit pris pour le document approuvé.</w:t>
      </w:r>
    </w:p>
    <w:p>
      <w:pPr>
        <w:pStyle w:val="Heading1"/>
      </w:pPr>
      <w:r>
        <w:t>Annexe — Autorité temporelle et factuelle</w:t>
      </w:r>
    </w:p>
    <w:p>
      <w:r>
        <w:t>Format de la date d'analyse : AAAA-MM-JJ (exemple : 2023-02-15). C'est le seul format accepté ; le bouton d'adoption du bandeau la renseigne pour vous depuis votre brief.</w:t>
      </w:r>
    </w:p>
    <w:p>
      <w:r>
        <w:t>Annexe historique — cette annexe décrit un état antérieur du produit, conservé pour mémoire ; la version courante est décrite dans le parcours opératoire et le chapitre 8.</w:t>
      </w:r>
    </w:p>
    <w:p>
      <w:r>
        <w:t>Build courant : v17.4.3.62.13.9.4.65-M6B-B1.3.62.13.9.4.65. Les chiffres exécutifs sont autorisés uniquement par un fait confirmé à la page d'une pièce ou au registre, ou par un calcul fait à partir de faits confirmés qui expose sa formule ; les balises FAIT, sources et pages ne sont pas des preuves autonomes. Les horizons permis proviennent du Temporal Core du run. Aucun OCR n’est intégré à la v17.</w:t>
      </w:r>
    </w:p>
    <w:p>
      <w:pPr>
        <w:pStyle w:val="ListBullet"/>
      </w:pPr>
      <w:r>
        <w:t>Référence de la doctrine en vigueur : voir « Faits, hypothèses et scénarios » dans le parcours opératoire.</w:t>
      </w:r>
    </w:p>
    <w:p>
      <w:pPr>
        <w:pStyle w:val="ListBullet"/>
      </w:pPr>
      <w:r>
        <w:t>Garde juridique : une tranche d’effectif ne devient ni effectif exact, ni seuil de droit social, ni recommandation RH.</w:t>
      </w:r>
    </w:p>
    <w:p>
      <w:pPr>
        <w:pStyle w:val="ListBullet"/>
      </w:pPr>
      <w:r>
        <w:t>Statut documentaire tri-state : texte extrait, partiellement extractible ou OCR requis.</w:t>
      </w:r>
    </w:p>
    <w:p>
      <w:pPr>
        <w:pStyle w:val="ListBullet"/>
      </w:pPr>
      <w:r>
        <w:t>Les cartes distinguent explicitement chiffre social Pappers et comptes consolidés groupe.</w:t>
      </w:r>
    </w:p>
    <w:p>
      <w:pPr>
        <w:pStyle w:val="ListBullet"/>
      </w:pPr>
      <w:r>
        <w:t>Les tendances exigent deux faits ledger admissibles ; les dates de planification restent visibles.</w:t>
      </w:r>
    </w:p>
    <w:p>
      <w:pPr>
        <w:pStyle w:val="ListBullet"/>
      </w:pPr>
      <w:r>
        <w:t>Les diagnostics distinguent le grade d’exécution technique de l’utilité métier du livrable.</w:t>
      </w:r>
    </w:p>
    <w:p>
      <w:pPr>
        <w:pStyle w:val="ListBullet"/>
      </w:pPr>
      <w:r>
        <w:t>Revue humaine obligatoire ; état des essais natifs, de la signature et du scan : voir les notes de version.</w:t>
      </w:r>
    </w:p>
    <w:p>
      <w:r>
        <w:t>v17.4.3.62.13.9.4.65-M6B-B1.3.62.13.9.4.65</w:t>
      </w:r>
    </w:p>
    <w:p>
      <w:pPr>
        <w:pStyle w:val="Heading1"/>
      </w:pPr>
      <w:r>
        <w:t>Annexe — Intégrité des titres de la trame PowerPoint</w:t>
      </w:r>
    </w:p>
    <w:p>
      <w:r>
        <w:t>Annexe historique — cette annexe décrit un état antérieur du produit, conservé pour mémoire ; la version courante est décrite dans le parcours opératoire et le chapitre 8.</w:t>
      </w:r>
    </w:p>
    <w:p>
      <w:r>
        <w:t>Le texte commercial complet est conservé jusqu’au renderer. Tout titre exécutif HCRIT déjà tronqué est remplacé par une formulation qualitative complète avant le dernier contrôle des octets livrés ; l’interface distingue corruption OOXML, titre tronqué et autre illisibilité.</w:t>
      </w:r>
    </w:p>
    <w:p>
      <w:r>
        <w:t>La date de fin cible issue du diagnostic strategic_horizon du run courant reste dans le corps principal. Un diagnostic historique ne peut jamais l’autoriser et une date de planification n’est pas un scénario chiffré.</w:t>
      </w:r>
    </w:p>
    <w:p>
      <w:r>
        <w:t>La doctrine courante des scénarios et l'autorité des claims canoniques page-confirmés restent actives. Aucun OCR n’est inclus dans la v17 ; état des essais natifs, de la signature et du scan : voir les notes de version.</w:t>
      </w:r>
    </w:p>
    <w:p>
      <w:r>
        <w:t>v17.4.3.62.13.9.4.65-M6B-B1.3.62.13.9.4.65</w:t>
      </w:r>
    </w:p>
    <w:p>
      <w:pPr>
        <w:pStyle w:val="Heading1"/>
      </w:pPr>
      <w:r>
        <w:t>Historique des versions</w:t>
      </w:r>
    </w:p>
    <w:p>
      <w:r>
        <w:t>Annexe historique — cette annexe décrit un état antérieur du produit, conservé pour mémoire ; la version courante est décrite dans le parcours opératoire et le chapitre 8.</w:t>
      </w:r>
    </w:p>
    <w:p>
      <w:r>
        <w:t>ADDENDUM — Build mission : v17.4.3.62.13.9.4.65-M6B-B1.3.62.13.9.4.65</w:t>
      </w:r>
    </w:p>
    <w:p>
      <w:pPr>
        <w:pStyle w:val="Heading1"/>
      </w:pPr>
      <w:r>
        <w:t>Annexe — Dates de référence et faits canoniques</w:t>
      </w:r>
    </w:p>
    <w:p>
      <w:r>
        <w:t>Les lignes d’horizon et de date de fin ne sont préservées que si elles correspondent au contrat Temporal Core du dossier. Les délais opérationnels, durées de déploiement et jalons chiffrés non prouvés restent gouvernés. Une balise [FACT]/[FAIT], un nom de fichier ou une page sont des métadonnées, jamais une preuve autonome : tout chiffre exécutif doit correspondre à un claim canonique page-confirmé ou à un dérivé déterministe, puis être réécrit dans une formulation canonique propre. Signalement en place, garde juridique, OCR tri-state et arbre de preuve immuable restent actifs ; la v17 ne contient pas d’OCR.</w:t>
      </w:r>
    </w:p>
    <w:p>
      <w:pPr>
        <w:pStyle w:val="Heading2"/>
      </w:pPr>
      <w:r>
        <w:t>Ce que vous devez vérifier vous-même</w:t>
      </w:r>
    </w:p>
    <w:p>
      <w:r>
        <w:t>Avant d'utiliser un document produit : que la décision proposée, les valeurs, les dates et les responsables correspondent à ce que vous savez du dossier ; que les statuts de preuve (FAIT, À VÉRIFIER, NON SOURCÉ) sont cohérents avec les pièces que vous avez jointes ; que les renvois vers le compte rendu pointent la bonne rubrique.</w:t>
      </w:r>
    </w:p>
    <w:p>
      <w:r>
        <w:t>Avant toute diffusion externe : la revue humaine est obligatoire et porte sur le fond, les sources, les calculs et la contextualisation. Elle ne dispense pas des obligations de transparence applicables à la publication d'un contenu généré.</w:t>
      </w:r>
    </w:p>
    <w:p>
      <w:r>
        <w:t>Si vous travaillez en anglais : comparez la version anglaise et la version française clause par clause lorsque le document engage une décision — exceptions, devoirs, rôles, limites, dates et renvois. Une traduction exacte ne prouve ni une compatibilité native ni une parité des contrôles métier.</w:t>
      </w:r>
    </w:p>
    <w:p>
      <w:r>
        <w:t>Signaler une vulnérabilité : écrivez à security@vauquigneux.com. Le premier message se limite à la version, la plateforme, une description non sensible et un moyen de retour ; ne joignez ni clés, ni mots de passe, ni documents clients.</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470"/>
        <w:sz w:val="16"/>
      </w:rPr>
      <w:t>Documentation de travail assistée par IA — revue humaine requise</w:t>
    </w:r>
    <w:r>
      <w:rPr>
        <w:sz w:val="16"/>
      </w:rPr>
      <w:t xml:space="preserve">  ·  Page </w:t>
    </w:r>
    <w:fldSimple w:instr="PAGE">
      <w:r>
        <w:rPr>
          <w:sz w:val="16"/>
        </w:rPr>
        <w:t>1</w:t>
      </w:r>
    </w:fldSimple>
    <w:r>
      <w:rPr>
        <w:sz w:val="16"/>
      </w:rPr>
      <w:t xml:space="preserve"> / </w:t>
    </w:r>
    <w:fldSimple w:instr="NUMPAGES">
      <w:r>
        <w:rPr>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470"/>
        <w:sz w:val="16"/>
      </w:rPr>
      <w:t>CoDIR IA · v17.4.3.62.13.9.4.65-M6B-B1.3.62.13.9.4.65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1A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1A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C64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1A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complet utilisateur</dc:title>
  <dc:subject/>
  <dc:creator>python-docx</dc:creator>
  <cp:keywords/>
  <dc:description>CoDIR IA v17.0 — build 9.4.65 — documentation révisée le 18 octobre 2026.</dc:description>
  <cp:lastModifiedBy>CoDIR IA — révision documentaire 9.4.61</cp:lastModifiedBy>
  <cp:revision>2</cp:revision>
  <dcterms:created xsi:type="dcterms:W3CDTF">2013-12-23T23:15:00Z</dcterms:created>
  <dcterms:modified xsi:type="dcterms:W3CDTF">2026-10-18T16:22:48Z</dcterms:modified>
  <cp:category/>
  <cp:version>v17.4.3.62.13.9.4.65-M6B-B1.3.62.13.9.4.65 · 9.4.65-20261018</cp:version>
</cp:coreProperties>
</file>