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CoDIR IA</w:t>
      </w:r>
    </w:p>
    <w:p>
      <w:pPr>
        <w:pStyle w:val="Title"/>
        <w:jc w:val="center"/>
      </w:pPr>
      <w:r>
        <w:t>Quick Start — Installation</w:t>
      </w:r>
    </w:p>
    <w:p>
      <w:pPr>
        <w:jc w:val="center"/>
      </w:pPr>
      <w:r>
        <w:t>Current version: see the header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01A4A"/>
          </w:tcPr>
          <w:p>
            <w:r>
              <w:rPr>
                <w:b/>
                <w:color w:val="FFFFFF"/>
              </w:rPr>
              <w:t>Build</w:t>
            </w:r>
          </w:p>
        </w:tc>
        <w:tc>
          <w:tcPr>
            <w:tcW w:type="dxa" w:w="5040"/>
          </w:tcPr>
          <w:p>
            <w:r>
              <w:t>v17.4.3.62.13.9.4.65-M6B-B1.3.62.13.9.4.65</w:t>
            </w:r>
          </w:p>
        </w:tc>
      </w:tr>
      <w:tr>
        <w:trPr>
          <w:cantSplit/>
        </w:trPr>
        <w:tc>
          <w:tcPr>
            <w:tcW w:type="dxa" w:w="5040"/>
            <w:shd w:fill="101A4A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5040"/>
          </w:tcPr>
          <w:p>
            <w:r>
              <w:t>Quick Start — Installation</w:t>
            </w:r>
          </w:p>
        </w:tc>
      </w:tr>
      <w:tr>
        <w:trPr>
          <w:cantSplit/>
        </w:trPr>
        <w:tc>
          <w:tcPr>
            <w:tcW w:type="dxa" w:w="5040"/>
            <w:shd w:fill="101A4A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5040"/>
          </w:tcPr>
          <w:p>
            <w:r>
              <w:t>18 October 2026</w:t>
            </w:r>
          </w:p>
        </w:tc>
      </w:tr>
      <w:tr>
        <w:trPr>
          <w:cantSplit/>
        </w:trPr>
        <w:tc>
          <w:tcPr>
            <w:tcW w:type="dxa" w:w="5040"/>
            <w:shd w:fill="101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</w:tcPr>
          <w:p>
            <w:r>
              <w:t>v17.0 — supervised professional use</w:t>
            </w:r>
          </w:p>
        </w:tc>
      </w:tr>
    </w:tbl>
    <w:p>
      <w:r/>
    </w:p>
    <w:p>
      <w:pPr>
        <w:jc w:val="center"/>
      </w:pPr>
      <w:r>
        <w:t>This manual does not constitute legal advice. Human review remains mandatory.</w:t>
      </w:r>
    </w:p>
    <w:p>
      <w:r/>
    </w:p>
    <w:p>
      <w:pPr>
        <w:pStyle w:val="Heading1"/>
      </w:pPr>
      <w:r>
        <w:t>Install and verify</w:t>
      </w:r>
    </w:p>
    <w:p>
      <w:pPr>
        <w:pStyle w:val="ListNumber"/>
        <w:numPr>
          <w:ilvl w:val="0"/>
          <w:numId w:val="1001"/>
        </w:numPr>
      </w:pPr>
      <w:r>
        <w:t>Download the ZIP from the supplied source. Verify its external SHA-256, then SHA256SUMS after extraction. Stop on any mismatch.</w:t>
      </w:r>
    </w:p>
    <w:p>
      <w:pPr>
        <w:pStyle w:val="ListNumber"/>
        <w:numPr>
          <w:ilvl w:val="0"/>
          <w:numId w:val="1001"/>
        </w:numPr>
      </w:pPr>
      <w:r>
        <w:t>Extract to a local, non-synchronised folder. Windows: DEMARRER_CODIR_IA.bat. macOS: Demarrer_Mac.command. Do not run inside the ZIP.</w:t>
      </w:r>
    </w:p>
    <w:p>
      <w:pPr>
        <w:pStyle w:val="ListNumber"/>
        <w:numPr>
          <w:ilvl w:val="0"/>
          <w:numId w:val="1001"/>
        </w:numPr>
      </w:pPr>
      <w:r>
        <w:t>Use compatible standard CPython. Read the log and INSTALL_MODE.txt: requirements.txt fallback no longer exactly matches the lock/SBOM.</w:t>
      </w:r>
    </w:p>
    <w:p>
      <w:pPr>
        <w:pStyle w:val="ListNumber"/>
        <w:numPr>
          <w:ilvl w:val="0"/>
          <w:numId w:val="1001"/>
        </w:numPr>
      </w:pPr>
      <w:r>
        <w:t>Save a key for each enabled provider in Settings; check accounts and quotas. Never put keys in the brief.</w:t>
      </w:r>
    </w:p>
    <w:p>
      <w:pPr>
        <w:pStyle w:val="ListNumber"/>
        <w:numPr>
          <w:ilvl w:val="0"/>
          <w:numId w:val="1001"/>
        </w:numPr>
      </w:pPr>
      <w:r>
        <w:t>Run an initial check using authorised non-sensitive documents; inspect outputs and logs. See the full manual for troubleshooting and deletion. This version includes no OCR: supply a text version of any scanned document without a text layer.</w:t>
      </w:r>
    </w:p>
    <w:p>
      <w:pPr>
        <w:pStyle w:val="Heading2"/>
      </w:pPr>
      <w:r>
        <w:t>What you receive</w:t>
      </w:r>
    </w:p>
    <w:p>
      <w:r>
        <w:t>The two Word documents are the main deliverables: detailed analysis and decision synthesis. The PPTX is a presentation draft to revise after reading them, not a standalone document ready to hand over. An incomplete PPTX draft is not, by itself, a failure of the analysis. Length depends on the brief and available material; page and slide counts are indicative, not guaranteed. The complete package brings together the files actually generated, diagnostics, available registers, preparation journal and manifest.</w:t>
      </w:r>
    </w:p>
    <w:p>
      <w:pPr>
        <w:pStyle w:val="Heading2"/>
      </w:pPr>
      <w:r>
        <w:t>The control layer and its limitations</w:t>
      </w:r>
    </w:p>
    <w:p>
      <w:r>
        <w:t>Deterministic guards. After model generation, local Python rules examine text and structured data. No model is called to make decisions within these guards. Doctrine “deliver everything, flag in place”: the principle is to keep; an unsupported quantity stays where it is, highlighted and followed by “⚠ to verify — reason”. Exceptions (personal calculations removed, Finance prudence frame) and reservations are detailed in the full manual. Review the Word documents before any use.</w:t>
      </w:r>
    </w:p>
    <w:p>
      <w:pPr>
        <w:pStyle w:val="Heading2"/>
      </w:pPr>
      <w:r>
        <w:t>Launchers and operating-system warnings</w:t>
      </w:r>
    </w:p>
    <w:p>
      <w:r>
        <w:t>Artifacts actually supplied: unsigned Windows .bat launchers and macOS .command scripts in a ZIP; an .app shortcut may be created locally. The ZIP is not represented as Authenticode-signed; no Developer ID-signed and notarized application bundle is supplied. Operating-system warnings are expected. Verify provenance, the external ZIP hash and the manifest; do not disable SmartScreen or Gatekeeper globally. The signing decision, native-test evidence and release approval remain outside the archive.</w:t>
      </w:r>
    </w:p>
    <w:p>
      <w:r>
        <w:t>macOS: after an unidentified-app block, with provenance/SHA checked and device policy respected, System Settings &gt; Privacy &amp; Security &gt; Open Anyway may be offered. Never bypass a malware or tampering warning.</w:t>
      </w:r>
    </w:p>
    <w:p>
      <w:pPr>
        <w:pStyle w:val="Heading2"/>
      </w:pPr>
      <w:r>
        <w:t>Model and public sources</w:t>
      </w:r>
    </w:p>
    <w:p>
      <w:pPr/>
      <w:r>
        <w:t>Default Anthropic model: Claude Sonnet 5.5 (claude-sonnet-5-5). Claude Sonnet 4.5 is retired from the API on 24/11/2026; a setting saved on an older Sonnet is migrated automatically at first launch. Temperature is no longer sent to Claude 4.7 and later models, which reject it.</w:t>
      </w:r>
    </w:p>
    <w:p>
      <w:pPr/>
      <w:r>
        <w:t>Public sources: SEC contact, Companies House and Pappers keys, entered in Settings (see the Installation manual).</w:t>
      </w:r>
    </w:p>
    <w:p>
      <w:pPr>
        <w:pStyle w:val="Heading2"/>
      </w:pPr>
      <w:r>
        <w:t>Data, rights and security</w:t>
      </w:r>
    </w:p>
    <w:p>
      <w:r>
        <w:t>Local does not mean offline. The interface, storage and guards run on the computer; enabled AI providers, registries and searches receive content needed by their functions. The guards are neither anonymisation nor a firewall before transmission. The brief, excerpts and, depending on submitted context, history items may leave the computer. Check your rights and provider accounts before running. No publisher telemetry; keys stay in clear text locally: never share secrets.json.</w:t>
      </w:r>
    </w:p>
    <w:p>
      <w:r>
        <w:t>The software uses FSL-1.1-ALv2; trademark use is addressed in TRADEMARKS.md. Output documents may be handed over under the Terms after human review, without additional publisher authorisation for that use. English remains a preview without certified business-control parity.</w:t>
      </w:r>
    </w:p>
    <w:p>
      <w:r>
        <w:t>Reporting: security@vauquigneux.com, subject [SECURITY CoDIR IA]; https://robinsauzet.com/contact/ as fallback. Include version, platform and a non-sensitive description; no keys or client documents. Receipt of the channel remains separate evidence.</w:t>
      </w:r>
    </w:p>
    <w:p>
      <w:pPr>
        <w:pStyle w:val="Heading2"/>
      </w:pPr>
      <w:r>
        <w:t>Temporal authority</w:t>
      </w:r>
    </w:p>
    <w:p>
      <w:r>
        <w:t>Temporal and canonical fact authority. Specify a precise analysis date, separate from the generation date. Before running, check the date and scope retained in the settings; do not assume that the brief alone enforces them. After export, check source eligibility and deadlines. If they conflict, do not approve the result; request a corrected analysis context.</w:t>
      </w:r>
    </w:p>
    <w:p>
      <w:r>
        <w:t>Version: CoDIR IA v17.0 — build v17.4.3.62.13.9.4.65-M6B-B1.3.62.13.9.4.65 — see the release notes for new features and known limitations · documentation revision of 18 October 2026, see READ_THE_DOCUMENTATION_EN.md.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470"/>
        <w:sz w:val="16"/>
      </w:rPr>
      <w:t>AI-assisted working documentation — human review required</w:t>
    </w:r>
    <w:r>
      <w:rPr>
        <w:sz w:val="16"/>
      </w:rPr>
      <w:t xml:space="preserve">  ·  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/ </w:t>
    </w:r>
    <w:fldSimple w:instr="NUMPAGES">
      <w:r>
        <w:rPr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470"/>
        <w:sz w:val="16"/>
      </w:rPr>
      <w:t>CoDIR IA · v17.4.3.62.13.9.4.65-M6B-B1.3.62.13.9.4.65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1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C64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Start — Installation</dc:title>
  <dc:subject/>
  <dc:creator>python-docx</dc:creator>
  <cp:keywords/>
  <dc:description>CoDIR IA v17.0 — build 9.4.65 — documentation revised on 18 October 2026.</dc:description>
  <cp:lastModifiedBy>CoDIR IA — révision documentaire 9.4.61</cp:lastModifiedBy>
  <cp:revision>2</cp:revision>
  <dcterms:created xsi:type="dcterms:W3CDTF">2013-12-23T23:15:00Z</dcterms:created>
  <dcterms:modified xsi:type="dcterms:W3CDTF">2026-10-18T16:22:48Z</dcterms:modified>
  <cp:category/>
  <cp:version>v17.4.3.62.13.9.4.65-M6B-B1.3.62.13.9.4.65 · 9.4.65-20261018</cp:version>
</cp:coreProperties>
</file>