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CoDIR IA</w:t>
      </w:r>
    </w:p>
    <w:p>
      <w:pPr>
        <w:pStyle w:val="Title"/>
        <w:jc w:val="center"/>
      </w:pPr>
      <w:r>
        <w:t>Quick Start — User</w:t>
      </w:r>
    </w:p>
    <w:p>
      <w:pPr>
        <w:jc w:val="center"/>
      </w:pPr>
      <w:r>
        <w:t>Current version: see the header</w:t>
      </w:r>
    </w:p>
    <w:p>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A4A"/>
          </w:tcPr>
          <w:p>
            <w:r>
              <w:rPr>
                <w:b/>
                <w:color w:val="FFFFFF"/>
              </w:rPr>
              <w:t>Build</w:t>
            </w:r>
          </w:p>
        </w:tc>
        <w:tc>
          <w:tcPr>
            <w:tcW w:type="dxa" w:w="5040"/>
          </w:tcPr>
          <w:p>
            <w:r>
              <w:t>v17.4.3.62.13.9.4.65-M6B-B1.3.62.13.9.4.65</w:t>
            </w:r>
          </w:p>
        </w:tc>
      </w:tr>
      <w:tr>
        <w:trPr>
          <w:cantSplit/>
        </w:trPr>
        <w:tc>
          <w:tcPr>
            <w:tcW w:type="dxa" w:w="5040"/>
            <w:shd w:fill="101A4A"/>
          </w:tcPr>
          <w:p>
            <w:r>
              <w:rPr>
                <w:b/>
                <w:color w:val="FFFFFF"/>
              </w:rPr>
              <w:t>Document</w:t>
            </w:r>
          </w:p>
        </w:tc>
        <w:tc>
          <w:tcPr>
            <w:tcW w:type="dxa" w:w="5040"/>
          </w:tcPr>
          <w:p>
            <w:r>
              <w:t>Quick Start — User</w:t>
            </w:r>
          </w:p>
        </w:tc>
      </w:tr>
      <w:tr>
        <w:trPr>
          <w:cantSplit/>
        </w:trPr>
        <w:tc>
          <w:tcPr>
            <w:tcW w:type="dxa" w:w="5040"/>
            <w:shd w:fill="101A4A"/>
          </w:tcPr>
          <w:p>
            <w:r>
              <w:rPr>
                <w:b/>
                <w:color w:val="FFFFFF"/>
              </w:rPr>
              <w:t>Revision</w:t>
            </w:r>
          </w:p>
        </w:tc>
        <w:tc>
          <w:tcPr>
            <w:tcW w:type="dxa" w:w="5040"/>
          </w:tcPr>
          <w:p>
            <w:r>
              <w:t>18 October 2026</w:t>
            </w:r>
          </w:p>
        </w:tc>
      </w:tr>
      <w:tr>
        <w:trPr>
          <w:cantSplit/>
        </w:trPr>
        <w:tc>
          <w:tcPr>
            <w:tcW w:type="dxa" w:w="5040"/>
            <w:shd w:fill="101A4A"/>
          </w:tcPr>
          <w:p>
            <w:r>
              <w:rPr>
                <w:b/>
                <w:color w:val="FFFFFF"/>
              </w:rPr>
              <w:t>Status</w:t>
            </w:r>
          </w:p>
        </w:tc>
        <w:tc>
          <w:tcPr>
            <w:tcW w:type="dxa" w:w="5040"/>
          </w:tcPr>
          <w:p>
            <w:r>
              <w:t>v17.0 — supervised professional use</w:t>
            </w:r>
          </w:p>
        </w:tc>
      </w:tr>
    </w:tbl>
    <w:p>
      <w:r/>
    </w:p>
    <w:p>
      <w:pPr>
        <w:jc w:val="center"/>
      </w:pPr>
      <w:r>
        <w:t>This manual does not constitute legal advice. Human review remains mandatory.</w:t>
      </w:r>
    </w:p>
    <w:p>
      <w:r/>
    </w:p>
    <w:p>
      <w:pPr>
        <w:pStyle w:val="Heading1"/>
      </w:pPr>
      <w:r>
        <w:t>Prepare a committee meeting</w:t>
      </w:r>
    </w:p>
    <w:p>
      <w:pPr>
        <w:pStyle w:val="ListNumber"/>
        <w:numPr>
          <w:ilvl w:val="0"/>
          <w:numId w:val="1001"/>
        </w:numPr>
      </w:pPr>
      <w:r>
        <w:t>Verify the distribution and installation; configure keys for enabled providers.</w:t>
      </w:r>
    </w:p>
    <w:p>
      <w:pPr>
        <w:pStyle w:val="ListNumber"/>
        <w:numPr>
          <w:ilvl w:val="0"/>
          <w:numId w:val="1001"/>
        </w:numPr>
      </w:pPr>
      <w:r>
        <w:t>Write the brief: identity, entities/scope, decision sought, constraints and documents. Separate actuals, budgets, assumptions and actions already decided. Then confirm the legal target proposed on screen (Use or Change).</w:t>
      </w:r>
    </w:p>
    <w:p>
      <w:pPr>
        <w:pStyle w:val="ListNumber"/>
        <w:numPr>
          <w:ilvl w:val="0"/>
          <w:numId w:val="1001"/>
        </w:numPr>
      </w:pPr>
      <w:r>
        <w:t>Set the analysis date in YYYY-MM-DD format, then the horizon from that date. Resolve conflicts with the end date before running. The banner’s adoption button takes the date from your brief.</w:t>
      </w:r>
    </w:p>
    <w:p>
      <w:pPr>
        <w:pStyle w:val="ListNumber"/>
        <w:numPr>
          <w:ilvl w:val="0"/>
          <w:numId w:val="1001"/>
        </w:numPr>
      </w:pPr>
      <w:r>
        <w:t>Attach documents with usable text. This version has no OCR; attaching a document does not imply full analysis.</w:t>
      </w:r>
    </w:p>
    <w:p>
      <w:pPr>
        <w:pStyle w:val="ListNumber"/>
        <w:numPr>
          <w:ilvl w:val="0"/>
          <w:numId w:val="1001"/>
        </w:numPr>
      </w:pPr>
      <w:r>
        <w:t>Run, retain diagnostics and collect available Word documents, PPTX and package. Read the synthesis, use the long report for detail, then prepare the deck.</w:t>
      </w:r>
    </w:p>
    <w:p>
      <w:pPr>
        <w:pStyle w:val="Heading2"/>
      </w:pPr>
      <w:r>
        <w:t>What you receive</w:t>
      </w:r>
    </w:p>
    <w:p>
      <w:r>
        <w:t>The two Word documents are the main deliverables: detailed analysis and decision synthesis. The PPTX is a presentation draft to revise after reading them, not a standalone document ready to hand over. An incomplete PPTX draft is not, by itself, a failure of the analysis. Length depends on the brief and available material; page and slide counts are indicative, not guaranteed. The complete package brings together the files actually generated, diagnostics, available registers, preparation journal and manifest.</w:t>
      </w:r>
    </w:p>
    <w:p>
      <w:pPr>
        <w:pStyle w:val="Heading2"/>
      </w:pPr>
      <w:r>
        <w:t>The control layer and its limitations</w:t>
      </w:r>
    </w:p>
    <w:p>
      <w:r>
        <w:t>Deterministic guards. After model generation, local Python rules examine text and structured data. No model is called to make decisions within these guards. Doctrine “deliver everything, flag in place”: the principle is to keep; an unsupported quantity stays where it is, highlighted and followed by “⚠ to verify — reason”. Exceptions (personal calculations removed, Finance prudence frame) and reservations are detailed in the full manual. Review the Word documents before any use.</w:t>
      </w:r>
    </w:p>
    <w:p>
      <w:pPr>
        <w:pStyle w:val="Heading2"/>
      </w:pPr>
      <w:r>
        <w:t>Read the statuses</w:t>
      </w:r>
    </w:p>
    <w:p>
      <w:r>
        <w:t>Confirmation levels. ‘Confirmed on page’ identifies a match made by the software to an attachment and page; verify the value AND label, sign, unit and scale, period and scope. ‘Confirmed at registry’ refers to a queried registry and its consultation date; this may not match the analysed year and this route is inactive in retrospective analysis. ‘Declared, unconfirmed’ means the required match has not been established. Possible causes include an absent source, inadequate extraction, or unmatched label, unit, scale, period or scope; the status does not identify which cause applies. [NON SOURCÉ] / [UNSOURCED] means ‘declared, unconfirmed’ here, not ‘no source exists’. Nature (actual, budget, assumption, target), evidence and approval remain separate.</w:t>
      </w:r>
    </w:p>
    <w:p>
      <w:pPr>
        <w:pStyle w:val="Heading2"/>
      </w:pPr>
      <w:r>
        <w:t>What's new in this version</w:t>
      </w:r>
    </w:p>
    <w:p>
      <w:pPr/>
      <w:r>
        <w:t>Keep and flag: every doubtful passage is delivered and flagged in place (exceptions described in the manual). Progress screens. Action statuses in the brief.</w:t>
      </w:r>
    </w:p>
    <w:p>
      <w:pPr>
        <w:pStyle w:val="Heading2"/>
      </w:pPr>
      <w:r>
        <w:t>Continue at the next meeting</w:t>
      </w:r>
    </w:p>
    <w:p>
      <w:r>
        <w:t>Memory between meetings. The code includes local case history and a timestamped action register. Reuse the same case — the same “Dossier label” from one meeting to the next — and check the entity, identifier, data directory and analysis date. State genuinely approved decisions, completed or deferred actions and explicit closures in the next brief. Then review carried-over items and changes: repetition does not approve a proposal. Retrospective/future modes do not write to the live register; the “Start fresh — ignore this folder’s history” box disables carry-over for an isolated test. This documentation revision does not certify exhaustive decision, action and question continuity across two meetings; verify it for your case. This is not memory of all conversations or model training. Check the « Statuses read by CoDIR IA » preview before running. Enter one action per line at the end of the brief, in the forms described in the full manual: ‘— action — owner — completed on DD/MM/YYYY’, ‘— action — postponed to DD/MM/YYYY’ or ‘— action — dropped’; state the board decision on a separate line.</w:t>
      </w:r>
    </w:p>
    <w:p>
      <w:pPr>
        <w:pStyle w:val="Heading2"/>
      </w:pPr>
      <w:r>
        <w:t xml:space="preserve">During and after processing</w:t>
      </w:r>
    </w:p>
    <w:p>
      <w:r>
        <w:t xml:space="preserve">Twelve-step progress, then « Package ready »: deliverables, full package, new session, quit. Action statuses and the board decision: one line per action at the end of the brief (see the manual).</w:t>
      </w:r>
    </w:p>
    <w:p>
      <w:pPr>
        <w:pStyle w:val="Heading2"/>
      </w:pPr>
      <w:r>
        <w:t>Data, rights and security</w:t>
      </w:r>
    </w:p>
    <w:p>
      <w:r>
        <w:t>Local does not mean offline. The interface, storage and guards run on the computer; enabled AI providers, registries and searches receive content needed by their functions. The guards are neither anonymisation nor a firewall before transmission. The brief, excerpts and, depending on submitted context, history items may leave the computer. Check your rights and provider accounts before running. No publisher telemetry; keys stay in clear text locally: never share secrets.json.</w:t>
      </w:r>
    </w:p>
    <w:p>
      <w:r>
        <w:t>The software uses FSL-1.1-ALv2; trademark use is addressed in TRADEMARKS.md. Output documents may be handed over under the Terms after human review, without additional publisher authorisation for that use. English remains a preview without certified business-control parity.</w:t>
      </w:r>
    </w:p>
    <w:p>
      <w:r>
        <w:t>Reporting: security@vauquigneux.com, subject [SECURITY CoDIR IA]; https://robinsauzet.com/contact/ as fallback. Include version, platform and a non-sensitive description; no keys or client documents. Receipt of the channel remains separate evidence.</w:t>
      </w:r>
    </w:p>
    <w:p>
      <w:pPr>
        <w:pStyle w:val="Heading2"/>
      </w:pPr>
      <w:r>
        <w:t>Temporal authority</w:t>
      </w:r>
    </w:p>
    <w:p>
      <w:r>
        <w:t>Temporal and canonical fact authority. Specify a precise analysis date, separate from the generation date. Before running, check the date and scope retained in the settings; do not assume that the brief alone enforces them. After export, check source eligibility and deadlines. If they conflict, do not approve the result; request a corrected analysis context.</w:t>
      </w:r>
    </w:p>
    <w:p>
      <w:r>
        <w:t>Version: CoDIR IA v17.0 — build v17.4.3.62.13.9.4.65-M6B-B1.3.62.13.9.4.65 — see the release notes for new features and known limitations · documentation revision of 18 October 2026, see READ_THE_DOCUMENTATION_EN.md; version history and technical addenda in the full manual.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6"/>
      </w:rPr>
      <w:t>AI-assisted working documentation — human review required</w:t>
    </w:r>
    <w:r>
      <w:rPr>
        <w:sz w:val="16"/>
      </w:rPr>
      <w:t xml:space="preserve">  ·  Page </w:t>
    </w:r>
    <w:fldSimple w:instr="PAGE">
      <w:r>
        <w:rPr>
          <w:sz w:val="16"/>
        </w:rPr>
        <w:t>1</w:t>
      </w:r>
    </w:fldSimple>
    <w:r>
      <w:rPr>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CoDIR IA · v17.4.3.62.13.9.4.65-M6B-B1.3.62.13.9.4.65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6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 — User</dc:title>
  <dc:subject/>
  <dc:creator>python-docx</dc:creator>
  <cp:keywords/>
  <dc:description>CoDIR IA v17.0 — build 9.4.65 — documentation revised on 18 October 2026.</dc:description>
  <cp:lastModifiedBy>CoDIR IA — révision documentaire 9.4.61</cp:lastModifiedBy>
  <cp:revision>2</cp:revision>
  <dcterms:created xsi:type="dcterms:W3CDTF">2013-12-23T23:15:00Z</dcterms:created>
  <dcterms:modified xsi:type="dcterms:W3CDTF">2026-10-18T16:22:48Z</dcterms:modified>
  <cp:category/>
  <cp:version>v17.4.3.62.13.9.4.65-M6B-B1.3.62.13.9.4.65 · 9.4.65-20261018</cp:version>
</cp:coreProperties>
</file>