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Vendor Risk Assessment: CloudSafe Solutions B.V.</w:t>
      </w:r>
    </w:p>
    <w:p>
      <w:pPr>
        <w:pStyle w:val="Heading1"/>
      </w:pPr>
      <w:r>
        <w:t>Audit Memo</w:t>
      </w:r>
    </w:p>
    <w:p/>
    <w:p/>
    <w:p>
      <w:r>
        <w:t># VENDOR RISK ASSESSMENT MEMO</w:t>
      </w:r>
    </w:p>
    <w:p/>
    <w:p>
      <w:r>
        <w:t>**To:** Chief Information Security Officer / IT Risk Committee</w:t>
      </w:r>
    </w:p>
    <w:p>
      <w:r>
        <w:t>**From:** IT Audit Manager, Third-Party Risk Management</w:t>
      </w:r>
    </w:p>
    <w:p>
      <w:r>
        <w:t>**Date:** [Current Date]</w:t>
      </w:r>
    </w:p>
    <w:p>
      <w:r>
        <w:t>**Subject:** Vendor Risk Assessment — CloudSafe Solutions B.V.</w:t>
      </w:r>
    </w:p>
    <w:p>
      <w:r>
        <w:t>**Classification:** Confidential — Internal Use Only</w:t>
      </w:r>
    </w:p>
    <w:p>
      <w:r>
        <w:t>**Assessment Reference:** VRA-2025-CSB-041</w:t>
      </w:r>
    </w:p>
    <w:p/>
    <w:p>
      <w:r>
        <w:t>---</w:t>
      </w:r>
    </w:p>
    <w:p/>
    <w:p>
      <w:r>
        <w:t>## 1. Executive Summary</w:t>
      </w:r>
    </w:p>
    <w:p/>
    <w:p>
      <w:r>
        <w:t>CloudSafe Solutions B.V. ("the Vendor") presents an overall **High residual risk** rating based on our assessment across four regulatory and standards frameworks: DORA, ISO 27001, NIS2, and the Dutch Cyberbeveiligingswet (CBW). While the Vendor demonstrates a mature baseline security posture, evidenced by a valid ISO/IEC 27001:2022 certification and a clean SOC 2 Type II report, material gaps exist in DORA compliance that pose significant regulatory exposure to our organization as a financial-sector client. Most critically, the Vendor has no documented mechanism for reporting major ICT-related incidents to the appropriate financial competent authority (e.g., De Nederlandsche Bank) as mandated by DORA Articles 19 through 23, instead relying exclusively on NIS2 notification pathways through the NCSC, which are legally and procedurally distinct. Additional concerns include the absence of a standalone ICT risk management framework, the lack of an ICT asset inventory, missing data leakage prevention controls despite the processing of client financial records and personal identifiers, and unaddressed CBW sector-specific obligations. **Our recommendation is to defer any new contract execution or material scope expansion with CloudSafe Solutions B.V. until the critical DORA incident reporting gap is formally remediated, and to condition continued engagement on the Vendor's adherence to a time-bound remediation plan addressing all High-severity findings within 90 days.**</w:t>
      </w:r>
    </w:p>
    <w:p/>
    <w:p>
      <w:r>
        <w:t>---</w:t>
      </w:r>
    </w:p>
    <w:p/>
    <w:p>
      <w:r>
        <w:t>## 2. Assessment Scope</w:t>
      </w:r>
    </w:p>
    <w:p/>
    <w:p>
      <w:r>
        <w:t>### 2.1 Frameworks Assessed</w:t>
      </w:r>
    </w:p>
    <w:p/>
    <w:p>
      <w:r>
        <w:t>| Framework | Version / Reference | Overall Rating |</w:t>
      </w:r>
    </w:p>
    <w:p>
      <w:r>
        <w:t>|---|---|---|</w:t>
      </w:r>
    </w:p>
    <w:p>
      <w:r>
        <w:t>| Digital Operational Resilience Act (DORA) | Regulation (EU) 2022/2554, Articles 5 through 44 | **Red** (3 gaps, 1 critical) |</w:t>
      </w:r>
    </w:p>
    <w:p>
      <w:r>
        <w:t>| ISO/IEC 27001:2022 | Annex A controls (selected) | **Red** (2 gaps, 0 critical) |</w:t>
      </w:r>
    </w:p>
    <w:p>
      <w:r>
        <w:t>| Network and Information Security Directive (NIS2) | Directive (EU) 2022/2555, Article 21 | **Amber** (0 gaps, 0 critical) |</w:t>
      </w:r>
    </w:p>
    <w:p>
      <w:r>
        <w:t>| Cyberbeveiligingswet (CBW) | Dutch transposition of NIS2 | **Red** (2 gaps, 0 critical) |</w:t>
      </w:r>
    </w:p>
    <w:p/>
    <w:p>
      <w:r>
        <w:t>### 2.2 Documents Reviewed</w:t>
      </w:r>
    </w:p>
    <w:p/>
    <w:p>
      <w:r>
        <w:t>The following source documents formed the basis of this assessment:</w:t>
      </w:r>
    </w:p>
    <w:p/>
    <w:p>
      <w:r>
        <w:t>1. **Vendor Security Questionnaire** — completed by CloudSafe Solutions B.V., received [date].</w:t>
      </w:r>
    </w:p>
    <w:p>
      <w:r>
        <w:t>2. **SOC 2 Type II Report** — prepared by KPMG, covering H1 2025, examining security, availability, and confidentiality trust service criteria.</w:t>
      </w:r>
    </w:p>
    <w:p>
      <w:r>
        <w:t>3. **ISO/IEC 27001:2022 Certificate** — certificate number NL-2022-IS-0847, valid until 30 June 2027, with most recent surveillance audit conducted June 2025 (one minor non-conformity, remediated).</w:t>
      </w:r>
    </w:p>
    <w:p/>
    <w:p>
      <w:r>
        <w:t>No client-facing Master Service Agreement (MSA), ICT risk management framework document, ICT asset inventory, incident log, cryptographic policy, or DORA control mapping was provided or available for review.</w:t>
      </w:r>
    </w:p>
    <w:p/>
    <w:p>
      <w:r>
        <w:t>### 2.3 Vendor Profile</w:t>
      </w:r>
    </w:p>
    <w:p/>
    <w:p>
      <w:r>
        <w:t>| Attribute | Detail |</w:t>
      </w:r>
    </w:p>
    <w:p>
      <w:r>
        <w:t>|---|---|</w:t>
      </w:r>
    </w:p>
    <w:p>
      <w:r>
        <w:t>| Legal Entity | CloudSafe Solutions B.V. |</w:t>
      </w:r>
    </w:p>
    <w:p>
      <w:r>
        <w:t>| Headquarters | Amsterdam, Netherlands |</w:t>
      </w:r>
    </w:p>
    <w:p>
      <w:r>
        <w:t>| Services Provided | Cloud-based document storage, data archival, API-based data access |</w:t>
      </w:r>
    </w:p>
    <w:p>
      <w:r>
        <w:t>| Data Processed | Client financial records, personal identifiers |</w:t>
      </w:r>
    </w:p>
    <w:p>
      <w:r>
        <w:t>| Infrastructure | AWS EU-West-1 (primary), AWS EU-West-2 (backup/DR) |</w:t>
      </w:r>
    </w:p>
    <w:p>
      <w:r>
        <w:t>| Sub-processors | AWS, Cloudflare, PagerDuty |</w:t>
      </w:r>
    </w:p>
    <w:p/>
    <w:p>
      <w:r>
        <w:t>---</w:t>
      </w:r>
    </w:p>
    <w:p/>
    <w:p>
      <w:r>
        <w:t>## 3. Key Findings</w:t>
      </w:r>
    </w:p>
    <w:p/>
    <w:p>
      <w:r>
        <w:t>### 3.1 DORA — Digital Operational Resilience Act (Overall: Red)</w:t>
      </w:r>
    </w:p>
    <w:p/>
    <w:p>
      <w:r>
        <w:t>The DORA assessment revealed the most significant concentration of material findings. One critical gap and multiple high-severity partial compliance issues were identified across key articles.</w:t>
      </w:r>
    </w:p>
    <w:p/>
    <w:p>
      <w:r>
        <w:t>**Critical Finding — Incident Reporting to Financial Competent Authority (Art. 19-23):**</w:t>
      </w:r>
    </w:p>
    <w:p>
      <w:r>
        <w:t>The Vendor's incident reporting regime is aligned exclusively to NIS2 requirements, with the NCSC designated as the sole notification body. DORA mandates that major ICT-related incidents affecting financial entities be reported to the relevant financial competent authority, such as DNB for Dutch-supervised entities, or to EBA, EIOPA, or ESMA as applicable. The required DORA reporting timelines (initial notification within 4 hours of major incident classification, intermediate report within 72 hours, and final report within 1 month) are not referenced in any reviewed document. This gap represents a direct regulatory compliance failure that could result in supervisory sanctions against our organization as the contracting financial entity.</w:t>
      </w:r>
    </w:p>
    <w:p/>
    <w:p>
      <w:r>
        <w:t>**ICT Risk Management Framework (Art. 5-9):**</w:t>
      </w:r>
    </w:p>
    <w:p>
      <w:r>
        <w:t>Although the Vendor maintains ISO 27001 certification and a board-approved Information Security Policy, DORA requires a standalone, explicitly documented ICT risk management framework with specific mapping to Articles 5 through 16. No such framework document was referenced or provided. The absence of this artefact means that compliance with the foundational DORA ICT governance requirements cannot be verified.</w:t>
      </w:r>
    </w:p>
    <w:p/>
    <w:p>
      <w:r>
        <w:t>**ICT Asset Inventory (Art. 10):**</w:t>
      </w:r>
    </w:p>
    <w:p>
      <w:r>
        <w:t>No formal ICT asset inventory covering hardware, software, and data assets was referenced in any reviewed document. While the SOC 2 report provides a high-level description of infrastructure components (AWS EU-West-1, encryption standards, sub-processors), this does not constitute a structured asset register with classification, ownership, and dependency mapping as contemplated by Article 10.</w:t>
      </w:r>
    </w:p>
    <w:p/>
    <w:p>
      <w:r>
        <w:t>**Incident Classification and Reporting Alignment (Art. 17-18):**</w:t>
      </w:r>
    </w:p>
    <w:p>
      <w:r>
        <w:t>The Vendor operates a three-tier severity model (P1/P2/P3) validated by SOC 2 testing (CC7.2, no exceptions). However, incident classification criteria are not mapped to the DORA-specific major incident classification taxonomy defined in Article 18, including criteria such as the number of affected clients, geographic spread, data losses, duration, and economic impact. No incident log is referenced as a maintained artefact.</w:t>
      </w:r>
    </w:p>
    <w:p/>
    <w:p>
      <w:r>
        <w:t>**Threat-Led Penetration Testing (Art. 26-27):**</w:t>
      </w:r>
    </w:p>
    <w:p>
      <w:r>
        <w:t>Annual penetration testing by Fox-IT is documented and confirmed by SOC 2 (CC7.1). However, standard penetration testing does not satisfy the DORA requirement for Threat-Led Penetration Testing (TLPT) conducted under a TIBER-EU or equivalent methodology. TLPT is an intelligence-led, red-team exercise required every three years for significant entities or critical third-party providers (CTPPs). Given the Vendor's financial-sector client base, TLPT applicability should be formally assessed.</w:t>
      </w:r>
    </w:p>
    <w:p/>
    <w:p>
      <w:r>
        <w:t>**Third-Party ICT Service Provider Arrangements (Art. 28, Art. 30):**</w:t>
      </w:r>
    </w:p>
    <w:p>
      <w:r>
        <w:t>Sub-processors are identified and basic supplier management processes are in place. However, no register of ICT third-party service arrangements in the format prescribed by Article 28(3) was provided. Furthermore, no client-facing MSA was made available for review, precluding verification that contractual provisions meet DORA Article 30 requirements, including explicit SLA commitments, competent authority audit rights, data portability guarantees, orderly exit provisions, business continuity obligations, and sub-contracting notification clauses.</w:t>
      </w:r>
    </w:p>
    <w:p/>
    <w:p>
      <w:r>
        <w:t>**CTPP Designation Risk (Art. 28(8), Art. 31-44):**</w:t>
      </w:r>
    </w:p>
    <w:p>
      <w:r>
        <w:t>The Vendor's sole reliance on AWS EU-West-1 creates concentration risk. Furthermore, the Vendor's stated ambition to achieve DORA compliance alignment for its financial-sector clients implies a material and potentially growing client base in the regulated financial sector. If the Vendor serves a significant number of, or systemically important, financial entities, it may be designated as a Critical Third-Party Provider (CTPP) by the European Supervisory Authorities, subjecting it to direct supervisory oversight. No information was provided on the number, type, or systemic importance of the Vendor's financial-entity clients.</w:t>
      </w:r>
    </w:p>
    <w:p/>
    <w:p>
      <w:r>
        <w:t>**Compliant Areas (DORA):**</w:t>
      </w:r>
    </w:p>
    <w:p>
      <w:r>
        <w:t>It is noted that the Vendor demonstrates compliance in the areas of digital operational resilience testing at the basic level (Art. 24-25), with weekly vulnerability scanning, annual penetration testing, and timely CVE remediation. Business continuity and disaster recovery (Art. 11) are well-documented, with validated RTO of 4 hours, RPO of 1 hour, quarterly recovery testing, and 99.97% uptime confirmed by SOC 2.</w:t>
      </w:r>
    </w:p>
    <w:p/>
    <w:p>
      <w:r>
        <w:t>###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