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ANL-019</w:t>
      </w:r>
    </w:p>
    <w:p>
      <w:pPr>
        <w:pStyle w:val="Heading1"/>
      </w:pPr>
      <w:r>
        <w:rPr>
          <w:b/>
          <w:bCs/>
        </w:rPr>
        <w:t xml:space="preserve">Billable utilisation hours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Billable hours by person. Available hours are not in the table, so utilisation is not pretended.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Billable utilisation hours</dc:title>
  <dc:creator>MOHAO</dc:creator>
  <dc:description>Billable hours by person. Available hours are not in the table, so utilisation is not pretended.</dc:description>
  <cp:lastModifiedBy>Un-named</cp:lastModifiedBy>
  <cp:revision>1</cp:revision>
  <dcterms:created xsi:type="dcterms:W3CDTF">2026-10-12T20:07:20.739Z</dcterms:created>
  <dcterms:modified xsi:type="dcterms:W3CDTF">2026-10-12T20:07:20.739Z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