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ANL-020</w:t>
      </w:r>
    </w:p>
    <w:p>
      <w:pPr>
        <w:pStyle w:val="Heading1"/>
      </w:pPr>
      <w:r>
        <w:rPr>
          <w:b/>
          <w:bCs/>
        </w:rPr>
        <w:t xml:space="preserve">Multi-store refunds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Refund amounts by store. Refunds are not subtracted from a sales table that is not here.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Multi-store refunds</dc:title>
  <dc:creator>MOHAO</dc:creator>
  <dc:description>Refund amounts by store. Refunds are not subtracted from a sales table that is not here.</dc:description>
  <cp:lastModifiedBy>Un-named</cp:lastModifiedBy>
  <cp:revision>1</cp:revision>
  <dcterms:created xsi:type="dcterms:W3CDTF">2026-10-12T20:07:20.755Z</dcterms:created>
  <dcterms:modified xsi:type="dcterms:W3CDTF">2026-10-12T20:07:20.755Z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