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ECM-006</w:t>
      </w:r>
    </w:p>
    <w:p>
      <w:pPr>
        <w:pStyle w:val="Heading1"/>
      </w:pPr>
      <w:r>
        <w:rPr>
          <w:b/>
          <w:bCs/>
        </w:rPr>
        <w:t xml:space="preserve">Size chart template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Measure the garment</w:t>
      </w:r>
    </w:p>
    <w:p>
      <w:r>
        <w:rPr>
          <w:i w:val="false"/>
          <w:iCs w:val="false"/>
        </w:rPr>
        <w:t xml:space="preserve">The sample chart is garment measurements in centimetres, not body measurements. Say that on the chart. A buyer who expects body measurements will order the wrong size if you stay silent.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Size chart template</dc:title>
  <dc:creator>MOHAO</dc:creator>
  <dc:description>A size chart that states how you measured.</dc:description>
  <cp:lastModifiedBy>Un-named</cp:lastModifiedBy>
  <cp:revision>1</cp:revision>
  <dcterms:created xsi:type="dcterms:W3CDTF">2026-10-12T20:07:21.164Z</dcterms:created>
  <dcterms:modified xsi:type="dcterms:W3CDTF">2026-10-12T20:07:21.164Z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