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ECM-007</w:t>
      </w:r>
    </w:p>
    <w:p>
      <w:pPr>
        <w:pStyle w:val="Heading1"/>
      </w:pPr>
      <w:r>
        <w:rPr>
          <w:b/>
          <w:bCs/>
        </w:rPr>
        <w:t xml:space="preserve">Supplier comparison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Same unit</w:t>
      </w:r>
    </w:p>
    <w:p>
      <w:r>
        <w:rPr>
          <w:i w:val="false"/>
          <w:iCs w:val="false"/>
        </w:rPr>
        <w:t xml:space="preserve">Compare the price per finished unit, the lead time in days, and the minimum order. A cheaper unit with a 12-week lead is not cheaper if you miss the season.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comparison</dc:title>
  <dc:creator>MOHAO</dc:creator>
  <dc:description>Compare three suppliers on price, lead time, and the minimum order.</dc:description>
  <cp:lastModifiedBy>Un-named</cp:lastModifiedBy>
  <cp:revision>1</cp:revision>
  <dcterms:created xsi:type="dcterms:W3CDTF">2026-10-12T20:07:21.172Z</dcterms:created>
  <dcterms:modified xsi:type="dcterms:W3CDTF">2026-10-12T20:07:21.172Z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