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ECM-010</w:t>
      </w:r>
    </w:p>
    <w:p>
      <w:pPr>
        <w:pStyle w:val="Heading1"/>
      </w:pPr>
      <w:r>
        <w:rPr>
          <w:b/>
          <w:bCs/>
        </w:rPr>
        <w:t xml:space="preserve">Review request sequence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When</w:t>
      </w:r>
    </w:p>
    <w:p>
      <w:r>
        <w:rPr>
          <w:i w:val="false"/>
          <w:iCs w:val="false"/>
        </w:rPr>
        <w:t xml:space="preserve">Wait until they could have used it. For a template, four days. Ask one question: what was missing? Publish a review only if they agree, and do not edit the meaning.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request sequence</dc:title>
  <dc:creator>MOHAO</dc:creator>
  <dc:description>Ask for a review after a buyer has had time to open the file.</dc:description>
  <cp:lastModifiedBy>Un-named</cp:lastModifiedBy>
  <cp:revision>1</cp:revision>
  <dcterms:created xsi:type="dcterms:W3CDTF">2026-10-12T20:07:21.203Z</dcterms:created>
  <dcterms:modified xsi:type="dcterms:W3CDTF">2026-10-12T20:07:21.203Z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