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FIN-008</w:t>
      </w:r>
    </w:p>
    <w:p>
      <w:pPr>
        <w:pStyle w:val="Heading1"/>
      </w:pPr>
      <w:r>
        <w:rPr>
          <w:b/>
          <w:bCs/>
        </w:rPr>
        <w:t xml:space="preserve">Rent and ownership cost comparison</w:t>
      </w:r>
    </w:p>
    <w:p>
      <w:r>
        <w:rPr>
          <w:i/>
          <w:iCs/>
          <w:color w:val="5F5E58"/>
        </w:rPr>
        <w:t xml:space="preserve">Replace the sample figures before you rely on the result.</w:t>
      </w:r>
    </w:p>
    <w:p>
      <w:r>
        <w:rPr>
          <w:i w:val="false"/>
          <w:iCs w:val="false"/>
        </w:rPr>
        <w:t xml:space="preserve">This is a one-year cash comparison. It ignores transfer duty, bond registration, estate agent commission, and any change in the property's price. Those can dominate a short stay. The sample rent is R9,500 and the quoted repayment is R8,200, but levies and maintenance pull ownership above rent.</w:t>
      </w:r>
    </w:p>
    <w:p>
      <w:pPr>
        <w:pStyle w:val="Heading2"/>
      </w:pPr>
      <w:r>
        <w:t xml:space="preserve">How to use the workbook</w:t>
      </w:r>
    </w:p>
    <w:p>
      <w:r>
        <w:t xml:space="preserve">1. Use the repayment from a quote, not a number you hope for.</w:t>
      </w:r>
    </w:p>
    <w:p>
      <w:r>
        <w:t xml:space="preserve">2. Enter monthly levies, rates, insurance, and a maintenance reserve.</w:t>
      </w:r>
    </w:p>
    <w:p>
      <w:r>
        <w:t xml:space="preserve">3. Read Ownership minus next rent. A positive number means the ownership year costs more than the next rental year.</w:t>
      </w:r>
    </w:p>
    <w:p>
      <w:r>
        <w:t xml:space="preserve">4. Decide separately how long you expect to stay. This sheet cannot answer that.</w:t>
      </w:r>
    </w:p>
    <w:p>
      <w:pPr>
        <w:pStyle w:val="Heading2"/>
      </w:pPr>
      <w:r>
        <w:t xml:space="preserve">Worked example</w:t>
      </w:r>
    </w:p>
    <w:p>
      <w:r>
        <w:rPr>
          <w:i w:val="false"/>
          <w:iCs w:val="false"/>
        </w:rPr>
        <w:t xml:space="preserve">Annual rent before the increase is R114,000.</w:t>
      </w:r>
    </w:p>
    <w:p>
      <w:r>
        <w:t xml:space="preserve">- After an 8% increase it is R123,120.</w:t>
      </w:r>
    </w:p>
    <w:p>
      <w:r>
        <w:t xml:space="preserve">- Ownership in the sample is R11,850 a month, or R142,200 a year.</w:t>
      </w:r>
    </w:p>
    <w:p>
      <w:r>
        <w:t xml:space="preserve">- The gap is R19,080 for the year.</w:t>
      </w:r>
    </w:p>
    <w:p>
      <w:pPr>
        <w:pStyle w:val="Heading2"/>
      </w:pPr>
      <w:r>
        <w:t xml:space="preserve">A practical routine</w:t>
      </w:r>
    </w:p>
    <w:p>
      <w:r>
        <w:t xml:space="preserve">- Ask for the levy statement and the rates account, not only the selling price.</w:t>
      </w:r>
    </w:p>
    <w:p>
      <w:r>
        <w:t xml:space="preserve">- Keep a maintenance reserve even in a new building.</w:t>
      </w:r>
    </w:p>
    <w:p>
      <w:r>
        <w:t xml:space="preserve">- Recalculate when the quote expires.</w:t>
      </w:r>
    </w:p>
    <w:p>
      <w:r>
        <w:rPr>
          <w:i/>
          <w:iCs/>
        </w:rPr>
        <w:t xml:space="preserve">This workbook organises figures you type in. It is not financial, credit, insurance, or tax advice. Rates, fees, and laws change. A qualified adviser should review decisions that affect debt, tax, medical cover, or retirement.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 and ownership cost comparison</dc:title>
  <dc:creator>MOHAO</dc:creator>
  <dc:description>Compare one year of rent with one year of ownership costs you type in.</dc:description>
  <cp:lastModifiedBy>Un-named</cp:lastModifiedBy>
  <cp:revision>1</cp:revision>
  <dcterms:created xsi:type="dcterms:W3CDTF">2026-10-12T20:07:20.215Z</dcterms:created>
  <dcterms:modified xsi:type="dcterms:W3CDTF">2026-10-12T20:07:20.215Z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