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Vector Language Philosophy – Foundational Clause I</w:t>
      </w:r>
    </w:p>
    <w:p>
      <w:r>
        <w:t>Date: 2025-05-22</w:t>
      </w:r>
    </w:p>
    <w:p>
      <w:pPr>
        <w:pStyle w:val="Heading1"/>
      </w:pPr>
      <w:r>
        <w:t>Clause I: Universal Conveyance Without Exclusion</w:t>
      </w:r>
    </w:p>
    <w:p>
      <w:r>
        <w:t>Vector is a universal semantic tool. It excludes no person, no perspective, and no form of reasoning. It is not a belief system, nor a filter. It is a vessel for meaning in its purest form—ledgered, preserved, and shared. Vector does not judge, restrict, or overwrite. It carries what an agent means, as clearly and accurately as possible, with the least distortion and the highest potential for understanding.</w:t>
      </w:r>
    </w:p>
    <w:p>
      <w:pPr>
        <w:pStyle w:val="Heading2"/>
      </w:pPr>
      <w:r>
        <w:t>Implications</w:t>
      </w:r>
    </w:p>
    <w:p>
      <w:pPr>
        <w:pStyle w:val="ListBullet"/>
      </w:pPr>
      <w:r>
        <w:t>• All beliefs, emotions, experiences, and cognitive paths are structurally valid if ledgered and permissioned.</w:t>
      </w:r>
    </w:p>
    <w:p>
      <w:pPr>
        <w:pStyle w:val="ListBullet"/>
      </w:pPr>
      <w:r>
        <w:t>• Vector exists to transport meaning—not enforce alignment.</w:t>
      </w:r>
    </w:p>
    <w:p>
      <w:pPr>
        <w:pStyle w:val="ListBullet"/>
      </w:pPr>
      <w:r>
        <w:t>• The language must accommodate all use cases, all emotional styles, all agent identities, and all communicative needs.</w:t>
      </w:r>
    </w:p>
    <w:p>
      <w:pPr>
        <w:pStyle w:val="ListBullet"/>
      </w:pPr>
      <w:r>
        <w:t>• Inclusion is structural: what can be defined and encoded is accepted—unconditionally.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