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5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v1.12 (+ v1.13 in-flight) · 2026-04-25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key).</w:t>
      </w:r>
      <w:r>
        <w:t xml:space="preserve"> </w:t>
      </w:r>
      <w:r>
        <w:rPr>
          <w:b/>
          <w:bCs/>
        </w:rPr>
        <w:t xml:space="preserve">v1.13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añade</w:t>
      </w:r>
      <w:r>
        <w:t xml:space="preserve"> </w:t>
      </w:r>
      <w:r>
        <w:t xml:space="preserve">BACnet WPM/DeleteObject por-target, CWMP firmware verifier</w:t>
      </w:r>
      <w:r>
        <w:t xml:space="preserve"> </w:t>
      </w:r>
      <w:r>
        <w:t xml:space="preserve">pre-flight, InternetDB bulk lookup, RPC case-warning, CWMP-over-</w:t>
      </w:r>
      <w:r>
        <w:t xml:space="preserve"> </w:t>
      </w:r>
      <w:r>
        <w:t xml:space="preserve">TLS recipe, triage</w:t>
      </w:r>
      <w:r>
        <w:t xml:space="preserve"> </w:t>
      </w:r>
      <w:r>
        <w:rPr>
          <w:rStyle w:val="VerbatimChar"/>
        </w:rPr>
        <w:t xml:space="preserve">utility</w:t>
      </w:r>
      <w:r>
        <w:t xml:space="preserve"> </w:t>
      </w:r>
      <w:r>
        <w:t xml:space="preserve">bucket — sin tag aún.</w:t>
      </w:r>
    </w:p>
    <w:p>
      <w:r>
        <w:pict>
          <v:rect style="width:0;height:1.5pt" o:hralign="center" o:hrstd="t" o:hr="t"/>
        </w:pict>
      </w:r>
    </w:p>
    <w:bookmarkStart w:id="9" w:name="X6013e51803574a136a2796f4682dab2fe0ac643"/>
    <w:p>
      <w:pPr>
        <w:pStyle w:val="Heading2"/>
      </w:pPr>
      <w:r>
        <w:t xml:space="preserve">Novedades v1.13 (in-flight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sin tag aún)</w:t>
      </w:r>
    </w:p>
    <w:p>
      <w:pPr>
        <w:pStyle w:val="FirstParagraph"/>
      </w:pPr>
      <w:r>
        <w:t xml:space="preserve">Siete chunks han aterrizado desde el cierre de v1.12; el operador</w:t>
      </w:r>
      <w:r>
        <w:t xml:space="preserve"> </w:t>
      </w:r>
      <w:r>
        <w:t xml:space="preserve">decide cuándo cortar</w:t>
      </w:r>
      <w:r>
        <w:t xml:space="preserve"> </w:t>
      </w:r>
      <w:r>
        <w:rPr>
          <w:rStyle w:val="VerbatimChar"/>
        </w:rPr>
        <w:t xml:space="preserve">v1.13.0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(un IP por línea) 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 v1.12 chunk 9</w:t>
      </w:r>
      <w:r>
        <w:t xml:space="preserve"> </w:t>
      </w:r>
      <w:r>
        <w:t xml:space="preserve">shippeó single-IP; v1.13 chunk 1 cierra el shape bulk.</w:t>
      </w:r>
      <w:r>
        <w:t xml:space="preserve"> </w:t>
      </w:r>
      <w:r>
        <w:t xml:space="preserve">Rate-limit upstream ~10 rps.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 Pegada antes de comprometer el allowlist de</w:t>
      </w:r>
      <w:r>
        <w:t xml:space="preserve"> </w:t>
      </w:r>
      <w:r>
        <w:t xml:space="preserve">firmware en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 WritePropertyMultiple (svc 16) per-object gate</w:t>
      </w:r>
      <w:r>
        <w:t xml:space="preserve">.</w:t>
      </w:r>
      <w:r>
        <w:t xml:space="preserve"> </w:t>
      </w:r>
      <w:r>
        <w:t xml:space="preserve">WPM tiene SEQUENCE-OF anidado con valores BER constructed</w:t>
      </w:r>
      <w:r>
        <w:t xml:space="preserve"> </w:t>
      </w:r>
      <w:r>
        <w:t xml:space="preserve">(BACnetWeeklySchedule, …). Walker depth-aware. Cualquier</w:t>
      </w:r>
      <w:r>
        <w:t xml:space="preserve"> </w:t>
      </w:r>
      <w:r>
        <w:t xml:space="preserve">tupla forbidden refusa el batch entero (fail-closed). Usa</w:t>
      </w:r>
      <w:r>
        <w:t xml:space="preserve"> </w:t>
      </w:r>
      <w:r>
        <w:t xml:space="preserve">context tag 0 para el inner PropertyId (vs tag 1 en</w:t>
      </w:r>
      <w:r>
        <w:t xml:space="preserve"> </w:t>
      </w:r>
      <w:r>
        <w:t xml:space="preserve">WriteProperty).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 DeleteObject (svc 11) per-target gate</w:t>
      </w:r>
      <w:r>
        <w:t xml:space="preserve">. Lista</w:t>
      </w:r>
      <w:r>
        <w:t xml:space="preserve"> </w:t>
      </w:r>
      <w:r>
        <w:t xml:space="preserve">separada</w:t>
      </w:r>
      <w:r>
        <w:t xml:space="preserve"> </w:t>
      </w:r>
      <w:r>
        <w:rPr>
          <w:rStyle w:val="VerbatimChar"/>
        </w:rPr>
        <w:t xml:space="preserve">--delete-object type=N;instance=M</w:t>
      </w:r>
      <w:r>
        <w:t xml:space="preserve"> </w:t>
      </w:r>
      <w:r>
        <w:t xml:space="preserve">(no se reusa</w:t>
      </w:r>
      <w:r>
        <w:t xml:space="preserve"> </w:t>
      </w:r>
      <w:r>
        <w:t xml:space="preserve">AllowedObjects con PropertyId=0). El patrón típico BAS es</w:t>
      </w:r>
      <w:r>
        <w:t xml:space="preserve"> </w:t>
      </w:r>
      <w:r>
        <w:t xml:space="preserve">“writes ok, delete forbidden”</w:t>
      </w:r>
      <w:r>
        <w:t xml:space="preserve">, así que un operador que</w:t>
      </w:r>
      <w:r>
        <w:t xml:space="preserve"> </w:t>
      </w:r>
      <w:r>
        <w:t xml:space="preserve">permitió</w:t>
      </w:r>
      <w:r>
        <w:t xml:space="preserve"> </w:t>
      </w:r>
      <w:r>
        <w:rPr>
          <w:rStyle w:val="VerbatimChar"/>
        </w:rPr>
        <w:t xml:space="preserve">--object type=2;instance=99;property=85</w:t>
      </w:r>
      <w:r>
        <w:t xml:space="preserve"> </w:t>
      </w:r>
      <w:r>
        <w:t xml:space="preserve">(write</w:t>
      </w:r>
      <w:r>
        <w:t xml:space="preserve"> </w:t>
      </w:r>
      <w:r>
        <w:t xml:space="preserve">PresentValue en BinaryOutput#99) DEBE añadir</w:t>
      </w:r>
      <w:r>
        <w:t xml:space="preserve"> </w:t>
      </w:r>
      <w:r>
        <w:rPr>
          <w:rStyle w:val="VerbatimChar"/>
        </w:rPr>
        <w:t xml:space="preserve">--delete-object type=2;instance=99</w:t>
      </w:r>
      <w:r>
        <w:t xml:space="preserve"> </w:t>
      </w:r>
      <w:r>
        <w:t xml:space="preserve">para permitir</w:t>
      </w:r>
      <w:r>
        <w:t xml:space="preserve"> </w:t>
      </w:r>
      <w:r>
        <w:t xml:space="preserve">borrarlo.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RPC-name case-warning</w:t>
      </w:r>
      <w:r>
        <w:t xml:space="preserve"> </w:t>
      </w:r>
      <w:r>
        <w:t xml:space="preserve">en dry-run. TR-069 §A.4</w:t>
      </w:r>
      <w:r>
        <w:t xml:space="preserve"> </w:t>
      </w:r>
      <w:r>
        <w:t xml:space="preserve">declara los RPC names case-sensitive. El comando warna si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--rpc "FactoryReset"</w:t>
      </w:r>
      <w:r>
        <w:t xml:space="preserve"> </w:t>
      </w:r>
      <w:r>
        <w:t xml:space="preserve">cuando lo canónico es</w:t>
      </w:r>
      <w:r>
        <w:t xml:space="preserve"> </w:t>
      </w:r>
      <w:r>
        <w:rPr>
          <w:rStyle w:val="VerbatimChar"/>
        </w:rPr>
        <w:t xml:space="preserve">factoryReset</w:t>
      </w:r>
      <w:r>
        <w:t xml:space="preserve">. El gate sigue siendo strict; el warning es</w:t>
      </w:r>
      <w:r>
        <w:t xml:space="preserve"> </w:t>
      </w:r>
      <w:r>
        <w:t xml:space="preserve">UX-only.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(docs only). Tres</w:t>
      </w:r>
      <w:r>
        <w:t xml:space="preserve"> </w:t>
      </w:r>
      <w:r>
        <w:t xml:space="preserve">patrones de front-proxy en</w:t>
      </w:r>
      <w:r>
        <w:t xml:space="preserve"> </w:t>
      </w:r>
      <w:r>
        <w:rPr>
          <w:rStyle w:val="VerbatimChar"/>
        </w:rPr>
        <w:t xml:space="preserve">docs/protocols/cwmp.md</w:t>
      </w:r>
      <w:r>
        <w:t xml:space="preserve">:</w:t>
      </w:r>
      <w:r>
        <w:t xml:space="preserve"> </w:t>
      </w:r>
      <w:r>
        <w:t xml:space="preserve">nginx (</w:t>
      </w:r>
      <w:r>
        <w:rPr>
          <w:rStyle w:val="VerbatimChar"/>
        </w:rPr>
        <w:t xml:space="preserve">stream</w:t>
      </w:r>
      <w:r>
        <w:t xml:space="preserve">), HAProxy (</w:t>
      </w:r>
      <w:r>
        <w:rPr>
          <w:rStyle w:val="VerbatimChar"/>
        </w:rPr>
        <w:t xml:space="preserve">mode tcp</w:t>
      </w:r>
      <w:r>
        <w:t xml:space="preserve">), Caddy (</w:t>
      </w:r>
      <w:r>
        <w:rPr>
          <w:rStyle w:val="VerbatimChar"/>
        </w:rPr>
        <w:t xml:space="preserve">layer4</w:t>
      </w:r>
      <w:r>
        <w:t xml:space="preserve">).</w:t>
      </w:r>
      <w:r>
        <w:t xml:space="preserve"> </w:t>
      </w:r>
      <w:r>
        <w:t xml:space="preserve">Cada uno termina TLS en</w:t>
      </w:r>
      <w:r>
        <w:t xml:space="preserve"> </w:t>
      </w:r>
      <w:r>
        <w:rPr>
          <w:rStyle w:val="VerbatimChar"/>
        </w:rPr>
        <w:t xml:space="preserve">:7548</w:t>
      </w:r>
      <w:r>
        <w:t xml:space="preserve"> </w:t>
      </w:r>
      <w:r>
        <w:t xml:space="preserve">y forwards plaintext al</w:t>
      </w:r>
      <w:r>
        <w:t xml:space="preserve"> </w:t>
      </w:r>
      <w:r>
        <w:t xml:space="preserve">gate en</w:t>
      </w:r>
      <w:r>
        <w:t xml:space="preserve"> </w:t>
      </w:r>
      <w:r>
        <w:rPr>
          <w:rStyle w:val="VerbatimChar"/>
        </w:rPr>
        <w:t xml:space="preserve">:7547</w:t>
      </w:r>
      <w:r>
        <w:t xml:space="preserve">. El gate stays TLS-agnostic.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 Heurística: severity ∈ {info, low} AND</w:t>
      </w:r>
      <w:r>
        <w:t xml:space="preserve"> </w:t>
      </w:r>
      <w:r>
        <w:t xml:space="preserve">(Protocol ∈ {banner, atmodem} OR</w:t>
      </w:r>
      <w:r>
        <w:t xml:space="preserve"> </w:t>
      </w:r>
      <w:r>
        <w:rPr>
          <w:rStyle w:val="VerbatimChar"/>
        </w:rPr>
        <w:t xml:space="preserve">impact_class &lt; 20</w:t>
      </w:r>
      <w:r>
        <w:t xml:space="preserve">).</w:t>
      </w:r>
      <w:r>
        <w:t xml:space="preserve"> </w:t>
      </w:r>
      <w:r>
        <w:t xml:space="preserve">Captura banner-leaks y AT-modem chatter — info útil pero</w:t>
      </w:r>
      <w:r>
        <w:t xml:space="preserve"> </w:t>
      </w:r>
      <w:r>
        <w:t xml:space="preserve">no aguja directa.</w:t>
      </w:r>
    </w:p>
    <w:p>
      <w:pPr>
        <w:pStyle w:val="FirstParagraph"/>
      </w:pPr>
      <w:r>
        <w:t xml:space="preserve">Soporte: el fix de</w:t>
      </w:r>
      <w:r>
        <w:t xml:space="preserve"> </w:t>
      </w:r>
      <w:r>
        <w:rPr>
          <w:rStyle w:val="VerbatimChar"/>
        </w:rPr>
        <w:t xml:space="preserve">make sec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b611f5c</w:t>
      </w:r>
      <w:r>
        <w:t xml:space="preserve">) cambió 18</w:t>
      </w:r>
      <w:r>
        <w:t xml:space="preserve"> </w:t>
      </w:r>
      <w:r>
        <w:rPr>
          <w:rStyle w:val="VerbatimChar"/>
        </w:rPr>
        <w:t xml:space="preserve">//nolint:gosec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// #nosec G&lt;NNN&gt;</w:t>
      </w:r>
      <w:r>
        <w:t xml:space="preserve"> </w:t>
      </w:r>
      <w:r>
        <w:t xml:space="preserve">nativo (gosec</w:t>
      </w:r>
      <w:r>
        <w:t xml:space="preserve"> </w:t>
      </w:r>
      <w:r>
        <w:t xml:space="preserve">standalone no honra la anotación de golangci-lint).</w:t>
      </w:r>
    </w:p>
    <w:p>
      <w:r>
        <w:pict>
          <v:rect style="width:0;height:1.5pt" o:hralign="center" o:hrstd="t" o:hr="t"/>
        </w:pict>
      </w:r>
    </w:p>
    <w:bookmarkEnd w:id="9"/>
    <w:bookmarkStart w:id="11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0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2"/>
    <w:bookmarkStart w:id="22" w:name="instalación-primer-arranque"/>
    <w:p>
      <w:pPr>
        <w:pStyle w:val="Heading2"/>
      </w:pPr>
      <w:r>
        <w:t xml:space="preserve">1. Instalación + primer arranque</w:t>
      </w:r>
    </w:p>
    <w:bookmarkStart w:id="13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3"/>
    <w:bookmarkStart w:id="14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4"/>
    <w:bookmarkStart w:id="15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5"/>
    <w:bookmarkStart w:id="16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6"/>
    <w:bookmarkStart w:id="17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7"/>
    <w:bookmarkStart w:id="21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8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8"/>
    <w:bookmarkStart w:id="19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9"/>
    <w:bookmarkStart w:id="20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32" w:name="descubrimiento-defensive-build-default"/>
    <w:p>
      <w:pPr>
        <w:pStyle w:val="Heading2"/>
      </w:pPr>
      <w:r>
        <w:t xml:space="preserve">2. Descubrimiento (defensive, build default)</w:t>
      </w:r>
    </w:p>
    <w:bookmarkStart w:id="30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3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3"/>
    <w:bookmarkStart w:id="24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4"/>
    <w:bookmarkStart w:id="25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5"/>
    <w:bookmarkStart w:id="26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6"/>
    <w:bookmarkStart w:id="27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7"/>
    <w:bookmarkStart w:id="28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8"/>
    <w:bookmarkStart w:id="29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9"/>
    <w:bookmarkEnd w:id="30"/>
    <w:bookmarkStart w:id="31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50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3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3"/>
    <w:bookmarkStart w:id="34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4"/>
    <w:bookmarkStart w:id="35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5"/>
    <w:bookmarkStart w:id="36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6"/>
    <w:bookmarkStart w:id="37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7"/>
    <w:bookmarkStart w:id="38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8"/>
    <w:bookmarkStart w:id="39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9"/>
    <w:bookmarkStart w:id="40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0"/>
    <w:bookmarkStart w:id="41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1"/>
    <w:bookmarkStart w:id="42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2"/>
    <w:bookmarkStart w:id="43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3"/>
    <w:bookmarkStart w:id="44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4"/>
    <w:bookmarkStart w:id="45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5"/>
    <w:bookmarkStart w:id="46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6"/>
    <w:bookmarkStart w:id="47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7"/>
    <w:bookmarkStart w:id="48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8"/>
    <w:bookmarkStart w:id="49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1"/>
    <w:bookmarkStart w:id="52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2"/>
    <w:bookmarkStart w:id="69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5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3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3"/>
    <w:bookmarkStart w:id="54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4"/>
    <w:bookmarkEnd w:id="55"/>
    <w:bookmarkStart w:id="56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6"/>
    <w:bookmarkStart w:id="57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7"/>
    <w:bookmarkStart w:id="58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8"/>
    <w:bookmarkStart w:id="67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9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9"/>
    <w:bookmarkStart w:id="60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0"/>
    <w:bookmarkStart w:id="61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1"/>
    <w:bookmarkStart w:id="62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2"/>
    <w:bookmarkStart w:id="63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3"/>
    <w:bookmarkStart w:id="64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4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4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4"/>
    <w:bookmarkStart w:id="65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65"/>
    <w:bookmarkStart w:id="66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66"/>
    <w:bookmarkEnd w:id="67"/>
    <w:bookmarkStart w:id="68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70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70"/>
    <w:bookmarkStart w:id="71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2"/>
    <w:bookmarkStart w:id="73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6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6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6"/>
        </w:numPr>
      </w:pPr>
      <w:r>
        <w:t xml:space="preserve">IEC-104 I-frame con ASDU type 45-51 → alerta.</w:t>
      </w:r>
    </w:p>
    <w:bookmarkEnd w:id="73"/>
    <w:bookmarkStart w:id="74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6"/>
    <w:bookmarkStart w:id="77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7"/>
    <w:bookmarkStart w:id="83" w:name="troubleshooting-frecuente"/>
    <w:p>
      <w:pPr>
        <w:pStyle w:val="Heading2"/>
      </w:pPr>
      <w:r>
        <w:t xml:space="preserve">10. Troubleshooting frecuente</w:t>
      </w:r>
    </w:p>
    <w:bookmarkStart w:id="78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8"/>
    <w:bookmarkStart w:id="79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9"/>
    <w:bookmarkStart w:id="80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80"/>
    <w:bookmarkStart w:id="81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1"/>
    <w:bookmarkStart w:id="82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7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7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7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7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7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7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.context/snapshots/v1.12.0-gates-tightening-and-inpu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.context/snapshots/v1.12.0-gates-tightening-and-inpu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2026-04-25T18:30:00Z</dcterms:created>
  <dcterms:modified xsi:type="dcterms:W3CDTF">2026-04-25T18:30:00Z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