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0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v1.14.0 (ciclo cerrado, tag pendiente)</w:t>
      </w:r>
      <w:r>
        <w:t xml:space="preserve"> </w:t>
      </w:r>
      <w:r>
        <w:t xml:space="preserve">· 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v1.13.0+ (cierra TODOS los</w:t>
      </w:r>
      <w:r>
        <w:t xml:space="preserve"> </w:t>
      </w:r>
      <w:r>
        <w:t xml:space="preserve">servicios mutating BACnet — svc 7/8/9/10/11/15/16/17/20/27).</w:t>
      </w:r>
      <w:r>
        <w:t xml:space="preserve"> </w:t>
      </w:r>
      <w:r>
        <w:rPr>
          <w:b/>
          <w:bCs/>
        </w:rPr>
        <w:t xml:space="preserve">v1.14.0</w:t>
      </w:r>
      <w:r>
        <w:t xml:space="preserve"> </w:t>
      </w:r>
      <w:r>
        <w:t xml:space="preserve">añade soporte IPv6 cross-cutting: 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, canonicalización IPv6 en</w:t>
      </w:r>
      <w:r>
        <w:t xml:space="preserve"> </w:t>
      </w:r>
      <w:r>
        <w:rPr>
          <w:rStyle w:val="VerbatimChar"/>
        </w:rPr>
        <w:t xml:space="preserve">--target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--listen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fix del dispatcher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, bracket-stripping para</w:t>
      </w:r>
      <w:r>
        <w:t xml:space="preserve"> </w:t>
      </w:r>
      <w:r>
        <w:rPr>
          <w:rStyle w:val="VerbatimChar"/>
        </w:rPr>
        <w:t xml:space="preserve">[2001:db8::1]</w:t>
      </w:r>
      <w:r>
        <w:t xml:space="preserve">, scope + dedupe IPv6 contract tests.</w:t>
      </w:r>
    </w:p>
    <w:p>
      <w:r>
        <w:pict>
          <v:rect style="width:0;height:1.5pt" o:hralign="center" o:hrstd="t" o:hr="t"/>
        </w:pict>
      </w:r>
    </w:p>
    <w:bookmarkStart w:id="10" w:name="novedades-v1.14.0-ipv6-cross-cutting"/>
    <w:p>
      <w:pPr>
        <w:pStyle w:val="Heading2"/>
      </w:pPr>
      <w:r>
        <w:t xml:space="preserve">Novedades v1.14.0 (IPv6 cross-cutting)</w:t>
      </w:r>
    </w:p>
    <w:p>
      <w:pPr>
        <w:pStyle w:val="FirstParagraph"/>
      </w:pPr>
      <w:r>
        <w:t xml:space="preserve">Cycle de 4 chunks operator-requested 2026-04-25.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1</w:t>
      </w:r>
      <w:r>
        <w:t xml:space="preserve"> </w:t>
      </w:r>
      <w:r>
        <w:t xml:space="preserve">— 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 </w:t>
      </w:r>
      <w:r>
        <w:t xml:space="preserve">con</w:t>
      </w:r>
      <w:r>
        <w:t xml:space="preserve"> </w:t>
      </w:r>
      <w:r>
        <w:t xml:space="preserve">helpers IsLoopbackHostPort / CanonicalHostPort /</w:t>
      </w:r>
      <w:r>
        <w:t xml:space="preserve"> </w:t>
      </w:r>
      <w:r>
        <w:t xml:space="preserve">ParseAddrPort. Reemplaza la fragile substring-based</w:t>
      </w:r>
      <w:r>
        <w:t xml:space="preserve"> </w:t>
      </w:r>
      <w:r>
        <w:t xml:space="preserve">loopback check de</w:t>
      </w:r>
      <w:r>
        <w:t xml:space="preserve"> </w:t>
      </w:r>
      <w:r>
        <w:rPr>
          <w:rStyle w:val="VerbatimChar"/>
        </w:rPr>
        <w:t xml:space="preserve">cmd_serve.go</w:t>
      </w:r>
      <w:r>
        <w:t xml:space="preserve"> </w:t>
      </w:r>
      <w:r>
        <w:t xml:space="preserve">(no detectaba</w:t>
      </w:r>
      <w:r>
        <w:t xml:space="preserve"> </w:t>
      </w:r>
      <w:r>
        <w:rPr>
          <w:rStyle w:val="VerbatimChar"/>
        </w:rPr>
        <w:t xml:space="preserve">[0:0:0:0: 0:0:0:1]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[::1%lo0]</w:t>
      </w:r>
      <w:r>
        <w:t xml:space="preserve">, ni 127.0.0.5/8).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— Canonicalización de target / listen /</w:t>
      </w:r>
      <w:r>
        <w:t xml:space="preserve"> </w:t>
      </w:r>
      <w:r>
        <w:t xml:space="preserve">confirm-target. Operador que escribe</w:t>
      </w:r>
      <w:r>
        <w:t xml:space="preserve"> </w:t>
      </w:r>
      <w:r>
        <w:rPr>
          <w:rStyle w:val="VerbatimChar"/>
        </w:rPr>
        <w:t xml:space="preserve">[0:0:0:0:0:0:0:1]:7547</w:t>
      </w:r>
      <w:r>
        <w:t xml:space="preserve"> </w:t>
      </w:r>
      <w:r>
        <w:t xml:space="preserve">en dry-run y</w:t>
      </w:r>
      <w:r>
        <w:t xml:space="preserve"> </w:t>
      </w:r>
      <w:r>
        <w:rPr>
          <w:rStyle w:val="VerbatimChar"/>
        </w:rPr>
        <w:t xml:space="preserve">[::1]:7547</w:t>
      </w:r>
      <w:r>
        <w:t xml:space="preserve"> </w:t>
      </w:r>
      <w:r>
        <w:t xml:space="preserve">en</w:t>
      </w:r>
      <w:r>
        <w:t xml:space="preserve"> </w:t>
      </w:r>
      <w:r>
        <w:t xml:space="preserve">proxy listen ahora ve ambas formas convergir al mismo</w:t>
      </w:r>
      <w:r>
        <w:t xml:space="preserve"> </w:t>
      </w:r>
      <w:r>
        <w:t xml:space="preserve">string canónico (RFC 5952). Hash matches → confirm-token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 </w:t>
      </w:r>
      <w:r>
        <w:t xml:space="preserve">dispatcher fix</w:t>
      </w:r>
      <w:r>
        <w:t xml:space="preserve"> </w:t>
      </w:r>
      <w:r>
        <w:t xml:space="preserve">(regression de v1.13 chunk 1) + bracket-stripping para</w:t>
      </w:r>
      <w:r>
        <w:t xml:space="preserve"> </w:t>
      </w:r>
      <w:r>
        <w:t xml:space="preserve">IPv6 literals (</w:t>
      </w:r>
      <w:r>
        <w:rPr>
          <w:rStyle w:val="VerbatimChar"/>
        </w:rPr>
        <w:t xml:space="preserve">[2001:db8::1]</w:t>
      </w:r>
      <w:r>
        <w:t xml:space="preserve"> </w:t>
      </w:r>
      <w:r>
        <w:t xml:space="preserve">ahora funciona).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4</w:t>
      </w:r>
      <w:r>
        <w:t xml:space="preserve"> </w:t>
      </w:r>
      <w:r>
        <w:t xml:space="preserve">— IPv6 coverage tests para scope + dedupe</w:t>
      </w:r>
      <w:r>
        <w:t xml:space="preserve"> </w:t>
      </w:r>
      <w:r>
        <w:t xml:space="preserve">paths. Audit-only: la infraestructura</w:t>
      </w:r>
      <w:r>
        <w:t xml:space="preserve"> </w:t>
      </w:r>
      <w:r>
        <w:rPr>
          <w:rStyle w:val="VerbatimChar"/>
        </w:rPr>
        <w:t xml:space="preserve">netip.Addr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Unmap()</w:t>
      </w:r>
      <w:r>
        <w:t xml:space="preserve"> </w:t>
      </w:r>
      <w:r>
        <w:t xml:space="preserve">ya estaba correcta; los tests pinnan el</w:t>
      </w:r>
      <w:r>
        <w:t xml:space="preserve"> </w:t>
      </w:r>
      <w:r>
        <w:t xml:space="preserve">contrato.</w:t>
      </w:r>
    </w:p>
    <w:p>
      <w:pPr>
        <w:pStyle w:val="FirstParagraph"/>
      </w:pPr>
      <w:r>
        <w:t xml:space="preserve">Backwards compat: IPv4 sin cambios; IPv6 already-canonical</w:t>
      </w:r>
      <w:r>
        <w:t xml:space="preserve"> </w:t>
      </w:r>
      <w:r>
        <w:t xml:space="preserve">sin cambios. Solo operadores con tokens minted desde IPv6</w:t>
      </w:r>
      <w:r>
        <w:t xml:space="preserve"> </w:t>
      </w:r>
      <w:r>
        <w:t xml:space="preserve">longform / uppercase necesitan re-mint.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.context/snapshots/v1.14.0-ipv6-cross-cutting.md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novedades-v1.13.0"/>
    <w:p>
      <w:pPr>
        <w:pStyle w:val="Heading2"/>
      </w:pPr>
      <w:r>
        <w:t xml:space="preserve">Novedades v1.13.0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11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11"/>
    <w:bookmarkStart w:id="13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2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5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7"/>
    <w:bookmarkStart w:id="27" w:name="instalación-primer-arranque"/>
    <w:p>
      <w:pPr>
        <w:pStyle w:val="Heading2"/>
      </w:pPr>
      <w:r>
        <w:t xml:space="preserve">1. Instalación + primer arranque</w:t>
      </w:r>
    </w:p>
    <w:bookmarkStart w:id="18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8"/>
    <w:bookmarkStart w:id="19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9"/>
    <w:bookmarkStart w:id="20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20"/>
    <w:bookmarkStart w:id="21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21"/>
    <w:bookmarkStart w:id="22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2"/>
    <w:bookmarkStart w:id="26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3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3"/>
    <w:bookmarkStart w:id="24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4"/>
    <w:bookmarkStart w:id="25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7" w:name="descubrimiento-defensive-build-default"/>
    <w:p>
      <w:pPr>
        <w:pStyle w:val="Heading2"/>
      </w:pPr>
      <w:r>
        <w:t xml:space="preserve">2. Descubrimiento (defensive, build default)</w:t>
      </w:r>
    </w:p>
    <w:bookmarkStart w:id="35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8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8"/>
    <w:bookmarkStart w:id="29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9"/>
    <w:bookmarkStart w:id="30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30"/>
    <w:bookmarkStart w:id="31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31"/>
    <w:bookmarkStart w:id="32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2"/>
    <w:bookmarkStart w:id="33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3"/>
    <w:bookmarkStart w:id="34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34"/>
    <w:bookmarkEnd w:id="35"/>
    <w:bookmarkStart w:id="36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5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8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8"/>
    <w:bookmarkStart w:id="39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9"/>
    <w:bookmarkStart w:id="40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40"/>
    <w:bookmarkStart w:id="41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41"/>
    <w:bookmarkStart w:id="42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2"/>
    <w:bookmarkStart w:id="43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3"/>
    <w:bookmarkStart w:id="44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4"/>
    <w:bookmarkStart w:id="45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5"/>
    <w:bookmarkStart w:id="46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6"/>
    <w:bookmarkStart w:id="47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7"/>
    <w:bookmarkStart w:id="48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8"/>
    <w:bookmarkStart w:id="49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9"/>
    <w:bookmarkStart w:id="50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50"/>
    <w:bookmarkStart w:id="51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51"/>
    <w:bookmarkStart w:id="52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2"/>
    <w:bookmarkStart w:id="53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3"/>
    <w:bookmarkStart w:id="54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6"/>
    <w:bookmarkStart w:id="57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7"/>
    <w:bookmarkStart w:id="74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60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8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8"/>
    <w:bookmarkStart w:id="59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9"/>
    <w:bookmarkEnd w:id="60"/>
    <w:bookmarkStart w:id="61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61"/>
    <w:bookmarkStart w:id="62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2"/>
    <w:bookmarkStart w:id="63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3"/>
    <w:bookmarkStart w:id="72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4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4"/>
    <w:bookmarkStart w:id="65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5"/>
    <w:bookmarkStart w:id="66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6"/>
    <w:bookmarkStart w:id="67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7"/>
    <w:bookmarkStart w:id="68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8"/>
    <w:bookmarkStart w:id="69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5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5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5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5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9"/>
    <w:bookmarkStart w:id="70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70"/>
    <w:bookmarkStart w:id="71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71"/>
    <w:bookmarkEnd w:id="72"/>
    <w:bookmarkStart w:id="73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5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5"/>
    <w:bookmarkStart w:id="76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6"/>
    <w:bookmarkStart w:id="77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7"/>
    <w:bookmarkStart w:id="78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7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7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7"/>
        </w:numPr>
      </w:pPr>
      <w:r>
        <w:t xml:space="preserve">IEC-104 I-frame con ASDU type 45-51 → alerta.</w:t>
      </w:r>
    </w:p>
    <w:bookmarkEnd w:id="78"/>
    <w:bookmarkStart w:id="79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81"/>
    <w:bookmarkStart w:id="82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2"/>
    <w:bookmarkStart w:id="88" w:name="troubleshooting-frecuente"/>
    <w:p>
      <w:pPr>
        <w:pStyle w:val="Heading2"/>
      </w:pPr>
      <w:r>
        <w:t xml:space="preserve">10. Troubleshooting frecuente</w:t>
      </w:r>
    </w:p>
    <w:bookmarkStart w:id="83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3"/>
    <w:bookmarkStart w:id="84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4"/>
    <w:bookmarkStart w:id="85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5"/>
    <w:bookmarkStart w:id="86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6"/>
    <w:bookmarkStart w:id="87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8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8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8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8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8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8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context/snapshots/v1.12.0-gates-tightening-and-inputs.md" TargetMode="External" /><Relationship Type="http://schemas.openxmlformats.org/officeDocument/2006/relationships/hyperlink" Id="rId12" Target="../../.context/snapshots/v1.13.0-bacnet-completion-and-cwmp-polish.md" TargetMode="External" /><Relationship Type="http://schemas.openxmlformats.org/officeDocument/2006/relationships/hyperlink" Id="rId9" Target="../../.context/snapshots/v1.14.0-ipv6-cross-cut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context/snapshots/v1.12.0-gates-tightening-and-inputs.md" TargetMode="External" /><Relationship Type="http://schemas.openxmlformats.org/officeDocument/2006/relationships/hyperlink" Id="rId12" Target="../../.context/snapshots/v1.13.0-bacnet-completion-and-cwmp-polish.md" TargetMode="External" /><Relationship Type="http://schemas.openxmlformats.org/officeDocument/2006/relationships/hyperlink" Id="rId9" Target="../../.context/snapshots/v1.14.0-ipv6-cross-cut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2026-04-26T14:19:53Z</dcterms:created>
  <dcterms:modified xsi:type="dcterms:W3CDTF">2026-04-26T14:19:53Z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