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</w:pPr>
      <w:r w:rsidRPr="007A0061"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  <w:t>Что такое линейная регрессионная модель и зачем это нужно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Это наиболее распространенный способ показать зависимость какой-то переменной от других, например, как зависит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уровень ВВП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от величины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иностранных инвестиций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или от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кредитной ставки </w:t>
      </w:r>
      <w:proofErr w:type="spellStart"/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Нацбанка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или от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цен на ключевые энергоресурсы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Моделирование позволяет показать величину этой зависимости (</w:t>
      </w:r>
      <w:proofErr w:type="spellStart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коефициенты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), благодаря которым можно делать непосредственно прогноз и осуществлять какое-то планирование, опираясь на эти прогнозы. Также, опираясь на регрессионный анализ, можно принимать управленческие решения направленные на стимулирование приоритетных причин влияющих на конечный результат, собственно модель и поможет выделить эти приоритетные факторы.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Общий вид модели линейной регрессии:</w:t>
      </w:r>
    </w:p>
    <w:p w:rsidR="007A0061" w:rsidRPr="007A0061" w:rsidRDefault="007A0061" w:rsidP="007A0061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3"/>
          <w:szCs w:val="23"/>
          <w:lang w:eastAsia="ru-RU"/>
        </w:rPr>
      </w:pP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lang w:eastAsia="ru-RU"/>
        </w:rPr>
        <w:t>Y=a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vertAlign w:val="subscript"/>
          <w:lang w:eastAsia="ru-RU"/>
        </w:rPr>
        <w:t>0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lang w:eastAsia="ru-RU"/>
        </w:rPr>
        <w:t>+a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vertAlign w:val="subscript"/>
          <w:lang w:eastAsia="ru-RU"/>
        </w:rPr>
        <w:t>1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lang w:eastAsia="ru-RU"/>
        </w:rPr>
        <w:t>x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vertAlign w:val="subscript"/>
          <w:lang w:eastAsia="ru-RU"/>
        </w:rPr>
        <w:t>1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lang w:eastAsia="ru-RU"/>
        </w:rPr>
        <w:t>+...+</w:t>
      </w:r>
      <w:proofErr w:type="spellStart"/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lang w:eastAsia="ru-RU"/>
        </w:rPr>
        <w:t>a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vertAlign w:val="subscript"/>
          <w:lang w:eastAsia="ru-RU"/>
        </w:rPr>
        <w:t>k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lang w:eastAsia="ru-RU"/>
        </w:rPr>
        <w:t>x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vertAlign w:val="subscript"/>
          <w:lang w:eastAsia="ru-RU"/>
        </w:rPr>
        <w:t>k</w:t>
      </w:r>
      <w:proofErr w:type="spellEnd"/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где </w:t>
      </w:r>
      <w:proofErr w:type="spellStart"/>
      <w:r w:rsidRPr="007A0061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a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параметры (коэффициенты) регрессии, </w:t>
      </w:r>
      <w:proofErr w:type="spellStart"/>
      <w:r w:rsidRPr="007A0061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x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влияющие факторы, </w:t>
      </w:r>
      <w:proofErr w:type="spellStart"/>
      <w:r w:rsidRPr="007A0061">
        <w:rPr>
          <w:rFonts w:ascii="Arial" w:eastAsia="Times New Roman" w:hAnsi="Arial" w:cs="Arial"/>
          <w:b/>
          <w:bCs/>
          <w:i/>
          <w:iCs/>
          <w:color w:val="000000"/>
          <w:sz w:val="23"/>
          <w:szCs w:val="23"/>
          <w:lang w:eastAsia="ru-RU"/>
        </w:rPr>
        <w:t>k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— количество факторов модели.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</w:pPr>
      <w:r w:rsidRPr="007A0061"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  <w:t>Исходные данные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Среди исходных данных нам необходим некий набор данных, который бы представлял из себя несколько последовательных или связанных между собой величин итогового параметра Y (например, ВВП) и такое же количество величин показателей, влияние которых мы изучаем (например, иностранные инвестиции).</w:t>
      </w:r>
    </w:p>
    <w:p w:rsidR="007A0061" w:rsidRPr="007A0061" w:rsidRDefault="007A0061" w:rsidP="007A006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571B8"/>
          <w:sz w:val="23"/>
          <w:szCs w:val="23"/>
          <w:lang w:eastAsia="ru-RU"/>
        </w:rPr>
        <w:drawing>
          <wp:inline distT="0" distB="0" distL="0" distR="0">
            <wp:extent cx="3333750" cy="1638300"/>
            <wp:effectExtent l="19050" t="0" r="0" b="0"/>
            <wp:docPr id="1" name="Рисунок 1" descr="http://archie-goodwin.net/_ld/3/s49502446.jpg">
              <a:hlinkClick xmlns:a="http://schemas.openxmlformats.org/drawingml/2006/main" r:id="rId4" tgtFrame="&quot;_blank&quot;" tooltip="&quot;Нажмите, для просмотра в полном размере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chie-goodwin.net/_ld/3/s49502446.jpg">
                      <a:hlinkClick r:id="rId4" tgtFrame="&quot;_blank&quot;" tooltip="&quot;Нажмите, для просмотра в полном размере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 рисунке выше показана таблица с этими самыми исходными данными, в качестве Y выступает показатель экономически активного населения, а количество предприятий, размер инвестиций в капитал и доходов населения - это влияющие факторы, то бишь иксы.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 рисунку также можно сделать ошибочный вывод, что речь в моделировании может идти только о динамических рядах, то есть моментным рядам зафиксированных последовательно во времени, но это не так, с тем же успехом можно моделировать и в разрезе структуры, например, величины указанные в таблице могут быть разбиты не годам, а по областям.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построения адекватных линейных моделей желательно чтобы исходные данные не имели сильных перепадов или обвалов, в таких случаях желательно проводить сглаживание, но о сглаживании поговорим в следующий раз.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</w:pPr>
      <w:r w:rsidRPr="007A0061"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  <w:lastRenderedPageBreak/>
        <w:t>Пакет анализа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Параметры модели линейной регрессии можно рассчитать и вручную с помощью Метода наименьших квадратов (МНК), но это довольно </w:t>
      </w:r>
      <w:proofErr w:type="spellStart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затратно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 времени. Немного быстрее это можно посчитать по этому же методу с помощью применения формул в </w:t>
      </w:r>
      <w:proofErr w:type="spellStart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Excel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где сами вычисления будет делать программа, но проставлять формулы все равно придется вручную.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</w:t>
      </w:r>
      <w:proofErr w:type="spellStart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Excel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есть надстройка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Пакет анализа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который является довольно мощным инструментом в помощь аналитику. Этот инструментарий, помимо всего прочего, умеет рассчитывать параметры регрессии, по тому же МНК, всего в несколько кликов, собственно, о том как этим инструментом пользоваться дальше и пойдет речь.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</w:pPr>
      <w:r w:rsidRPr="007A0061"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  <w:t>Активируем Пакет анализа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 умолчанию эта надстройка отключена и в меню вкладок вы ее не найдете, поэтому пошагово рассмотрим как ее активировать.</w:t>
      </w:r>
    </w:p>
    <w:p w:rsidR="007A0061" w:rsidRPr="007A0061" w:rsidRDefault="007A0061" w:rsidP="007A006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571B8"/>
          <w:sz w:val="23"/>
          <w:szCs w:val="23"/>
          <w:lang w:eastAsia="ru-RU"/>
        </w:rPr>
        <w:drawing>
          <wp:inline distT="0" distB="0" distL="0" distR="0">
            <wp:extent cx="3333750" cy="2428875"/>
            <wp:effectExtent l="19050" t="0" r="0" b="0"/>
            <wp:docPr id="2" name="Рисунок 2" descr="http://archie-goodwin.net/_ld/3/s50994968.jpg">
              <a:hlinkClick xmlns:a="http://schemas.openxmlformats.org/drawingml/2006/main" r:id="rId6" tgtFrame="&quot;_blank&quot;" tooltip="&quot;Нажмите, для просмотра в полном размере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chie-goodwin.net/_ld/3/s50994968.jpg">
                      <a:hlinkClick r:id="rId6" tgtFrame="&quot;_blank&quot;" tooltip="&quot;Нажмите, для просмотра в полном размере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 </w:t>
      </w:r>
      <w:proofErr w:type="spellStart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эксель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слева вверху, активируем вкладку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Файл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в открывшемся меню ищем пункт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Параметры 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 </w:t>
      </w:r>
      <w:proofErr w:type="spellStart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кликаем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него.</w:t>
      </w:r>
    </w:p>
    <w:p w:rsidR="007A0061" w:rsidRPr="007A0061" w:rsidRDefault="007A0061" w:rsidP="007A006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571B8"/>
          <w:sz w:val="23"/>
          <w:szCs w:val="23"/>
          <w:lang w:eastAsia="ru-RU"/>
        </w:rPr>
        <w:drawing>
          <wp:inline distT="0" distB="0" distL="0" distR="0">
            <wp:extent cx="3333750" cy="2419350"/>
            <wp:effectExtent l="19050" t="0" r="0" b="0"/>
            <wp:docPr id="3" name="Рисунок 3" descr="http://archie-goodwin.net/_ld/3/s61235619.jpg">
              <a:hlinkClick xmlns:a="http://schemas.openxmlformats.org/drawingml/2006/main" r:id="rId8" tgtFrame="&quot;_blank&quot;" tooltip="&quot;Нажмите, для просмотра в полном размере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chie-goodwin.net/_ld/3/s61235619.jpg">
                      <a:hlinkClick r:id="rId8" tgtFrame="&quot;_blank&quot;" tooltip="&quot;Нажмите, для просмотра в полном размере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открывшемся окне, слева, ищем пункт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Надстройки 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 активируем его, в этой вкладке внизу будет выпадающий список управления, где по умолчанию будет 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написано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Надстройки </w:t>
      </w:r>
      <w:proofErr w:type="spellStart"/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Excel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справа от выпадающего списка будет кнопка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Перейти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на нее и нужно нажать.</w:t>
      </w:r>
    </w:p>
    <w:p w:rsidR="007A0061" w:rsidRPr="007A0061" w:rsidRDefault="007A0061" w:rsidP="007A00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571B8"/>
          <w:sz w:val="23"/>
          <w:szCs w:val="23"/>
          <w:lang w:eastAsia="ru-RU"/>
        </w:rPr>
        <w:drawing>
          <wp:inline distT="0" distB="0" distL="0" distR="0">
            <wp:extent cx="3095625" cy="3333750"/>
            <wp:effectExtent l="19050" t="0" r="9525" b="0"/>
            <wp:docPr id="4" name="Рисунок 4" descr="http://archie-goodwin.net/_ld/3/s46121208.jpg">
              <a:hlinkClick xmlns:a="http://schemas.openxmlformats.org/drawingml/2006/main" r:id="rId10" tgtFrame="&quot;_blank&quot;" tooltip="&quot;Нажмите, для просмотра в полном размере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chie-goodwin.net/_ld/3/s46121208.jpg">
                      <a:hlinkClick r:id="rId10" tgtFrame="&quot;_blank&quot;" tooltip="&quot;Нажмите, для просмотра в полном размере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Всплывающее окошко предложит выбрать доступные надстройки, в нем необходимо поставить галочку напротив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Пакет анализа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заодно, на всякий случай,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Поиск решения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(тоже полезная штука), а затем подтвердить выбор кликнув по кнопочке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ОК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</w:pPr>
      <w:r w:rsidRPr="007A0061"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  <w:t>Инструкция по поиску параметров линейной регрессии с помощью Пакета анализа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После активации надстройки Пакета анализа она будет всегда доступна во вкладке главного меню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Данные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под ссылкой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Анализ данных</w:t>
      </w:r>
    </w:p>
    <w:p w:rsidR="007A0061" w:rsidRPr="007A0061" w:rsidRDefault="007A0061" w:rsidP="007A006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571B8"/>
          <w:sz w:val="23"/>
          <w:szCs w:val="23"/>
          <w:lang w:eastAsia="ru-RU"/>
        </w:rPr>
        <w:drawing>
          <wp:inline distT="0" distB="0" distL="0" distR="0">
            <wp:extent cx="3333750" cy="1638300"/>
            <wp:effectExtent l="19050" t="0" r="0" b="0"/>
            <wp:docPr id="5" name="Рисунок 5" descr="http://archie-goodwin.net/_ld/3/s49502446.jpg">
              <a:hlinkClick xmlns:a="http://schemas.openxmlformats.org/drawingml/2006/main" r:id="rId4" tgtFrame="&quot;_blank&quot;" tooltip="&quot;Нажмите, для просмотра в полном размере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chie-goodwin.net/_ld/3/s49502446.jpg">
                      <a:hlinkClick r:id="rId4" tgtFrame="&quot;_blank&quot;" tooltip="&quot;Нажмите, для просмотра в полном размере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активном окошке инструмента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Анализа данных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из списка возможностей ищем и выбираем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Регрессия</w:t>
      </w:r>
    </w:p>
    <w:p w:rsidR="007A0061" w:rsidRPr="007A0061" w:rsidRDefault="007A0061" w:rsidP="007A006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571B8"/>
          <w:sz w:val="23"/>
          <w:szCs w:val="23"/>
          <w:lang w:eastAsia="ru-RU"/>
        </w:rPr>
        <w:lastRenderedPageBreak/>
        <w:drawing>
          <wp:inline distT="0" distB="0" distL="0" distR="0">
            <wp:extent cx="3333750" cy="1647825"/>
            <wp:effectExtent l="19050" t="0" r="0" b="0"/>
            <wp:docPr id="6" name="Рисунок 6" descr="http://archie-goodwin.net/_ld/3/s01911606.jpg">
              <a:hlinkClick xmlns:a="http://schemas.openxmlformats.org/drawingml/2006/main" r:id="rId12" tgtFrame="&quot;_blank&quot;" tooltip="&quot;Нажмите, для просмотра в полном размере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rchie-goodwin.net/_ld/3/s01911606.jpg">
                      <a:hlinkClick r:id="rId12" tgtFrame="&quot;_blank&quot;" tooltip="&quot;Нажмите, для просмотра в полном размере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Далее откроется окошко для настройки и выбора исходных данных для вычисления параметров регрессионной модели. Здесь нужно указать интервалы исходных данных, а именно описываемого параметра (Y) и влияющих на него факторов (Х), как это на рисунке ниже, остальные параметры, в принципе, необязательны к настройке.</w:t>
      </w:r>
    </w:p>
    <w:p w:rsidR="007A0061" w:rsidRPr="007A0061" w:rsidRDefault="007A0061" w:rsidP="007A006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571B8"/>
          <w:sz w:val="23"/>
          <w:szCs w:val="23"/>
          <w:lang w:eastAsia="ru-RU"/>
        </w:rPr>
        <w:drawing>
          <wp:inline distT="0" distB="0" distL="0" distR="0">
            <wp:extent cx="3333750" cy="1619250"/>
            <wp:effectExtent l="19050" t="0" r="0" b="0"/>
            <wp:docPr id="7" name="Рисунок 7" descr="http://archie-goodwin.net/_ld/3/s68950150.jpg">
              <a:hlinkClick xmlns:a="http://schemas.openxmlformats.org/drawingml/2006/main" r:id="rId14" tgtFrame="&quot;_blank&quot;" tooltip="&quot;Нажмите, для просмотра в полном размере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rchie-goodwin.net/_ld/3/s68950150.jpg">
                      <a:hlinkClick r:id="rId14" tgtFrame="&quot;_blank&quot;" tooltip="&quot;Нажмите, для просмотра в полном размере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После того как выбрали исходные данные и нажали кнопочку ОК, </w:t>
      </w:r>
      <w:proofErr w:type="spellStart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Excel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выдает расчеты на новом листе активной книги (если в настройках не было выставлено иначе), эти расчеты имеют следующий вид:</w:t>
      </w:r>
    </w:p>
    <w:p w:rsidR="007A0061" w:rsidRPr="007A0061" w:rsidRDefault="007A0061" w:rsidP="007A006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571B8"/>
          <w:sz w:val="23"/>
          <w:szCs w:val="23"/>
          <w:lang w:eastAsia="ru-RU"/>
        </w:rPr>
        <w:drawing>
          <wp:inline distT="0" distB="0" distL="0" distR="0">
            <wp:extent cx="3333750" cy="2724150"/>
            <wp:effectExtent l="19050" t="0" r="0" b="0"/>
            <wp:docPr id="8" name="Рисунок 8" descr="http://archie-goodwin.net/_ld/3/s40929298.jpg">
              <a:hlinkClick xmlns:a="http://schemas.openxmlformats.org/drawingml/2006/main" r:id="rId16" tgtFrame="&quot;_blank&quot;" tooltip="&quot;Нажмите, для просмотра в полном размере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rchie-goodwin.net/_ld/3/s40929298.jpg">
                      <a:hlinkClick r:id="rId16" tgtFrame="&quot;_blank&quot;" tooltip="&quot;Нажмите, для просмотра в полном размере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Ключевые ячейки залил желтым цветом именно на них нужно обращать внимание в первую очередь, остальные параметры значимость также немаловажны, но их детальный разбор требует пожалуй отдельного поста.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Итак,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0,865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- это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R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vertAlign w:val="superscript"/>
          <w:lang w:eastAsia="ru-RU"/>
        </w:rPr>
        <w:t>2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- коэффициент детерминации, показывающий что на 86,5% расчетные параметры модели, то есть сама модель, объясняют зависимость и 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изменения изучаемого параметра -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Y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от исследуемых факторов -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иксов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Если утрировано, то </w:t>
      </w:r>
      <w:r w:rsidRPr="007A0061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>это показатель качества модели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чем он выше тем лучше. Понятное дело, что он не может быть больше 1 и считается неплохо, когда R</w:t>
      </w:r>
      <w:r w:rsidRPr="007A0061">
        <w:rPr>
          <w:rFonts w:ascii="Arial" w:eastAsia="Times New Roman" w:hAnsi="Arial" w:cs="Arial"/>
          <w:color w:val="000000"/>
          <w:sz w:val="23"/>
          <w:szCs w:val="23"/>
          <w:vertAlign w:val="superscript"/>
          <w:lang w:eastAsia="ru-RU"/>
        </w:rPr>
        <w:t>2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выше 0,8, а если меньше 0,5, то резонность такой модели можно смело ставить под большой вопрос.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Теперь перейдем к </w:t>
      </w:r>
      <w:r w:rsidRPr="007A0061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>коэффициентам модели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 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2079,85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- это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a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vertAlign w:val="subscript"/>
          <w:lang w:eastAsia="ru-RU"/>
        </w:rPr>
        <w:t>0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- коэффициент который показывает какой будет Y в случае, если все используемые в модели факторы будут равны 0, подразумевается что это зависимость от других неописанных в модели факторов; 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-0,0056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-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a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vertAlign w:val="subscript"/>
          <w:lang w:eastAsia="ru-RU"/>
        </w:rPr>
        <w:t>1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- коэффициент, который показывает весомость влияния фактора x</w:t>
      </w:r>
      <w:r w:rsidRPr="007A0061">
        <w:rPr>
          <w:rFonts w:ascii="Arial" w:eastAsia="Times New Roman" w:hAnsi="Arial" w:cs="Arial"/>
          <w:color w:val="000000"/>
          <w:sz w:val="23"/>
          <w:szCs w:val="23"/>
          <w:vertAlign w:val="subscript"/>
          <w:lang w:eastAsia="ru-RU"/>
        </w:rPr>
        <w:t>1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 Y, то есть количество предприятий в пределах данной модели влияет на показатель экономически активного населения с весом всего -0,0056 (довольно маленькая степень влияния). Знак минус показывает что это влияние отрицательно, то есть чем больше предприятий, тем меньше экономически активного населения, как бы это ни было парадоксальным по смыслу; 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-0,0026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-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a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vertAlign w:val="subscript"/>
          <w:lang w:eastAsia="ru-RU"/>
        </w:rPr>
        <w:t>2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- коэффициент влияния объема инвестиций в капитал на величину экономически активного населения, согласно модели, это влияние также отрицательно; 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0,0028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- 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a</w:t>
      </w:r>
      <w:r w:rsidRPr="007A0061">
        <w:rPr>
          <w:rFonts w:ascii="Arial" w:eastAsia="Times New Roman" w:hAnsi="Arial" w:cs="Arial"/>
          <w:b/>
          <w:bCs/>
          <w:color w:val="000000"/>
          <w:sz w:val="23"/>
          <w:szCs w:val="23"/>
          <w:vertAlign w:val="subscript"/>
          <w:lang w:eastAsia="ru-RU"/>
        </w:rPr>
        <w:t>3</w:t>
      </w: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 коэффициент влияния доходов населения на величину экономически активного населения, здесь влияние позитивное, то есть согласно модели увеличение доходов будет способствовать увеличению величины экономически активного населения.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Соберем рассчитанные коэффициенты в модель:</w:t>
      </w:r>
    </w:p>
    <w:p w:rsidR="007A0061" w:rsidRPr="007A0061" w:rsidRDefault="007A0061" w:rsidP="007A0061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i/>
          <w:iCs/>
          <w:color w:val="000000"/>
          <w:sz w:val="23"/>
          <w:szCs w:val="23"/>
          <w:lang w:eastAsia="ru-RU"/>
        </w:rPr>
      </w:pP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lang w:eastAsia="ru-RU"/>
        </w:rPr>
        <w:t>Y = 2079,85 - 0,0056x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vertAlign w:val="subscript"/>
          <w:lang w:eastAsia="ru-RU"/>
        </w:rPr>
        <w:t>1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lang w:eastAsia="ru-RU"/>
        </w:rPr>
        <w:t> - 0,0026x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vertAlign w:val="subscript"/>
          <w:lang w:eastAsia="ru-RU"/>
        </w:rPr>
        <w:t>2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lang w:eastAsia="ru-RU"/>
        </w:rPr>
        <w:t> + 0,0028x</w:t>
      </w:r>
      <w:r w:rsidRPr="007A0061">
        <w:rPr>
          <w:rFonts w:ascii="Cambria" w:eastAsia="Times New Roman" w:hAnsi="Cambria" w:cs="Times New Roman"/>
          <w:b/>
          <w:bCs/>
          <w:i/>
          <w:iCs/>
          <w:color w:val="000000"/>
          <w:sz w:val="23"/>
          <w:szCs w:val="23"/>
          <w:vertAlign w:val="subscript"/>
          <w:lang w:eastAsia="ru-RU"/>
        </w:rPr>
        <w:t>3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Собственно, это и есть линейная регрессионная модель, которая для исходных данных, используемых в примере, выглядит именно так.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</w:pPr>
      <w:r w:rsidRPr="007A0061">
        <w:rPr>
          <w:rFonts w:ascii="Arial" w:eastAsia="Times New Roman" w:hAnsi="Arial" w:cs="Arial"/>
          <w:b/>
          <w:bCs/>
          <w:color w:val="3CA2DE"/>
          <w:sz w:val="24"/>
          <w:szCs w:val="24"/>
          <w:lang w:eastAsia="ru-RU"/>
        </w:rPr>
        <w:t>Расчетные значения модели и прогноз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Как мы уже обсуждали выше, модель строится не только чтобы показать величину зависимостей изучаемого параметра от влияющих факторов, но и чтобы зная эти влияющие факторы можно было делать прогноз. Сделать этот прогноз довольно просто, нужно просто подставить значения влияющих факторов в место соответствующих иксов в полученное уравнение модели. На рисунке ниже эти расчеты сделаны в </w:t>
      </w:r>
      <w:proofErr w:type="spellStart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экселе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отдельном столбце.</w:t>
      </w:r>
    </w:p>
    <w:p w:rsidR="007A0061" w:rsidRPr="007A0061" w:rsidRDefault="007A0061" w:rsidP="007A006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noProof/>
          <w:color w:val="2571B8"/>
          <w:sz w:val="23"/>
          <w:szCs w:val="23"/>
          <w:lang w:eastAsia="ru-RU"/>
        </w:rPr>
        <w:lastRenderedPageBreak/>
        <w:drawing>
          <wp:inline distT="0" distB="0" distL="0" distR="0">
            <wp:extent cx="3333750" cy="3152775"/>
            <wp:effectExtent l="19050" t="0" r="0" b="0"/>
            <wp:docPr id="9" name="Рисунок 9" descr="http://archie-goodwin.net/_ld/3/s80185329.jpg">
              <a:hlinkClick xmlns:a="http://schemas.openxmlformats.org/drawingml/2006/main" r:id="rId18" tgtFrame="&quot;_blank&quot;" tooltip="&quot;Нажмите, для просмотра в полном размере..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rchie-goodwin.net/_ld/3/s80185329.jpg">
                      <a:hlinkClick r:id="rId18" tgtFrame="&quot;_blank&quot;" tooltip="&quot;Нажмите, для просмотра в полном размере..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Фактические значения (те что имели место в реальности) и расчетные значения по модели на этом же рисунке отображены в виде графиков, чтобы показать разность, а значит погрешность модели.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Повторюсь еще раз, для того чтобы сделать прогноз по модели нужно чтобы были известные влияющие факторы, а если речь идет о временном ряде и соответственно прогнозе на будущее, например, на следующий год или месяц, то далеко не всегда можно узнать какие будут влияющие факторы в этом самом будущем. В таких случаях, нужно еще делать прогноз и для влияющих факторов, чаще всего это делают с помощью </w:t>
      </w:r>
      <w:proofErr w:type="spellStart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авторегрессионной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модели - модели, в которой влияющими факторами являются сам исследуемый объект и время, то есть моделируется зависимость показателя от того каким он был в прошлом.</w:t>
      </w:r>
    </w:p>
    <w:p w:rsidR="007A0061" w:rsidRPr="007A0061" w:rsidRDefault="007A0061" w:rsidP="007A0061">
      <w:pPr>
        <w:shd w:val="clear" w:color="auto" w:fill="FFFFFF"/>
        <w:spacing w:before="100" w:beforeAutospacing="1" w:after="100" w:afterAutospacing="1" w:line="240" w:lineRule="auto"/>
        <w:ind w:firstLine="30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Как строить </w:t>
      </w:r>
      <w:proofErr w:type="spellStart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авторегрессионную</w:t>
      </w:r>
      <w:proofErr w:type="spellEnd"/>
      <w:r w:rsidRPr="007A006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модель рассмотрим в следующей статье, а сейчас предположим, что, то какие будут величины влияющих факторов в будущем периоде (в примере 2008 год) нам известно, подставляя эти значения в расчеты мы получим наш прогноз на 2008 год.</w:t>
      </w:r>
    </w:p>
    <w:p w:rsidR="00E224D1" w:rsidRDefault="00E224D1"/>
    <w:sectPr w:rsidR="00E224D1" w:rsidSect="00E22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A0061"/>
    <w:rsid w:val="007A0061"/>
    <w:rsid w:val="00E2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4D1"/>
  </w:style>
  <w:style w:type="paragraph" w:styleId="3">
    <w:name w:val="heading 3"/>
    <w:basedOn w:val="a"/>
    <w:link w:val="30"/>
    <w:uiPriority w:val="9"/>
    <w:qFormat/>
    <w:rsid w:val="007A0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00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0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A0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4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6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4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e-goodwin.net/_ld/3/61235619.pn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archie-goodwin.net/_ld/3/80185329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archie-goodwin.net/_ld/3/01911606.pn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archie-goodwin.net/_ld/3/40929298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rchie-goodwin.net/_ld/3/50994968.pn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archie-goodwin.net/_ld/3/46121208.pn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archie-goodwin.net/_ld/3/49502446.pn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archie-goodwin.net/_ld/3/68950150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1133</Words>
  <Characters>6461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2018-02-02T11:07:00Z</dcterms:created>
  <dcterms:modified xsi:type="dcterms:W3CDTF">2018-02-02T11:08:00Z</dcterms:modified>
</cp:coreProperties>
</file>