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A03505" w14:textId="77777777" w:rsidR="008439A9" w:rsidRDefault="00034CC8" w:rsidP="00D57F4C">
      <w:pPr>
        <w:pStyle w:val="Heading1"/>
      </w:pPr>
      <w:bookmarkStart w:id="1" w:name="_GoBack"/>
      <w:bookmarkEnd w:id="1"/>
      <w:r>
        <w:t>Methods for the validation of model-based flows allocated to the road network: a case study of cycling</w:t>
      </w:r>
    </w:p>
    <w:p w14:paraId="5A1EE465" w14:textId="77777777" w:rsidR="008439A9" w:rsidRDefault="008439A9">
      <w:pPr>
        <w:jc w:val="both"/>
      </w:pPr>
    </w:p>
    <w:p w14:paraId="6E2CDFE3" w14:textId="77777777" w:rsidR="008439A9" w:rsidRDefault="00034CC8" w:rsidP="00D57F4C">
      <w:pPr>
        <w:pStyle w:val="Heading2"/>
      </w:pPr>
      <w:r>
        <w:t>Abstract</w:t>
      </w:r>
    </w:p>
    <w:p w14:paraId="4A960891" w14:textId="77777777" w:rsidR="00B91665" w:rsidRDefault="00B91665" w:rsidP="00D57F4C"/>
    <w:p w14:paraId="78D37B50" w14:textId="77777777" w:rsidR="00B91665" w:rsidRDefault="00B91665" w:rsidP="00D57F4C">
      <w:r>
        <w:t xml:space="preserve">To do: </w:t>
      </w:r>
    </w:p>
    <w:p w14:paraId="642EA7B1" w14:textId="77777777" w:rsidR="00B91665" w:rsidRDefault="00B91665" w:rsidP="00D57F4C">
      <w:pPr>
        <w:pStyle w:val="ListParagraph"/>
        <w:numPr>
          <w:ilvl w:val="0"/>
          <w:numId w:val="1"/>
        </w:numPr>
      </w:pPr>
      <w:r>
        <w:t>Polish the text and add references in the review of methods for model validation.</w:t>
      </w:r>
    </w:p>
    <w:p w14:paraId="6CE42669" w14:textId="77777777" w:rsidR="00B91665" w:rsidRDefault="00B91665" w:rsidP="00D57F4C">
      <w:pPr>
        <w:pStyle w:val="ListParagraph"/>
        <w:numPr>
          <w:ilvl w:val="0"/>
          <w:numId w:val="1"/>
        </w:numPr>
      </w:pPr>
      <w:r>
        <w:t>Accident data analysis</w:t>
      </w:r>
    </w:p>
    <w:p w14:paraId="07A286AE" w14:textId="77777777" w:rsidR="00B91665" w:rsidRDefault="00B91665" w:rsidP="00D57F4C">
      <w:pPr>
        <w:pStyle w:val="ListParagraph"/>
        <w:numPr>
          <w:ilvl w:val="0"/>
          <w:numId w:val="1"/>
        </w:numPr>
      </w:pPr>
      <w:r>
        <w:t>Generate PCT estimates for London.</w:t>
      </w:r>
    </w:p>
    <w:p w14:paraId="0115707F" w14:textId="08585B98" w:rsidR="00B91665" w:rsidRDefault="00B91665" w:rsidP="00D57F4C">
      <w:pPr>
        <w:pStyle w:val="ListParagraph"/>
        <w:numPr>
          <w:ilvl w:val="0"/>
          <w:numId w:val="1"/>
        </w:numPr>
      </w:pPr>
      <w:r>
        <w:t>Get James Howarth to compare with Strava data</w:t>
      </w:r>
      <w:r w:rsidR="00D57F4C">
        <w:t xml:space="preserve"> (sounding out – 2</w:t>
      </w:r>
      <w:r w:rsidR="00D57F4C" w:rsidRPr="00D57F4C">
        <w:rPr>
          <w:vertAlign w:val="superscript"/>
        </w:rPr>
        <w:t>nd</w:t>
      </w:r>
      <w:r w:rsidR="00D57F4C">
        <w:t xml:space="preserve"> paper?)</w:t>
      </w:r>
    </w:p>
    <w:p w14:paraId="2E895CDA" w14:textId="04F2C9F4" w:rsidR="00B91665" w:rsidRDefault="00B91665" w:rsidP="00D57F4C">
      <w:pPr>
        <w:pStyle w:val="ListParagraph"/>
        <w:numPr>
          <w:ilvl w:val="0"/>
          <w:numId w:val="1"/>
        </w:numPr>
      </w:pPr>
      <w:r>
        <w:t>Compare with Bike Citizens data</w:t>
      </w:r>
      <w:r w:rsidR="00D57F4C">
        <w:t xml:space="preserve"> (illustrative example of e.g. Hackney)</w:t>
      </w:r>
    </w:p>
    <w:p w14:paraId="66BBF12F" w14:textId="77777777" w:rsidR="00B91665" w:rsidRDefault="00B91665" w:rsidP="00D57F4C">
      <w:pPr>
        <w:pStyle w:val="ListParagraph"/>
        <w:numPr>
          <w:ilvl w:val="0"/>
          <w:numId w:val="1"/>
        </w:numPr>
      </w:pPr>
      <w:r>
        <w:t>Write conclusions</w:t>
      </w:r>
    </w:p>
    <w:p w14:paraId="5320832F" w14:textId="77777777" w:rsidR="00B91665" w:rsidRPr="00D57F4C" w:rsidRDefault="00B91665" w:rsidP="00D57F4C">
      <w:pPr>
        <w:pStyle w:val="ListParagraph"/>
        <w:numPr>
          <w:ilvl w:val="0"/>
          <w:numId w:val="1"/>
        </w:numPr>
      </w:pPr>
      <w:r>
        <w:t>Submit!</w:t>
      </w:r>
    </w:p>
    <w:p w14:paraId="215581D6" w14:textId="77777777" w:rsidR="008439A9" w:rsidRDefault="008439A9">
      <w:pPr>
        <w:jc w:val="both"/>
      </w:pPr>
    </w:p>
    <w:p w14:paraId="6862A776" w14:textId="77777777" w:rsidR="008439A9" w:rsidRDefault="00034CC8" w:rsidP="00D57F4C">
      <w:pPr>
        <w:pStyle w:val="Heading2"/>
      </w:pPr>
      <w:r>
        <w:t>Introduction</w:t>
      </w:r>
    </w:p>
    <w:p w14:paraId="2BBF46F7" w14:textId="541CBC4F" w:rsidR="008439A9" w:rsidRDefault="00034CC8">
      <w:pPr>
        <w:jc w:val="both"/>
      </w:pPr>
      <w:r>
        <w:t>Modelling is an important component of the transport planner’s toolkit</w:t>
      </w:r>
      <w:r w:rsidR="00F7028D">
        <w:t>, providing insight into transport systems that would otherwise be impossible</w:t>
      </w:r>
      <w:r>
        <w:t xml:space="preserve"> (Iacono et al. 2007</w:t>
      </w:r>
      <w:r w:rsidR="00F7028D">
        <w:t>).</w:t>
      </w:r>
      <w:r>
        <w:t xml:space="preserve"> </w:t>
      </w:r>
      <w:r w:rsidR="00F7028D">
        <w:t>Models facilitate the</w:t>
      </w:r>
      <w:r>
        <w:t xml:space="preserve"> estimation</w:t>
      </w:r>
      <w:r w:rsidR="00F7028D">
        <w:t xml:space="preserve"> of</w:t>
      </w:r>
      <w:r>
        <w:t xml:space="preserve"> current and future scenarios of </w:t>
      </w:r>
      <w:r w:rsidR="00F7028D">
        <w:t>movement patterns</w:t>
      </w:r>
      <w:r>
        <w:t xml:space="preserve"> (Schlesinger et al. 1979); visualisation of key patterns which may otherwise be invisible </w:t>
      </w:r>
      <w:commentRangeStart w:id="2"/>
      <w:r>
        <w:t xml:space="preserve">(ref); </w:t>
      </w:r>
      <w:commentRangeEnd w:id="2"/>
      <w:r w:rsidR="00F7028D">
        <w:rPr>
          <w:rStyle w:val="CommentReference"/>
        </w:rPr>
        <w:commentReference w:id="2"/>
      </w:r>
      <w:r>
        <w:t xml:space="preserve">and evaluation of alternative investment options in 'model experiments' to help decide on the best course of action, e.g. regarding where new bus routes should go (Wirasinghe and Vandebona 2011). Modelling and the communication of model results can thus be vital for making decisions about new infrastructure. Modelling has become so central to transport planning decision making that there have been calls to reassess the role of modelling in </w:t>
      </w:r>
      <w:r>
        <w:lastRenderedPageBreak/>
        <w:t>the sector. A recent report, for example, identifies instances of misuse in transport modelling and proposes greater levels of transparency and public engagement in the model development process to tackle this issue (Hollander 2015).</w:t>
      </w:r>
    </w:p>
    <w:p w14:paraId="64123730" w14:textId="5C83B932" w:rsidR="008439A9" w:rsidRDefault="00034CC8">
      <w:pPr>
        <w:jc w:val="both"/>
      </w:pPr>
      <w:r>
        <w:t>A critical but often overlooked component influencing the amount of trust we should have in transport models is validation. There is a strong argument suggesting that all transport models used for policy evaluation should be verified and validated to test the reliability their results</w:t>
      </w:r>
      <w:r w:rsidR="00F7028D">
        <w:t>, for example</w:t>
      </w:r>
      <w:r>
        <w:t xml:space="preserve"> by comparing the model’s output under a specific scenario against real-world data </w:t>
      </w:r>
      <w:r>
        <w:fldChar w:fldCharType="begin"/>
      </w:r>
      <w:r>
        <w:instrText>ADDIN EN.CITE &lt;EndNote&gt;&lt;Cite&gt;&lt;Author&gt;Anderson&lt;/Author&gt;&lt;Year&gt;1992&lt;/Year&gt;&lt;RecNum&gt;7&lt;/RecNum&gt;&lt;DisplayText&gt;(Anderson and Woessner, 1992)&lt;/DisplayText&gt;&lt;record&gt;&lt;rec-number&gt;7&lt;/rec-number&gt;&lt;foreign-keys&gt;&lt;key app="EN" db-id="ae09es5tupd9faevwzmxawzqvw9ewtstadv2" timestamp="1447066789"&gt;7&lt;/key&gt;&lt;key app="ENWeb" db-id=""&gt;0&lt;/key&gt;&lt;/foreign-keys&gt;&lt;ref-type name="Journal Article"&gt;17&lt;/ref-type&gt;&lt;contributors&gt;&lt;authors&gt;&lt;author&gt;Anderson, M.P.&lt;/author&gt;&lt;author&gt;Woessner, W. W&lt;/author&gt;&lt;/authors&gt;&lt;/contributors&gt;&lt;titles&gt;&lt;title&gt;The role of the postaudit in model validaiton&lt;/title&gt;&lt;secondary-title&gt;Advances in Water Resources&lt;/secondary-title&gt;&lt;/titles&gt;&lt;periodical&gt;&lt;full-title&gt;Advances in Water Resources&lt;/full-title&gt;&lt;/periodical&gt;&lt;pages&gt;16-173&lt;/pages&gt;&lt;volume&gt;15&lt;/volume&gt;&lt;dates&gt;&lt;year&gt;1992&lt;/year&gt;&lt;/dates&gt;&lt;urls&gt;&lt;/urls&gt;&lt;/record&gt;&lt;/Cite&gt;&lt;/EndNote&gt;</w:instrText>
      </w:r>
      <w:r>
        <w:fldChar w:fldCharType="separate"/>
      </w:r>
      <w:bookmarkStart w:id="3" w:name="__Fieldmark__80_757989060"/>
      <w:r>
        <w:t>(</w:t>
      </w:r>
      <w:bookmarkStart w:id="4" w:name="__Fieldmark__68_2032961859"/>
      <w:r>
        <w:t>Anderson and Woessner, 1992)</w:t>
      </w:r>
      <w:r>
        <w:fldChar w:fldCharType="end"/>
      </w:r>
      <w:bookmarkEnd w:id="3"/>
      <w:bookmarkEnd w:id="4"/>
      <w:r>
        <w:t>. Yet this is rarely done, especially in relation to models of the future</w:t>
      </w:r>
      <w:r w:rsidR="00F7028D">
        <w:t>. This</w:t>
      </w:r>
      <w:r>
        <w:t xml:space="preserve"> can lead to remarkable failures in the transport decision making process. In one infamous scheme, the Thames Gateway Bridge, the lack of validation in the underlying model was responsible for an entire scheme being scrapped (Hollander 2015).</w:t>
      </w:r>
    </w:p>
    <w:p w14:paraId="29DC14E4" w14:textId="2BE71B71" w:rsidR="00F7028D" w:rsidRDefault="00034CC8">
      <w:pPr>
        <w:jc w:val="both"/>
      </w:pPr>
      <w:r>
        <w:t xml:space="preserve">This paper uses the example of modelling </w:t>
      </w:r>
      <w:r w:rsidR="00F7028D">
        <w:t>the rate of cycling on the transport network</w:t>
      </w:r>
      <w:r>
        <w:t xml:space="preserve"> to illustrate methods for</w:t>
      </w:r>
      <w:r w:rsidR="00F7028D">
        <w:t xml:space="preserve"> rout-allocated</w:t>
      </w:r>
      <w:r>
        <w:t xml:space="preserve"> model validation. The aim is to demonstrate and compare</w:t>
      </w:r>
      <w:r w:rsidR="00F7028D">
        <w:t xml:space="preserve"> different</w:t>
      </w:r>
      <w:r>
        <w:t xml:space="preserve"> geographical methods</w:t>
      </w:r>
      <w:r w:rsidR="00F7028D">
        <w:t xml:space="preserve"> and datasets</w:t>
      </w:r>
      <w:r>
        <w:t xml:space="preserve"> for evaluating flow estimates</w:t>
      </w:r>
      <w:r w:rsidR="00F7028D">
        <w:t>. It is expected that the demonstration of methods and findings will be useful</w:t>
      </w:r>
      <w:r>
        <w:t xml:space="preserve"> </w:t>
      </w:r>
      <w:r w:rsidR="00F7028D">
        <w:t>in</w:t>
      </w:r>
      <w:r>
        <w:t xml:space="preserve"> future research. </w:t>
      </w:r>
      <w:r w:rsidR="00F7028D">
        <w:t>Although t</w:t>
      </w:r>
      <w:r>
        <w:t>he methods were developed for a specific purpose and mode</w:t>
      </w:r>
      <w:r w:rsidR="00F7028D">
        <w:t xml:space="preserve"> – </w:t>
      </w:r>
      <w:r>
        <w:t>the evaluation of the Propensity to Cycle Tool (PCT)</w:t>
      </w:r>
      <w:r w:rsidR="00F7028D">
        <w:t xml:space="preserve"> – </w:t>
      </w:r>
      <w:r>
        <w:t>they are applicable to any transport or agent-based model that generates estimates of travel flow rates on the route network.</w:t>
      </w:r>
    </w:p>
    <w:p w14:paraId="7B1A2A3E" w14:textId="77CAADAD" w:rsidR="008439A9" w:rsidRDefault="00F7028D">
      <w:pPr>
        <w:jc w:val="both"/>
      </w:pPr>
      <w:r>
        <w:t>The paper is structured as follows: t</w:t>
      </w:r>
      <w:r w:rsidR="00034CC8">
        <w:t xml:space="preserve">he </w:t>
      </w:r>
      <w:r w:rsidR="00B91665">
        <w:t>next</w:t>
      </w:r>
      <w:r w:rsidR="00034CC8">
        <w:t xml:space="preserve"> section provides a brief description of the PCT in the context of route-allocated transport models. This provides a motivation for the subsequent overview of model validation in the transport modelling literature. Because of the close</w:t>
      </w:r>
      <w:r>
        <w:t xml:space="preserve"> link between datasets and methods for flow estimate validation, the</w:t>
      </w:r>
      <w:r w:rsidR="00034CC8">
        <w:t xml:space="preserve"> </w:t>
      </w:r>
      <w:r w:rsidR="00D57F4C">
        <w:t>subsequent</w:t>
      </w:r>
      <w:r>
        <w:t xml:space="preserve"> section describes the input data and methods together. Datasets derived from screen-line counts, CCTV footage, road traffic casualty records and </w:t>
      </w:r>
      <w:r w:rsidR="00B91665">
        <w:t>passively collected ‘volunteered geographical information’ (VGI) are described in turn, alongside the methods needed for them to be compared with the PCT model results.</w:t>
      </w:r>
    </w:p>
    <w:p w14:paraId="35D38E4D" w14:textId="77777777" w:rsidR="008439A9" w:rsidRDefault="008439A9">
      <w:pPr>
        <w:jc w:val="both"/>
      </w:pPr>
    </w:p>
    <w:p w14:paraId="1006EA88" w14:textId="31E688C4" w:rsidR="008439A9" w:rsidRDefault="00B91665" w:rsidP="00D57F4C">
      <w:pPr>
        <w:pStyle w:val="Heading1"/>
      </w:pPr>
      <w:r>
        <w:lastRenderedPageBreak/>
        <w:t>The Propensity to Cycle Tool</w:t>
      </w:r>
    </w:p>
    <w:p w14:paraId="74600C9D" w14:textId="77777777" w:rsidR="008439A9" w:rsidRDefault="00034CC8">
      <w:pPr>
        <w:jc w:val="both"/>
      </w:pPr>
      <w:r>
        <w:t xml:space="preserve">There are many models using various techniques to study where people choose to cycle to work and for leisure as well as studies which collect data via GPS units and analyse the data to find the most popular routes.  </w:t>
      </w:r>
      <w:r>
        <w:fldChar w:fldCharType="begin"/>
      </w:r>
      <w:r>
        <w:instrText>ADDIN EN.CITE.DATA</w:instrText>
      </w:r>
      <w:r>
        <w:fldChar w:fldCharType="separate"/>
      </w:r>
      <w:bookmarkStart w:id="5" w:name="__Fieldmark__90_757989060"/>
      <w:r>
        <w:t>(</w:t>
      </w:r>
      <w:bookmarkStart w:id="6" w:name="__Fieldmark__80_2032961859"/>
      <w:r>
        <w:t>Dill and Carr, 2003; Krizek</w:t>
      </w:r>
      <w:r>
        <w:rPr>
          <w:i/>
        </w:rPr>
        <w:t xml:space="preserve"> et al.</w:t>
      </w:r>
      <w:r>
        <w:t>, 2007; Menghini</w:t>
      </w:r>
      <w:r>
        <w:rPr>
          <w:i/>
        </w:rPr>
        <w:t xml:space="preserve"> et al.</w:t>
      </w:r>
      <w:r>
        <w:t>, 2010; Broach</w:t>
      </w:r>
      <w:r>
        <w:rPr>
          <w:i/>
        </w:rPr>
        <w:t xml:space="preserve"> et al.</w:t>
      </w:r>
      <w:r>
        <w:t>, 2012; Ehrgott</w:t>
      </w:r>
      <w:r>
        <w:rPr>
          <w:i/>
        </w:rPr>
        <w:t xml:space="preserve"> et al.</w:t>
      </w:r>
      <w:r>
        <w:t>, 2012; Larsen</w:t>
      </w:r>
      <w:r>
        <w:rPr>
          <w:i/>
        </w:rPr>
        <w:t xml:space="preserve"> et al.</w:t>
      </w:r>
      <w:r>
        <w:t>, 2013)</w:t>
      </w:r>
      <w:r>
        <w:fldChar w:fldCharType="end"/>
      </w:r>
      <w:bookmarkStart w:id="7" w:name="__Fieldmark__81_2032961859"/>
      <w:bookmarkEnd w:id="5"/>
      <w:bookmarkEnd w:id="6"/>
      <w:bookmarkEnd w:id="7"/>
      <w:r>
        <w:t xml:space="preserve">. However at the time of writing there are not any models which aim to predict the amount of cycling in an area as well as the possible response to cycling becoming more favourable amongst the population. Therefore the PCT is aiming to become a niche tool to help planners. </w:t>
      </w:r>
    </w:p>
    <w:p w14:paraId="23D0DF7E" w14:textId="77777777" w:rsidR="008439A9" w:rsidRDefault="00034CC8">
      <w:pPr>
        <w:jc w:val="both"/>
      </w:pPr>
      <w:r>
        <w:t xml:space="preserve">There are some novel approaches in the literature which study the most where spending will have the most effective spending on the road network </w:t>
      </w:r>
      <w:r>
        <w:fldChar w:fldCharType="begin"/>
      </w:r>
      <w:r>
        <w:instrText>ADDIN EN.CITE &lt;EndNote&gt;&lt;Cite&gt;&lt;Author&gt;Larsen&lt;/Author&gt;&lt;Year&gt;2013&lt;/Year&gt;&lt;RecNum&gt;9&lt;/RecNum&gt;&lt;DisplayText&gt;(Larsen&lt;style face="italic"&gt; et al.&lt;/style&gt;, 2013)&lt;/DisplayText&gt;&lt;record&gt;&lt;rec-number&gt;9&lt;/rec-number&gt;&lt;foreign-keys&gt;&lt;key app="EN" db-id="ae09es5tupd9faevwzmxawzqvw9ewtstadv2" timestamp="1447070369"&gt;9&lt;/key&gt;&lt;key app="ENWeb" db-id=""&gt;0&lt;/key&gt;&lt;/foreign-keys&gt;&lt;ref-type name="Journal Article"&gt;17&lt;/ref-type&gt;&lt;contributors&gt;&lt;authors&gt;&lt;author&gt;Larsen, Jacob&lt;/author&gt;&lt;author&gt;Patterson, Zachary&lt;/author&gt;&lt;author&gt;El-Geneidy, Ahmed&lt;/author&gt;&lt;/authors&gt;&lt;/contributors&gt;&lt;titles&gt;&lt;title&gt;Build It. But Where? The Use of Geographic Information Systems in Identifying Locations for New Cycling Infrastructure&lt;/title&gt;&lt;secondary-title&gt;International Journal of Sustainable Transportation&lt;/secondary-title&gt;&lt;/titles&gt;&lt;periodical&gt;&lt;full-title&gt;International Journal of Sustainable Transportation&lt;/full-title&gt;&lt;/periodical&gt;&lt;pages&gt;299-317&lt;/pages&gt;&lt;volume&gt;7&lt;/volume&gt;&lt;number&gt;4&lt;/number&gt;&lt;dates&gt;&lt;year&gt;2013&lt;/year&gt;&lt;/dates&gt;&lt;isbn&gt;1556-8318&amp;#xD;1556-8334&lt;/isbn&gt;&lt;urls&gt;&lt;/urls&gt;&lt;electronic-resource-num&gt;10.1080/15568318.2011.631098&lt;/electronic-resource-num&gt;&lt;/record&gt;&lt;/Cite&gt;&lt;/EndNote&gt;</w:instrText>
      </w:r>
      <w:r>
        <w:fldChar w:fldCharType="separate"/>
      </w:r>
      <w:bookmarkStart w:id="8" w:name="__Fieldmark__122_757989060"/>
      <w:r>
        <w:t>(</w:t>
      </w:r>
      <w:bookmarkStart w:id="9" w:name="__Fieldmark__110_2032961859"/>
      <w:r>
        <w:t>Larsen</w:t>
      </w:r>
      <w:r>
        <w:rPr>
          <w:i/>
        </w:rPr>
        <w:t xml:space="preserve"> et al.</w:t>
      </w:r>
      <w:r>
        <w:t>, 2013)</w:t>
      </w:r>
      <w:r>
        <w:fldChar w:fldCharType="end"/>
      </w:r>
      <w:bookmarkEnd w:id="8"/>
      <w:bookmarkEnd w:id="9"/>
      <w:r>
        <w:t xml:space="preserve">. </w:t>
      </w:r>
      <w:r>
        <w:fldChar w:fldCharType="begin"/>
      </w:r>
      <w:r>
        <w:instrText>ADDIN EN.CITE &lt;EndNote&gt;&lt;Cite AuthorYear="1"&gt;&lt;Author&gt;Larsen&lt;/Author&gt;&lt;Year&gt;2013&lt;/Year&gt;&lt;RecNum&gt;9&lt;/RecNum&gt;&lt;DisplayText&gt;Larsen&lt;style face="italic"&gt; et al.&lt;/style&gt; (2013)&lt;/DisplayText&gt;&lt;record&gt;&lt;rec-number&gt;9&lt;/rec-number&gt;&lt;foreign-keys&gt;&lt;key app="EN" db-id="ae09es5tupd9faevwzmxawzqvw9ewtstadv2" timestamp="1447070369"&gt;9&lt;/key&gt;&lt;key app="ENWeb" db-id=""&gt;0&lt;/key&gt;&lt;/foreign-keys&gt;&lt;ref-type name="Journal Article"&gt;17&lt;/ref-type&gt;&lt;contributors&gt;&lt;authors&gt;&lt;author&gt;Larsen, Jacob&lt;/author&gt;&lt;author&gt;Patterson, Zachary&lt;/author&gt;&lt;author&gt;El-Geneidy, Ahmed&lt;/author&gt;&lt;/authors&gt;&lt;/contributors&gt;&lt;titles&gt;&lt;title&gt;Build It. But Where? The Use of Geographic Information Systems in Identifying Locations for New Cycling Infrastructure&lt;/title&gt;&lt;secondary-title&gt;International Journal of Sustainable Transportation&lt;/secondary-title&gt;&lt;/titles&gt;&lt;periodical&gt;&lt;full-title&gt;International Journal of Sustainable Transportation&lt;/full-title&gt;&lt;/periodical&gt;&lt;pages&gt;299-317&lt;/pages&gt;&lt;volume&gt;7&lt;/volume&gt;&lt;number&gt;4&lt;/number&gt;&lt;dates&gt;&lt;year&gt;2013&lt;/year&gt;&lt;/dates&gt;&lt;isbn&gt;1556-8318&amp;#xD;1556-8334&lt;/isbn&gt;&lt;urls&gt;&lt;/urls&gt;&lt;electronic-resource-num&gt;10.1080/15568318.2011.631098&lt;/electronic-resource-num&gt;&lt;/record&gt;&lt;/Cite&gt;&lt;/EndNote&gt;</w:instrText>
      </w:r>
      <w:r>
        <w:fldChar w:fldCharType="separate"/>
      </w:r>
      <w:bookmarkStart w:id="10" w:name="__Fieldmark__133_757989060"/>
      <w:r>
        <w:t>L</w:t>
      </w:r>
      <w:bookmarkStart w:id="11" w:name="__Fieldmark__119_2032961859"/>
      <w:r>
        <w:t>arsen</w:t>
      </w:r>
      <w:r>
        <w:rPr>
          <w:i/>
        </w:rPr>
        <w:t xml:space="preserve"> et al.</w:t>
      </w:r>
      <w:r>
        <w:t xml:space="preserve"> (2013)</w:t>
      </w:r>
      <w:r>
        <w:fldChar w:fldCharType="end"/>
      </w:r>
      <w:bookmarkEnd w:id="10"/>
      <w:bookmarkEnd w:id="11"/>
      <w:r>
        <w:t xml:space="preserve"> used a Geographical Information System (GIS) approach to assess the cycling network in Montreal, using a form of Multiple Criteria Analysis (MCA) with datasets surrounding Origin-Destination data (OD) for cyclists, car trips, suggested cycling routes from the public, and accident data they evaluated the current system and proposed suitable modifications.  </w:t>
      </w:r>
    </w:p>
    <w:p w14:paraId="1F1AB360" w14:textId="77777777" w:rsidR="008439A9" w:rsidRDefault="008439A9">
      <w:pPr>
        <w:jc w:val="both"/>
      </w:pPr>
    </w:p>
    <w:p w14:paraId="5E60321B" w14:textId="77777777" w:rsidR="008439A9" w:rsidRDefault="008439A9">
      <w:pPr>
        <w:jc w:val="both"/>
      </w:pPr>
    </w:p>
    <w:p w14:paraId="2B6F138C" w14:textId="77777777" w:rsidR="008439A9" w:rsidRDefault="00034CC8">
      <w:pPr>
        <w:jc w:val="both"/>
      </w:pPr>
      <w:r>
        <w:t xml:space="preserve">The UK is currently facing a large increase in the number of people choosing to travel by bicycle as there are now 600 million more miles ridden per year in comparison to 1993 </w:t>
      </w:r>
      <w:r>
        <w:fldChar w:fldCharType="begin"/>
      </w:r>
      <w:r>
        <w:instrText>ADDIN EN.CITE &lt;EndNote&gt;&lt;Cite&gt;&lt;Author&gt;Hollingworth&lt;/Author&gt;&lt;Year&gt;2015&lt;/Year&gt;&lt;RecNum&gt;8&lt;/RecNum&gt;&lt;DisplayText&gt;(Hollingworth&lt;style face="italic"&gt; et al.&lt;/style&gt;, 2015)&lt;/DisplayText&gt;&lt;record&gt;&lt;rec-number&gt;8&lt;/rec-number&gt;&lt;foreign-keys&gt;&lt;key app="EN" db-id="ae09es5tupd9faevwzmxawzqvw9ewtstadv2" timestamp="1447068453"&gt;8&lt;/key&gt;&lt;key app="ENWeb" db-id=""&gt;0&lt;/key&gt;&lt;/foreign-keys&gt;&lt;ref-type name="Journal Article"&gt;17&lt;/ref-type&gt;&lt;contributors&gt;&lt;authors&gt;&lt;author&gt;Hollingworth, Milo A.&lt;/author&gt;&lt;author&gt;Harper, Alice J. L.&lt;/author&gt;&lt;author&gt;Hamer, Mark&lt;/author&gt;&lt;/authors&gt;&lt;/contributors&gt;&lt;titles&gt;&lt;title&gt;Risk factors for cycling accident related injury: The UK Cycling for Health Survey&lt;/title&gt;&lt;secondary-title&gt;Journal of Transport &amp;amp; Health&lt;/secondary-title&gt;&lt;/titles&gt;&lt;periodical&gt;&lt;full-title&gt;Journal of Transport &amp;amp; Health&lt;/full-title&gt;&lt;/periodical&gt;&lt;pages&gt;189-194&lt;/pages&gt;&lt;volume&gt;2&lt;/volume&gt;&lt;number&gt;2&lt;/number&gt;&lt;dates&gt;&lt;year&gt;2015&lt;/year&gt;&lt;/dates&gt;&lt;isbn&gt;22141405&lt;/isbn&gt;&lt;urls&gt;&lt;/urls&gt;&lt;electronic-resource-num&gt;10.1016/j.jth.2015.01.001&lt;/electronic-resource-num&gt;&lt;/record&gt;&lt;/Cite&gt;&lt;/EndNote&gt;</w:instrText>
      </w:r>
      <w:r>
        <w:fldChar w:fldCharType="separate"/>
      </w:r>
      <w:bookmarkStart w:id="12" w:name="__Fieldmark__146_757989060"/>
      <w:r>
        <w:t>(</w:t>
      </w:r>
      <w:bookmarkStart w:id="13" w:name="__Fieldmark__130_2032961859"/>
      <w:r>
        <w:t>Hollingworth</w:t>
      </w:r>
      <w:r>
        <w:rPr>
          <w:i/>
        </w:rPr>
        <w:t xml:space="preserve"> et al.</w:t>
      </w:r>
      <w:r>
        <w:t>, 2015)</w:t>
      </w:r>
      <w:r>
        <w:fldChar w:fldCharType="end"/>
      </w:r>
      <w:bookmarkEnd w:id="12"/>
      <w:bookmarkEnd w:id="13"/>
      <w:r>
        <w:t xml:space="preserve">. This rise in cycling has resulted in a rise in incidents, Keep (2013) discovered that there was 32% increase in people being killed or seriously injured while cycling between 2002 levels and 2012 levels. Figure 1 shows the number of people killed or seriously injured over a 5 year period in Leeds, there has been an increasing number of incidents possibly due to the increased levels of cycling (Leeds Data Mill, 2015). </w:t>
      </w:r>
      <w:r>
        <w:rPr>
          <w:b/>
          <w:i/>
          <w:sz w:val="18"/>
        </w:rPr>
        <w:t xml:space="preserve">   </w:t>
      </w:r>
    </w:p>
    <w:p w14:paraId="5F4D9E40" w14:textId="77777777" w:rsidR="008439A9" w:rsidRDefault="00034CC8">
      <w:pPr>
        <w:jc w:val="both"/>
      </w:pPr>
      <w:r>
        <w:t xml:space="preserve">Recent studies into cycling infrastructure prove that spending on infrastructure helps to reduce the amount of people killed or seriously injured while cycling as well as encouraging people to take up cycling </w:t>
      </w:r>
      <w:r>
        <w:fldChar w:fldCharType="begin"/>
      </w:r>
      <w:r>
        <w:instrText>ADDIN EN.CITE.DATA</w:instrText>
      </w:r>
      <w:r>
        <w:fldChar w:fldCharType="separate"/>
      </w:r>
      <w:bookmarkStart w:id="14" w:name="__Fieldmark__160_757989060"/>
      <w:r>
        <w:t>(</w:t>
      </w:r>
      <w:bookmarkStart w:id="15" w:name="__Fieldmark__143_2032961859"/>
      <w:r>
        <w:t>Reynolds</w:t>
      </w:r>
      <w:r>
        <w:rPr>
          <w:i/>
        </w:rPr>
        <w:t xml:space="preserve"> et al.</w:t>
      </w:r>
      <w:r>
        <w:t>, 2009; Broach</w:t>
      </w:r>
      <w:r>
        <w:rPr>
          <w:i/>
        </w:rPr>
        <w:t xml:space="preserve"> et al.</w:t>
      </w:r>
      <w:r>
        <w:t>, 2012)</w:t>
      </w:r>
      <w:r>
        <w:fldChar w:fldCharType="end"/>
      </w:r>
      <w:bookmarkStart w:id="16" w:name="__Fieldmark__144_2032961859"/>
      <w:bookmarkEnd w:id="14"/>
      <w:bookmarkEnd w:id="15"/>
      <w:bookmarkEnd w:id="16"/>
      <w:r>
        <w:t xml:space="preserve">. Unfortunately building cycling infrastructure is not cheap, schemes such as city connected, an infrastructure project linking Bradford and Leeds, is set to cost c£30m while a north-south </w:t>
      </w:r>
      <w:r>
        <w:lastRenderedPageBreak/>
        <w:t xml:space="preserve">cycle superhighway through London is costing £160m. Therefore tools such as the PCT can help improve the location of cycling infrastructure projects allowing them to have the most effective cost-benefit scenario. </w:t>
      </w:r>
    </w:p>
    <w:p w14:paraId="3FBCE686" w14:textId="77777777" w:rsidR="008439A9" w:rsidRDefault="00034CC8">
      <w:pPr>
        <w:jc w:val="both"/>
      </w:pPr>
      <w:r>
        <w:rPr>
          <w:noProof/>
          <w:lang w:eastAsia="en-GB"/>
        </w:rPr>
        <w:drawing>
          <wp:inline distT="0" distB="0" distL="0" distR="0" wp14:anchorId="2787230F" wp14:editId="0658CDE5">
            <wp:extent cx="4210050" cy="2266950"/>
            <wp:effectExtent l="0" t="0" r="0" b="0"/>
            <wp:docPr id="1" name="Obj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CE48463" w14:textId="77777777" w:rsidR="008439A9" w:rsidRDefault="008439A9">
      <w:pPr>
        <w:pStyle w:val="EndNoteBibliography"/>
        <w:ind w:left="720" w:hanging="720"/>
        <w:jc w:val="both"/>
      </w:pPr>
    </w:p>
    <w:p w14:paraId="75B79E68" w14:textId="77777777" w:rsidR="008439A9" w:rsidRDefault="008439A9">
      <w:pPr>
        <w:pStyle w:val="EndNoteBibliography"/>
        <w:ind w:left="720" w:hanging="720"/>
        <w:jc w:val="both"/>
      </w:pPr>
    </w:p>
    <w:p w14:paraId="2044F0D2" w14:textId="77777777" w:rsidR="008439A9" w:rsidRDefault="008439A9">
      <w:pPr>
        <w:jc w:val="both"/>
        <w:rPr>
          <w:b/>
          <w:i/>
          <w:sz w:val="18"/>
        </w:rPr>
      </w:pPr>
    </w:p>
    <w:p w14:paraId="0FD777A4" w14:textId="77777777" w:rsidR="008439A9" w:rsidRDefault="008439A9">
      <w:pPr>
        <w:jc w:val="both"/>
        <w:rPr>
          <w:b/>
          <w:i/>
          <w:sz w:val="18"/>
        </w:rPr>
      </w:pPr>
    </w:p>
    <w:p w14:paraId="58158FC4" w14:textId="77777777" w:rsidR="008439A9" w:rsidRDefault="008439A9">
      <w:pPr>
        <w:jc w:val="both"/>
        <w:rPr>
          <w:b/>
          <w:i/>
          <w:sz w:val="18"/>
        </w:rPr>
      </w:pPr>
    </w:p>
    <w:p w14:paraId="4E392D17" w14:textId="77777777" w:rsidR="008439A9" w:rsidRDefault="008439A9">
      <w:pPr>
        <w:jc w:val="both"/>
        <w:rPr>
          <w:b/>
          <w:i/>
          <w:sz w:val="18"/>
        </w:rPr>
      </w:pPr>
    </w:p>
    <w:p w14:paraId="0283B1DD" w14:textId="77777777" w:rsidR="008439A9" w:rsidRDefault="008439A9">
      <w:pPr>
        <w:jc w:val="both"/>
        <w:rPr>
          <w:b/>
          <w:i/>
          <w:sz w:val="18"/>
        </w:rPr>
      </w:pPr>
    </w:p>
    <w:p w14:paraId="114B0AFC" w14:textId="77777777" w:rsidR="008439A9" w:rsidRDefault="008439A9">
      <w:pPr>
        <w:jc w:val="both"/>
        <w:rPr>
          <w:b/>
          <w:i/>
          <w:sz w:val="18"/>
        </w:rPr>
      </w:pPr>
    </w:p>
    <w:p w14:paraId="06F112A9" w14:textId="77777777" w:rsidR="008439A9" w:rsidRDefault="008439A9">
      <w:pPr>
        <w:jc w:val="both"/>
        <w:rPr>
          <w:b/>
          <w:i/>
          <w:sz w:val="18"/>
        </w:rPr>
      </w:pPr>
    </w:p>
    <w:p w14:paraId="69658ED8" w14:textId="77777777" w:rsidR="008439A9" w:rsidRDefault="008439A9">
      <w:pPr>
        <w:jc w:val="both"/>
        <w:rPr>
          <w:b/>
          <w:i/>
          <w:sz w:val="18"/>
        </w:rPr>
      </w:pPr>
    </w:p>
    <w:p w14:paraId="7825F02C" w14:textId="77777777" w:rsidR="008439A9" w:rsidRDefault="00034CC8">
      <w:pPr>
        <w:jc w:val="both"/>
      </w:pPr>
      <w:r>
        <w:rPr>
          <w:b/>
          <w:i/>
          <w:sz w:val="18"/>
        </w:rPr>
        <w:t xml:space="preserve">Figure </w:t>
      </w:r>
      <w:r>
        <w:rPr>
          <w:b/>
          <w:i/>
          <w:sz w:val="18"/>
        </w:rPr>
        <w:fldChar w:fldCharType="begin"/>
      </w:r>
      <w:r>
        <w:instrText>SEQ Figure \* ARABIC</w:instrText>
      </w:r>
      <w:r>
        <w:fldChar w:fldCharType="separate"/>
      </w:r>
      <w:r>
        <w:t>1</w:t>
      </w:r>
      <w:r>
        <w:fldChar w:fldCharType="end"/>
      </w:r>
      <w:r>
        <w:rPr>
          <w:b/>
          <w:i/>
          <w:sz w:val="18"/>
        </w:rPr>
        <w:t xml:space="preserve"> the number of people killed or seriously injured while cycling in Leeds (Leeds Data Mill, 2015)</w:t>
      </w:r>
    </w:p>
    <w:p w14:paraId="627BC3EA" w14:textId="77777777" w:rsidR="008439A9" w:rsidRDefault="008439A9">
      <w:pPr>
        <w:pStyle w:val="EndNoteBibliography"/>
        <w:ind w:left="720" w:hanging="720"/>
        <w:jc w:val="both"/>
      </w:pPr>
    </w:p>
    <w:p w14:paraId="4117D2A2" w14:textId="77777777" w:rsidR="00B91665" w:rsidRDefault="00B91665" w:rsidP="00D57F4C">
      <w:pPr>
        <w:pStyle w:val="Heading1"/>
      </w:pPr>
      <w:r>
        <w:t>Review of methods to validate flow estimates</w:t>
      </w:r>
    </w:p>
    <w:p w14:paraId="49F85689" w14:textId="77777777" w:rsidR="00B91665" w:rsidRDefault="00B91665" w:rsidP="00D57F4C">
      <w:commentRangeStart w:id="17"/>
      <w:r>
        <w:t>…</w:t>
      </w:r>
      <w:commentRangeEnd w:id="17"/>
      <w:r w:rsidR="00034CC8">
        <w:rPr>
          <w:rStyle w:val="CommentReference"/>
        </w:rPr>
        <w:commentReference w:id="17"/>
      </w:r>
    </w:p>
    <w:p w14:paraId="571C9CC3" w14:textId="77777777" w:rsidR="00B91665" w:rsidRPr="00D57F4C" w:rsidRDefault="00B91665" w:rsidP="00D57F4C"/>
    <w:p w14:paraId="7FB6BA41" w14:textId="77777777" w:rsidR="008439A9" w:rsidRDefault="00034CC8" w:rsidP="00D57F4C">
      <w:pPr>
        <w:pStyle w:val="Heading1"/>
      </w:pPr>
      <w:r>
        <w:lastRenderedPageBreak/>
        <w:t>Methods</w:t>
      </w:r>
    </w:p>
    <w:p w14:paraId="20145284" w14:textId="77777777" w:rsidR="008439A9" w:rsidRDefault="00034CC8">
      <w:pPr>
        <w:pStyle w:val="Heading3"/>
        <w:jc w:val="both"/>
      </w:pPr>
      <w:r>
        <w:t>Screenline</w:t>
      </w:r>
    </w:p>
    <w:p w14:paraId="46AE5204" w14:textId="77777777" w:rsidR="008439A9" w:rsidRDefault="00034CC8">
      <w:pPr>
        <w:jc w:val="both"/>
      </w:pPr>
      <w:r>
        <w:t xml:space="preserve">Measuring daily flows of traffic is usually carried out using the screenline method </w:t>
      </w:r>
      <w:r>
        <w:fldChar w:fldCharType="begin"/>
      </w:r>
      <w:r>
        <w:instrText>ADDIN EN.CITE &lt;EndNote&gt;&lt;Cite&gt;&lt;Author&gt;Nicolaisen&lt;/Author&gt;&lt;Year&gt;2014&lt;/Year&gt;&lt;RecNum&gt;15&lt;/RecNum&gt;&lt;DisplayText&gt;(Nicolaisen and Driscoll, 2014)&lt;/DisplayText&gt;&lt;record&gt;&lt;rec-number&gt;15&lt;/rec-number&gt;&lt;foreign-keys&gt;&lt;key app="EN" db-id="ae09es5tupd9faevwzmxawzqvw9ewtstadv2" timestamp="1447082085"&gt;15&lt;/key&gt;&lt;key app="ENWeb" db-id=""&gt;0&lt;/key&gt;&lt;/foreign-keys&gt;&lt;ref-type name="Journal Article"&gt;17&lt;/ref-type&gt;&lt;contributors&gt;&lt;authors&gt;&lt;author&gt;Nicolaisen, Morten Skou&lt;/author&gt;&lt;author&gt;Driscoll, Patrick Arthur&lt;/author&gt;&lt;/authors&gt;&lt;/contributors&gt;&lt;titles&gt;&lt;title&gt;Ex-PostEvaluations of Demand Forecast Accuracy: A Literature Review&lt;/title&gt;&lt;secondary-title&gt;Transport Reviews&lt;/secondary-title&gt;&lt;/titles&gt;&lt;periodical&gt;&lt;full-title&gt;Transport Reviews&lt;/full-title&gt;&lt;/periodical&gt;&lt;pages&gt;540-557&lt;/pages&gt;&lt;volume&gt;34&lt;/volume&gt;&lt;number&gt;4&lt;/number&gt;&lt;dates&gt;&lt;year&gt;2014&lt;/year&gt;&lt;/dates&gt;&lt;isbn&gt;0144-1647&amp;#xD;1464-5327&lt;/isbn&gt;&lt;urls&gt;&lt;/urls&gt;&lt;electronic-resource-num&gt;10.1080/01441647.2014.926428&lt;/electronic-resource-num&gt;&lt;/record&gt;&lt;/Cite&gt;&lt;/EndNote&gt;</w:instrText>
      </w:r>
      <w:r>
        <w:fldChar w:fldCharType="separate"/>
      </w:r>
      <w:bookmarkStart w:id="18" w:name="__Fieldmark__190_757989060"/>
      <w:r>
        <w:t>(</w:t>
      </w:r>
      <w:bookmarkStart w:id="19" w:name="__Fieldmark__170_2032961859"/>
      <w:r>
        <w:t>Nicolaisen and Driscoll, 2014)</w:t>
      </w:r>
      <w:r>
        <w:fldChar w:fldCharType="end"/>
      </w:r>
      <w:bookmarkEnd w:id="18"/>
      <w:bookmarkEnd w:id="19"/>
      <w:r>
        <w:t xml:space="preserve">. Screenline counts are usually carried out manually via pen and paper records, therefore opening them up to human error when recording data. Recently there has been an advance in computing that allows the recognition of shapes; this technology is now being used to record the number of cyclists passing a point. The added advantage of this automation is that data can be collected for every hour of everyday, whereas previously manual data collection could only be carried for as long as the user was willing to pay to record data. Therefore collecting data manually would lead to a sub-optimal dataset. </w:t>
      </w:r>
    </w:p>
    <w:p w14:paraId="288D48E8" w14:textId="77777777" w:rsidR="008439A9" w:rsidRDefault="00034CC8">
      <w:pPr>
        <w:jc w:val="both"/>
      </w:pPr>
      <w:r>
        <w:rPr>
          <w:noProof/>
          <w:lang w:eastAsia="en-GB"/>
        </w:rPr>
        <w:drawing>
          <wp:anchor distT="0" distB="0" distL="114300" distR="114300" simplePos="0" relativeHeight="2" behindDoc="1" locked="0" layoutInCell="1" allowOverlap="1" wp14:anchorId="17DF7CB2" wp14:editId="73BF7C79">
            <wp:simplePos x="0" y="0"/>
            <wp:positionH relativeFrom="column">
              <wp:posOffset>-59690</wp:posOffset>
            </wp:positionH>
            <wp:positionV relativeFrom="margin">
              <wp:posOffset>1733550</wp:posOffset>
            </wp:positionV>
            <wp:extent cx="5695950" cy="3919855"/>
            <wp:effectExtent l="0" t="0" r="0" b="0"/>
            <wp:wrapTight wrapText="bothSides">
              <wp:wrapPolygon edited="0">
                <wp:start x="-178" y="-196"/>
                <wp:lineTo x="-178" y="21683"/>
                <wp:lineTo x="21669" y="21683"/>
                <wp:lineTo x="21669" y="-196"/>
                <wp:lineTo x="-178" y="-19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srcRect l="374576" t="529794" r="309362" b="490068"/>
                    <a:stretch>
                      <a:fillRect/>
                    </a:stretch>
                  </pic:blipFill>
                  <pic:spPr bwMode="auto">
                    <a:xfrm>
                      <a:off x="0" y="0"/>
                      <a:ext cx="5695950" cy="3919855"/>
                    </a:xfrm>
                    <a:prstGeom prst="rect">
                      <a:avLst/>
                    </a:prstGeom>
                    <a:noFill/>
                    <a:ln w="9525">
                      <a:noFill/>
                      <a:miter lim="800000"/>
                      <a:headEnd/>
                      <a:tailEnd/>
                    </a:ln>
                  </pic:spPr>
                </pic:pic>
              </a:graphicData>
            </a:graphic>
          </wp:anchor>
        </w:drawing>
      </w:r>
      <w:r>
        <w:t xml:space="preserve">In this paper the screenline data was collected in April and May 2014. To try to make the data as uniform as possible counts were only recorded on days inside school term time and when the weather was not adverse. On the day of collection data was collected over a 12 hour period (7am – 7pm). Figure 1 shows the distribution of the survey points. </w:t>
      </w:r>
    </w:p>
    <w:p w14:paraId="4F32C3DF" w14:textId="77777777" w:rsidR="008439A9" w:rsidRDefault="00034CC8">
      <w:pPr>
        <w:jc w:val="both"/>
      </w:pPr>
      <w:r>
        <w:rPr>
          <w:noProof/>
          <w:lang w:eastAsia="en-GB"/>
        </w:rPr>
        <mc:AlternateContent>
          <mc:Choice Requires="wps">
            <w:drawing>
              <wp:anchor distT="0" distB="0" distL="114300" distR="114300" simplePos="0" relativeHeight="3" behindDoc="1" locked="0" layoutInCell="1" allowOverlap="1" wp14:anchorId="1417168F" wp14:editId="54C9354E">
                <wp:simplePos x="0" y="0"/>
                <wp:positionH relativeFrom="column">
                  <wp:posOffset>-57150</wp:posOffset>
                </wp:positionH>
                <wp:positionV relativeFrom="paragraph">
                  <wp:posOffset>29845</wp:posOffset>
                </wp:positionV>
                <wp:extent cx="5697220" cy="338455"/>
                <wp:effectExtent l="0" t="0" r="0" b="3810"/>
                <wp:wrapTight wrapText="bothSides">
                  <wp:wrapPolygon edited="0">
                    <wp:start x="0" y="0"/>
                    <wp:lineTo x="0" y="20629"/>
                    <wp:lineTo x="21528" y="20629"/>
                    <wp:lineTo x="21528" y="0"/>
                    <wp:lineTo x="0" y="0"/>
                  </wp:wrapPolygon>
                </wp:wrapTight>
                <wp:docPr id="3" name="Text Box 3"/>
                <wp:cNvGraphicFramePr/>
                <a:graphic xmlns:a="http://schemas.openxmlformats.org/drawingml/2006/main">
                  <a:graphicData uri="http://schemas.microsoft.com/office/word/2010/wordprocessingShape">
                    <wps:wsp>
                      <wps:cNvSpPr/>
                      <wps:spPr>
                        <a:xfrm>
                          <a:off x="0" y="0"/>
                          <a:ext cx="5696640" cy="3376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5139929" w14:textId="77777777" w:rsidR="008439A9" w:rsidRDefault="00034CC8">
                            <w:pPr>
                              <w:pStyle w:val="Caption"/>
                            </w:pPr>
                            <w:r>
                              <w:rPr>
                                <w:i/>
                                <w:sz w:val="18"/>
                              </w:rPr>
                              <w:t xml:space="preserve">Figure </w:t>
                            </w:r>
                            <w:r>
                              <w:rPr>
                                <w:i/>
                                <w:sz w:val="18"/>
                              </w:rPr>
                              <w:fldChar w:fldCharType="begin"/>
                            </w:r>
                            <w:r>
                              <w:instrText>SEQ Figure \* ARABIC</w:instrText>
                            </w:r>
                            <w:r>
                              <w:fldChar w:fldCharType="separate"/>
                            </w:r>
                            <w:r>
                              <w:t>2</w:t>
                            </w:r>
                            <w:r>
                              <w:fldChar w:fldCharType="end"/>
                            </w:r>
                            <w:r>
                              <w:rPr>
                                <w:i/>
                                <w:sz w:val="18"/>
                              </w:rPr>
                              <w:t xml:space="preserve"> Screen lines for Leeds - each line is placed over a commuter corridor in order to capture the total flow of cyclists moving in or out of the city centre</w:t>
                            </w:r>
                          </w:p>
                        </w:txbxContent>
                      </wps:txbx>
                      <wps:bodyPr lIns="0" tIns="0" rIns="0" bIns="0">
                        <a:prstTxWarp prst="textNoShape">
                          <a:avLst/>
                        </a:prstTxWarp>
                        <a:spAutoFit/>
                      </wps:bodyPr>
                    </wps:wsp>
                  </a:graphicData>
                </a:graphic>
              </wp:anchor>
            </w:drawing>
          </mc:Choice>
          <mc:Fallback>
            <w:pict>
              <v:rect w14:anchorId="1417168F" id="Text Box 3" o:spid="_x0000_s1026" style="position:absolute;left:0;text-align:left;margin-left:-4.5pt;margin-top:2.35pt;width:448.6pt;height:26.65pt;z-index:-5033164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" stroked="f">
                <v:textbox style="mso-fit-shape-to-text:t" inset="0,0,0,0">
                  <w:txbxContent>
                    <w:p w14:paraId="25139929" w14:textId="77777777" w:rsidR="008439A9" w:rsidRDefault="00034CC8">
                      <w:pPr>
                        <w:pStyle w:val="Caption"/>
                      </w:pPr>
                      <w:r>
                        <w:rPr>
                          <w:i/>
                          <w:sz w:val="18"/>
                        </w:rPr>
                        <w:t xml:space="preserve">Figure </w:t>
                      </w:r>
                      <w:r>
                        <w:rPr>
                          <w:i/>
                          <w:sz w:val="18"/>
                        </w:rPr>
                        <w:fldChar w:fldCharType="begin"/>
                      </w:r>
                      <w:r>
                        <w:instrText>SEQ Figure \* ARABIC</w:instrText>
                      </w:r>
                      <w:r>
                        <w:fldChar w:fldCharType="separate"/>
                      </w:r>
                      <w:r>
                        <w:t>2</w:t>
                      </w:r>
                      <w:r>
                        <w:fldChar w:fldCharType="end"/>
                      </w:r>
                      <w:r>
                        <w:rPr>
                          <w:i/>
                          <w:sz w:val="18"/>
                        </w:rPr>
                        <w:t xml:space="preserve"> Screen lines for Leeds - each line is placed over a commuter corridor in order to capture the total flow of cyclists moving in or out of the city centre</w:t>
                      </w:r>
                    </w:p>
                  </w:txbxContent>
                </v:textbox>
                <w10:wrap type="tight"/>
              </v:rect>
            </w:pict>
          </mc:Fallback>
        </mc:AlternateContent>
      </w:r>
    </w:p>
    <w:p w14:paraId="699128D0" w14:textId="77777777" w:rsidR="008439A9" w:rsidRDefault="00034CC8">
      <w:pPr>
        <w:pStyle w:val="Heading3"/>
      </w:pPr>
      <w:r>
        <w:t>Auto-recognition camera data</w:t>
      </w:r>
      <w:r>
        <w:tab/>
      </w:r>
    </w:p>
    <w:p w14:paraId="00D7957F" w14:textId="77777777" w:rsidR="008439A9" w:rsidRDefault="00034CC8">
      <w:r>
        <w:t xml:space="preserve">Technology can now be used to help provide higher resolution count data because cameras can now detect the shape of a cyclist. Data can be recorded for the whole day over the whole year, whereas manual methods such as the screenline method only offer data for part of the year and day. </w:t>
      </w:r>
    </w:p>
    <w:p w14:paraId="698EEC1F" w14:textId="77777777" w:rsidR="008439A9" w:rsidRDefault="00034CC8">
      <w:r>
        <w:lastRenderedPageBreak/>
        <w:t xml:space="preserve">The data collected in this study has been collected from the locations seen in figure 3. The cameras detect the number of cyclists on an hourly rate as well as the direction that they are heading. The data is freely available on the Leeds Data Mill website </w:t>
      </w:r>
      <w:hyperlink r:id="rId9">
        <w:r>
          <w:rPr>
            <w:rStyle w:val="InternetLink"/>
          </w:rPr>
          <w:t>http://leedsdatamill.org/dataset/leeds-annual-cycle-growth-</w:t>
        </w:r>
      </w:hyperlink>
      <w:r>
        <w:t xml:space="preserve">. </w:t>
      </w:r>
    </w:p>
    <w:p w14:paraId="2B0549F0" w14:textId="77777777" w:rsidR="008439A9" w:rsidRDefault="00034CC8">
      <w:pPr>
        <w:jc w:val="both"/>
      </w:pPr>
      <w:r>
        <w:rPr>
          <w:noProof/>
          <w:lang w:eastAsia="en-GB"/>
        </w:rPr>
        <w:drawing>
          <wp:anchor distT="0" distB="0" distL="114300" distR="114300" simplePos="0" relativeHeight="4" behindDoc="1" locked="0" layoutInCell="1" allowOverlap="1" wp14:anchorId="460EC482" wp14:editId="3F957A88">
            <wp:simplePos x="0" y="0"/>
            <wp:positionH relativeFrom="column">
              <wp:posOffset>57150</wp:posOffset>
            </wp:positionH>
            <wp:positionV relativeFrom="paragraph">
              <wp:posOffset>-285750</wp:posOffset>
            </wp:positionV>
            <wp:extent cx="5600700" cy="3924300"/>
            <wp:effectExtent l="0" t="0" r="0" b="0"/>
            <wp:wrapTight wrapText="bothSides">
              <wp:wrapPolygon edited="0">
                <wp:start x="-175" y="-198"/>
                <wp:lineTo x="-175" y="21674"/>
                <wp:lineTo x="21678" y="21674"/>
                <wp:lineTo x="21678" y="-198"/>
                <wp:lineTo x="-175" y="-198"/>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rcRect l="132898" t="218647" r="177318" b="207991"/>
                    <a:stretch>
                      <a:fillRect/>
                    </a:stretch>
                  </pic:blipFill>
                  <pic:spPr bwMode="auto">
                    <a:xfrm>
                      <a:off x="0" y="0"/>
                      <a:ext cx="5600700" cy="3924300"/>
                    </a:xfrm>
                    <a:prstGeom prst="rect">
                      <a:avLst/>
                    </a:prstGeom>
                    <a:noFill/>
                    <a:ln w="9525">
                      <a:noFill/>
                      <a:miter lim="800000"/>
                      <a:headEnd/>
                      <a:tailEnd/>
                    </a:ln>
                  </pic:spPr>
                </pic:pic>
              </a:graphicData>
            </a:graphic>
          </wp:anchor>
        </w:drawing>
      </w:r>
      <w:r>
        <w:rPr>
          <w:b/>
          <w:i/>
          <w:sz w:val="18"/>
          <w:szCs w:val="18"/>
        </w:rPr>
        <w:t xml:space="preserve">Figure </w:t>
      </w:r>
      <w:r>
        <w:rPr>
          <w:b/>
          <w:i/>
          <w:sz w:val="18"/>
          <w:szCs w:val="18"/>
        </w:rPr>
        <w:fldChar w:fldCharType="begin"/>
      </w:r>
      <w:r>
        <w:instrText>SEQ Figure \* ARABIC</w:instrText>
      </w:r>
      <w:r>
        <w:fldChar w:fldCharType="separate"/>
      </w:r>
      <w:r>
        <w:t>3</w:t>
      </w:r>
      <w:r>
        <w:fldChar w:fldCharType="end"/>
      </w:r>
      <w:r>
        <w:rPr>
          <w:b/>
          <w:i/>
          <w:sz w:val="18"/>
          <w:szCs w:val="18"/>
        </w:rPr>
        <w:t xml:space="preserve"> </w:t>
      </w:r>
      <w:r>
        <w:rPr>
          <w:b/>
          <w:i/>
          <w:sz w:val="18"/>
        </w:rPr>
        <w:t xml:space="preserve">the </w:t>
      </w:r>
      <w:r>
        <w:rPr>
          <w:b/>
          <w:i/>
          <w:sz w:val="18"/>
          <w:szCs w:val="18"/>
        </w:rPr>
        <w:t xml:space="preserve">location of count cameras around the city of Leeds. </w:t>
      </w:r>
    </w:p>
    <w:p w14:paraId="04F257FB" w14:textId="77777777" w:rsidR="008439A9" w:rsidRDefault="008439A9">
      <w:pPr>
        <w:pStyle w:val="EndNoteBibliography"/>
        <w:ind w:left="720" w:hanging="720"/>
        <w:jc w:val="both"/>
      </w:pPr>
    </w:p>
    <w:p w14:paraId="6025D8DA" w14:textId="77777777" w:rsidR="008439A9" w:rsidRDefault="00034CC8" w:rsidP="00D57F4C">
      <w:pPr>
        <w:pStyle w:val="Heading1"/>
      </w:pPr>
      <w:r>
        <w:t>Results</w:t>
      </w:r>
    </w:p>
    <w:p w14:paraId="26FD0487" w14:textId="77777777" w:rsidR="008439A9" w:rsidRDefault="008439A9"/>
    <w:p w14:paraId="53A38702" w14:textId="77777777" w:rsidR="008439A9" w:rsidRDefault="00034CC8" w:rsidP="00D57F4C">
      <w:pPr>
        <w:pStyle w:val="Heading2"/>
      </w:pPr>
      <w:r>
        <w:lastRenderedPageBreak/>
        <w:t>screenline</w:t>
      </w:r>
    </w:p>
    <w:p w14:paraId="437F3B02" w14:textId="77777777" w:rsidR="008439A9" w:rsidRDefault="00034CC8">
      <w:r>
        <w:rPr>
          <w:noProof/>
          <w:lang w:eastAsia="en-GB"/>
        </w:rPr>
        <w:drawing>
          <wp:inline distT="0" distB="0" distL="0" distR="0" wp14:anchorId="648A7BEF" wp14:editId="2FC1796F">
            <wp:extent cx="5731510" cy="3608070"/>
            <wp:effectExtent l="0" t="0" r="0" b="0"/>
            <wp:docPr id="6" name="Object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307890E" w14:textId="77777777" w:rsidR="008439A9" w:rsidRDefault="00034CC8">
      <w:r>
        <w:rPr>
          <w:noProof/>
          <w:lang w:eastAsia="en-GB"/>
        </w:rPr>
        <w:drawing>
          <wp:inline distT="0" distB="0" distL="0" distR="0" wp14:anchorId="2C5C6999" wp14:editId="704BD6FD">
            <wp:extent cx="5734050" cy="3038475"/>
            <wp:effectExtent l="0" t="0" r="0" b="0"/>
            <wp:docPr id="7" name="Object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321A2F2" w14:textId="77777777" w:rsidR="008439A9" w:rsidRDefault="008439A9"/>
    <w:p w14:paraId="4C74F4FC" w14:textId="77777777" w:rsidR="008439A9" w:rsidRDefault="008439A9"/>
    <w:p w14:paraId="3DE73493" w14:textId="77777777" w:rsidR="008439A9" w:rsidRDefault="00034CC8">
      <w:pPr>
        <w:pStyle w:val="EndNoteBibliography"/>
        <w:ind w:left="720" w:hanging="720"/>
        <w:jc w:val="both"/>
      </w:pPr>
      <w:r>
        <w:rPr>
          <w:rStyle w:val="CommentReference"/>
          <w:lang w:val="en-GB"/>
        </w:rPr>
        <w:commentReference w:id="20"/>
      </w:r>
    </w:p>
    <w:p w14:paraId="69D8BAC0" w14:textId="77777777" w:rsidR="008439A9" w:rsidRDefault="008439A9">
      <w:pPr>
        <w:pStyle w:val="EndNoteBibliography"/>
        <w:ind w:left="720" w:hanging="720"/>
        <w:jc w:val="both"/>
      </w:pPr>
    </w:p>
    <w:p w14:paraId="3A813F4D" w14:textId="77777777" w:rsidR="008439A9" w:rsidRDefault="008439A9">
      <w:pPr>
        <w:pStyle w:val="EndNoteBibliography"/>
        <w:ind w:left="720" w:hanging="720"/>
        <w:jc w:val="both"/>
      </w:pPr>
    </w:p>
    <w:p w14:paraId="0B6647DD" w14:textId="77777777" w:rsidR="008439A9" w:rsidRDefault="008439A9">
      <w:pPr>
        <w:pStyle w:val="EndNoteBibliography"/>
        <w:ind w:left="720" w:hanging="720"/>
        <w:jc w:val="both"/>
      </w:pPr>
    </w:p>
    <w:p w14:paraId="6DDFA96C" w14:textId="77777777" w:rsidR="008439A9" w:rsidRDefault="008439A9">
      <w:pPr>
        <w:pStyle w:val="EndNoteBibliography"/>
        <w:ind w:left="720" w:hanging="720"/>
        <w:jc w:val="both"/>
      </w:pPr>
    </w:p>
    <w:p w14:paraId="387380A8" w14:textId="77777777" w:rsidR="008439A9" w:rsidRDefault="00034CC8" w:rsidP="00D57F4C">
      <w:pPr>
        <w:pStyle w:val="Heading2"/>
      </w:pPr>
      <w:r>
        <w:t>Camera</w:t>
      </w:r>
    </w:p>
    <w:p w14:paraId="421B8094" w14:textId="77777777" w:rsidR="008439A9" w:rsidRDefault="008439A9">
      <w:pPr>
        <w:pStyle w:val="EndNoteBibliography"/>
        <w:ind w:left="720" w:hanging="720"/>
        <w:jc w:val="both"/>
      </w:pPr>
    </w:p>
    <w:p w14:paraId="3420758C" w14:textId="77777777" w:rsidR="008439A9" w:rsidRDefault="00034CC8">
      <w:pPr>
        <w:pStyle w:val="EndNoteBibliography"/>
        <w:ind w:left="720" w:hanging="720"/>
        <w:jc w:val="both"/>
      </w:pPr>
      <w:r>
        <w:rPr>
          <w:noProof/>
          <w:lang w:val="en-GB" w:eastAsia="en-GB"/>
        </w:rPr>
        <w:drawing>
          <wp:inline distT="0" distB="0" distL="0" distR="0" wp14:anchorId="2883A1E5" wp14:editId="5CE69CF1">
            <wp:extent cx="5734050" cy="2743200"/>
            <wp:effectExtent l="0" t="0" r="0" b="0"/>
            <wp:docPr id="8" name="Object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C4A5626" w14:textId="77777777" w:rsidR="008439A9" w:rsidRDefault="008439A9">
      <w:pPr>
        <w:pStyle w:val="EndNoteBibliography"/>
        <w:ind w:left="720" w:hanging="720"/>
        <w:jc w:val="both"/>
      </w:pPr>
    </w:p>
    <w:p w14:paraId="167654EF" w14:textId="0FBAD148" w:rsidR="00D57F4C" w:rsidRDefault="00D57F4C">
      <w:pPr>
        <w:pStyle w:val="EndNoteBibliography"/>
        <w:ind w:left="720" w:hanging="720"/>
        <w:jc w:val="both"/>
      </w:pPr>
      <w:r>
        <w:t>Fig. xx illustrates that it is important to take trends in cycling at the local level into account. Note that CCTV footage from point 90810</w:t>
      </w:r>
      <w:r w:rsidR="00006A6B">
        <w:t xml:space="preserve"> indicates rapid year-on-year, whereas there are steady and even declining trends for the other locations. Ideally the results should be fitted for the same year of data collection for which the model is calibrated.</w:t>
      </w:r>
    </w:p>
    <w:p w14:paraId="5EA3D43D" w14:textId="77777777" w:rsidR="00D57F4C" w:rsidRDefault="00D57F4C">
      <w:pPr>
        <w:pStyle w:val="EndNoteBibliography"/>
        <w:ind w:left="720" w:hanging="720"/>
        <w:jc w:val="both"/>
      </w:pPr>
    </w:p>
    <w:p w14:paraId="2AD7C4ED" w14:textId="77777777" w:rsidR="008439A9" w:rsidRDefault="00034CC8">
      <w:pPr>
        <w:pStyle w:val="EndNoteBibliography"/>
        <w:ind w:left="720" w:hanging="720"/>
        <w:jc w:val="both"/>
      </w:pPr>
      <w:r>
        <w:rPr>
          <w:noProof/>
          <w:lang w:val="en-GB" w:eastAsia="en-GB"/>
        </w:rPr>
        <w:lastRenderedPageBreak/>
        <w:drawing>
          <wp:inline distT="0" distB="0" distL="0" distR="0" wp14:anchorId="161F9FB9" wp14:editId="563F2B56">
            <wp:extent cx="5731510" cy="3347085"/>
            <wp:effectExtent l="0" t="0" r="0" b="0"/>
            <wp:docPr id="9" name="Object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2AA78C3" w14:textId="77777777" w:rsidR="008439A9" w:rsidRDefault="008439A9">
      <w:pPr>
        <w:pStyle w:val="EndNoteBibliography"/>
        <w:ind w:left="720" w:hanging="720"/>
        <w:jc w:val="both"/>
      </w:pPr>
    </w:p>
    <w:p w14:paraId="50E7A150" w14:textId="77777777" w:rsidR="008439A9" w:rsidRDefault="008439A9">
      <w:pPr>
        <w:pStyle w:val="EndNoteBibliography"/>
        <w:ind w:left="720" w:hanging="720"/>
        <w:jc w:val="both"/>
      </w:pPr>
    </w:p>
    <w:p w14:paraId="6124570C" w14:textId="77777777" w:rsidR="008439A9" w:rsidRDefault="008439A9">
      <w:pPr>
        <w:pStyle w:val="EndNoteBibliography"/>
        <w:ind w:left="720" w:hanging="720"/>
        <w:jc w:val="both"/>
      </w:pPr>
    </w:p>
    <w:p w14:paraId="4A2C5128" w14:textId="77777777" w:rsidR="008439A9" w:rsidRDefault="008439A9">
      <w:pPr>
        <w:pStyle w:val="EndNoteBibliography"/>
        <w:ind w:left="720" w:hanging="720"/>
        <w:jc w:val="both"/>
      </w:pPr>
    </w:p>
    <w:p w14:paraId="08F5704C" w14:textId="77777777" w:rsidR="008439A9" w:rsidRDefault="008439A9">
      <w:pPr>
        <w:pStyle w:val="EndNoteBibliography"/>
        <w:ind w:left="720" w:hanging="720"/>
        <w:jc w:val="both"/>
      </w:pPr>
    </w:p>
    <w:p w14:paraId="4AE1B720" w14:textId="77777777" w:rsidR="008439A9" w:rsidRDefault="008439A9">
      <w:pPr>
        <w:pStyle w:val="EndNoteBibliography"/>
        <w:ind w:left="720" w:hanging="720"/>
        <w:jc w:val="both"/>
      </w:pPr>
    </w:p>
    <w:p w14:paraId="503B2436" w14:textId="77777777" w:rsidR="008439A9" w:rsidRDefault="00B91665">
      <w:pPr>
        <w:pStyle w:val="Heading1"/>
        <w:pPrChange w:id="21" w:author="Robin Lovelace" w:date="2015-11-23T09:32:00Z">
          <w:pPr>
            <w:pStyle w:val="EndNoteBibliography"/>
            <w:ind w:left="720" w:hanging="720"/>
            <w:jc w:val="both"/>
          </w:pPr>
        </w:pPrChange>
      </w:pPr>
      <w:r>
        <w:t>Discussion and conclusions</w:t>
      </w:r>
    </w:p>
    <w:p w14:paraId="07E90071" w14:textId="77777777" w:rsidR="008439A9" w:rsidRDefault="008439A9">
      <w:pPr>
        <w:pStyle w:val="EndNoteBibliography"/>
        <w:ind w:left="720" w:hanging="720"/>
        <w:jc w:val="both"/>
      </w:pPr>
    </w:p>
    <w:p w14:paraId="10C293D8" w14:textId="77777777" w:rsidR="008439A9" w:rsidRDefault="008439A9">
      <w:pPr>
        <w:pStyle w:val="EndNoteBibliography"/>
        <w:ind w:left="720" w:hanging="720"/>
        <w:jc w:val="both"/>
      </w:pPr>
    </w:p>
    <w:p w14:paraId="13AE8011" w14:textId="77777777" w:rsidR="008439A9" w:rsidRDefault="008439A9">
      <w:pPr>
        <w:pStyle w:val="EndNoteBibliography"/>
        <w:ind w:left="720" w:hanging="720"/>
        <w:jc w:val="both"/>
      </w:pPr>
    </w:p>
    <w:p w14:paraId="2873C14D" w14:textId="77777777" w:rsidR="008439A9" w:rsidRDefault="008439A9">
      <w:pPr>
        <w:pStyle w:val="EndNoteBibliography"/>
        <w:ind w:left="720" w:hanging="720"/>
        <w:jc w:val="both"/>
      </w:pPr>
    </w:p>
    <w:p w14:paraId="7BCB787E" w14:textId="77777777" w:rsidR="008439A9" w:rsidRDefault="008439A9">
      <w:pPr>
        <w:pStyle w:val="EndNoteBibliography"/>
        <w:ind w:left="720" w:hanging="720"/>
        <w:jc w:val="both"/>
      </w:pPr>
    </w:p>
    <w:p w14:paraId="47DA6B97" w14:textId="77777777" w:rsidR="008439A9" w:rsidRDefault="008439A9">
      <w:pPr>
        <w:pStyle w:val="EndNoteBibliography"/>
        <w:ind w:left="720" w:hanging="720"/>
        <w:jc w:val="both"/>
      </w:pPr>
    </w:p>
    <w:p w14:paraId="215E5666" w14:textId="77777777" w:rsidR="008439A9" w:rsidRDefault="008439A9">
      <w:pPr>
        <w:pStyle w:val="EndNoteBibliography"/>
        <w:ind w:left="720" w:hanging="720"/>
        <w:jc w:val="both"/>
      </w:pPr>
    </w:p>
    <w:p w14:paraId="3B255907" w14:textId="77777777" w:rsidR="008439A9" w:rsidRDefault="008439A9">
      <w:pPr>
        <w:pStyle w:val="EndNoteBibliography"/>
        <w:ind w:left="720" w:hanging="720"/>
        <w:jc w:val="both"/>
      </w:pPr>
    </w:p>
    <w:p w14:paraId="22D53072" w14:textId="77777777" w:rsidR="008439A9" w:rsidRDefault="008439A9">
      <w:pPr>
        <w:pStyle w:val="EndNoteBibliography"/>
        <w:ind w:left="720" w:hanging="720"/>
        <w:jc w:val="both"/>
      </w:pPr>
    </w:p>
    <w:p w14:paraId="67B04327" w14:textId="77777777" w:rsidR="008439A9" w:rsidRDefault="008439A9">
      <w:pPr>
        <w:pStyle w:val="EndNoteBibliography"/>
        <w:ind w:left="720" w:hanging="720"/>
        <w:jc w:val="both"/>
      </w:pPr>
    </w:p>
    <w:p w14:paraId="700D22C8" w14:textId="77777777" w:rsidR="008439A9" w:rsidRDefault="008439A9">
      <w:pPr>
        <w:pStyle w:val="EndNoteBibliography"/>
        <w:ind w:left="720" w:hanging="720"/>
        <w:jc w:val="both"/>
      </w:pPr>
    </w:p>
    <w:p w14:paraId="42FC36E9" w14:textId="77777777" w:rsidR="008439A9" w:rsidRDefault="008439A9">
      <w:pPr>
        <w:pStyle w:val="EndNoteBibliography"/>
        <w:ind w:left="720" w:hanging="720"/>
        <w:jc w:val="both"/>
      </w:pPr>
    </w:p>
    <w:p w14:paraId="60D363FB" w14:textId="77777777" w:rsidR="008439A9" w:rsidRDefault="008439A9">
      <w:pPr>
        <w:pStyle w:val="EndNoteBibliography"/>
        <w:ind w:left="720" w:hanging="720"/>
        <w:jc w:val="both"/>
      </w:pPr>
    </w:p>
    <w:p w14:paraId="28AF7E22" w14:textId="77777777" w:rsidR="008439A9" w:rsidRDefault="008439A9">
      <w:pPr>
        <w:pStyle w:val="EndNoteBibliography"/>
        <w:ind w:left="720" w:hanging="720"/>
        <w:jc w:val="both"/>
      </w:pPr>
    </w:p>
    <w:p w14:paraId="6F86B20B" w14:textId="77777777" w:rsidR="008439A9" w:rsidRDefault="008439A9">
      <w:pPr>
        <w:pStyle w:val="EndNoteBibliography"/>
        <w:ind w:left="720" w:hanging="720"/>
        <w:jc w:val="both"/>
      </w:pPr>
    </w:p>
    <w:p w14:paraId="1D694C14" w14:textId="77777777" w:rsidR="008439A9" w:rsidRDefault="008439A9">
      <w:pPr>
        <w:pStyle w:val="EndNoteBibliography"/>
        <w:ind w:left="720" w:hanging="720"/>
        <w:jc w:val="both"/>
      </w:pPr>
    </w:p>
    <w:p w14:paraId="6B986D4F" w14:textId="77777777" w:rsidR="008439A9" w:rsidRDefault="008439A9">
      <w:pPr>
        <w:pStyle w:val="EndNoteBibliography"/>
        <w:ind w:left="720" w:hanging="720"/>
        <w:jc w:val="both"/>
      </w:pPr>
    </w:p>
    <w:p w14:paraId="51A66BEE" w14:textId="77777777" w:rsidR="008439A9" w:rsidRDefault="008439A9">
      <w:pPr>
        <w:pStyle w:val="EndNoteBibliography"/>
        <w:ind w:left="720" w:hanging="720"/>
        <w:jc w:val="both"/>
      </w:pPr>
    </w:p>
    <w:p w14:paraId="78876997" w14:textId="74658479" w:rsidR="008439A9" w:rsidRDefault="00006A6B" w:rsidP="00D57F4C">
      <w:pPr>
        <w:pStyle w:val="Heading2"/>
      </w:pPr>
      <w:r>
        <w:t>References</w:t>
      </w:r>
      <w:r w:rsidR="00034CC8">
        <w:t xml:space="preserve"> </w:t>
      </w:r>
    </w:p>
    <w:p w14:paraId="7DEAC7C7" w14:textId="77777777" w:rsidR="008439A9" w:rsidRDefault="008439A9">
      <w:pPr>
        <w:pStyle w:val="EndNoteBibliography"/>
        <w:ind w:left="720" w:hanging="720"/>
        <w:jc w:val="both"/>
      </w:pPr>
    </w:p>
    <w:p w14:paraId="32FF1C4C" w14:textId="77777777" w:rsidR="008439A9" w:rsidRDefault="00034CC8">
      <w:pPr>
        <w:pStyle w:val="EndNoteBibliography"/>
        <w:ind w:left="720" w:hanging="720"/>
      </w:pPr>
      <w:r>
        <w:fldChar w:fldCharType="begin"/>
      </w:r>
      <w:r>
        <w:instrText>ADDIN EN.REFLIST</w:instrText>
      </w:r>
      <w:r>
        <w:fldChar w:fldCharType="separate"/>
      </w:r>
      <w:bookmarkStart w:id="22" w:name="__Fieldmark__242_757989060"/>
      <w:r>
        <w:t>A</w:t>
      </w:r>
      <w:bookmarkStart w:id="23" w:name="__Fieldmark__221_2032961859"/>
      <w:r>
        <w:t xml:space="preserve">nderson, M. P. &amp; Woessner, W. W. 1992. The role of the postaudit in model validaiton. </w:t>
      </w:r>
      <w:r>
        <w:rPr>
          <w:i/>
        </w:rPr>
        <w:t>Advances in Water Resources,</w:t>
      </w:r>
      <w:r>
        <w:t xml:space="preserve"> 15</w:t>
      </w:r>
      <w:r>
        <w:rPr>
          <w:b/>
        </w:rPr>
        <w:t>,</w:t>
      </w:r>
      <w:r>
        <w:t xml:space="preserve"> 16-173.</w:t>
      </w:r>
      <w:bookmarkEnd w:id="22"/>
      <w:bookmarkEnd w:id="23"/>
      <w:r>
        <w:fldChar w:fldCharType="end"/>
      </w:r>
    </w:p>
    <w:p w14:paraId="7FED64F3" w14:textId="77777777" w:rsidR="008439A9" w:rsidRDefault="00034CC8">
      <w:pPr>
        <w:pStyle w:val="EndNoteBibliography"/>
        <w:ind w:left="720" w:hanging="720"/>
      </w:pPr>
      <w:r>
        <w:t xml:space="preserve">Broach, J., Dill, J. &amp; Gliebe, J. 2012. Where do cyclists ride? A route choice model developed with revealed preference GPS data. </w:t>
      </w:r>
      <w:r>
        <w:rPr>
          <w:i/>
        </w:rPr>
        <w:t>Transportation Research Part A: Policy and Practice,</w:t>
      </w:r>
      <w:r>
        <w:t xml:space="preserve"> 46</w:t>
      </w:r>
      <w:r>
        <w:rPr>
          <w:b/>
        </w:rPr>
        <w:t>,</w:t>
      </w:r>
      <w:r>
        <w:t xml:space="preserve"> 1730-1740.</w:t>
      </w:r>
    </w:p>
    <w:p w14:paraId="5146BA35" w14:textId="77777777" w:rsidR="008439A9" w:rsidRDefault="00034CC8">
      <w:pPr>
        <w:pStyle w:val="EndNoteBibliography"/>
        <w:ind w:left="720" w:hanging="720"/>
      </w:pPr>
      <w:r>
        <w:t xml:space="preserve">Dill, J. &amp; Carr, T. 2003. Bicycle Communting and Facilities in Major U.S. Cities. </w:t>
      </w:r>
      <w:r>
        <w:rPr>
          <w:i/>
        </w:rPr>
        <w:t>Transportation Research Record,</w:t>
      </w:r>
      <w:r>
        <w:t xml:space="preserve"> 1828</w:t>
      </w:r>
      <w:r>
        <w:rPr>
          <w:b/>
        </w:rPr>
        <w:t>,</w:t>
      </w:r>
      <w:r>
        <w:t xml:space="preserve"> 116-123.</w:t>
      </w:r>
    </w:p>
    <w:p w14:paraId="21626DE1" w14:textId="77777777" w:rsidR="008439A9" w:rsidRDefault="00034CC8">
      <w:pPr>
        <w:pStyle w:val="EndNoteBibliography"/>
        <w:ind w:left="720" w:hanging="720"/>
      </w:pPr>
      <w:r>
        <w:t xml:space="preserve">Ehrgott, M., Wang, J. Y. T., Raith, A. &amp; van Houtte, C. 2012. A bi-objective cyclist route choice model. </w:t>
      </w:r>
      <w:r>
        <w:rPr>
          <w:i/>
        </w:rPr>
        <w:t>Transportation Research Part A: Policy and Practice,</w:t>
      </w:r>
      <w:r>
        <w:t xml:space="preserve"> 46</w:t>
      </w:r>
      <w:r>
        <w:rPr>
          <w:b/>
        </w:rPr>
        <w:t>,</w:t>
      </w:r>
      <w:r>
        <w:t xml:space="preserve"> 652-663.</w:t>
      </w:r>
    </w:p>
    <w:p w14:paraId="581E166C" w14:textId="77777777" w:rsidR="008439A9" w:rsidRDefault="00034CC8">
      <w:pPr>
        <w:pStyle w:val="EndNoteBibliography"/>
        <w:ind w:left="720" w:hanging="720"/>
      </w:pPr>
      <w:r>
        <w:t xml:space="preserve">Hollingworth, M. A., Harper, A. J. L. &amp; Hamer, M. 2015. Risk factors for cycling accident related injury: The UK Cycling for Health Survey. </w:t>
      </w:r>
      <w:r>
        <w:rPr>
          <w:i/>
        </w:rPr>
        <w:t>Journal of Transport &amp; Health,</w:t>
      </w:r>
      <w:r>
        <w:t xml:space="preserve"> 2</w:t>
      </w:r>
      <w:r>
        <w:rPr>
          <w:b/>
        </w:rPr>
        <w:t>,</w:t>
      </w:r>
      <w:r>
        <w:t xml:space="preserve"> 189-194.</w:t>
      </w:r>
    </w:p>
    <w:p w14:paraId="154F043B" w14:textId="77777777" w:rsidR="008439A9" w:rsidRDefault="00034CC8">
      <w:pPr>
        <w:pStyle w:val="EndNoteBibliography"/>
        <w:ind w:left="720" w:hanging="720"/>
      </w:pPr>
      <w:r>
        <w:t xml:space="preserve">Krizek, K. J., El-Geneidy, A. &amp; Thompson, K. 2007. A detailed analysis of how an urban trail system affects cyclists' travel. </w:t>
      </w:r>
      <w:r>
        <w:rPr>
          <w:i/>
        </w:rPr>
        <w:t>Transportation,</w:t>
      </w:r>
      <w:r>
        <w:t xml:space="preserve"> 34</w:t>
      </w:r>
      <w:r>
        <w:rPr>
          <w:b/>
        </w:rPr>
        <w:t>,</w:t>
      </w:r>
      <w:r>
        <w:t xml:space="preserve"> 611-624.</w:t>
      </w:r>
    </w:p>
    <w:p w14:paraId="1361FA7E" w14:textId="77777777" w:rsidR="008439A9" w:rsidRDefault="00034CC8">
      <w:pPr>
        <w:pStyle w:val="EndNoteBibliography"/>
        <w:ind w:left="720" w:hanging="720"/>
      </w:pPr>
      <w:r>
        <w:t xml:space="preserve">Larsen, J., Patterson, Z. &amp; El-Geneidy, A. 2013. Build It. But Where? The Use of Geographic Information Systems in Identifying Locations for New Cycling Infrastructure. </w:t>
      </w:r>
      <w:r>
        <w:rPr>
          <w:i/>
        </w:rPr>
        <w:t>International Journal of Sustainable Transportation,</w:t>
      </w:r>
      <w:r>
        <w:t xml:space="preserve"> 7</w:t>
      </w:r>
      <w:r>
        <w:rPr>
          <w:b/>
        </w:rPr>
        <w:t>,</w:t>
      </w:r>
      <w:r>
        <w:t xml:space="preserve"> 299-317.</w:t>
      </w:r>
    </w:p>
    <w:p w14:paraId="30D369F3" w14:textId="77777777" w:rsidR="008439A9" w:rsidRDefault="00034CC8">
      <w:pPr>
        <w:pStyle w:val="EndNoteBibliography"/>
        <w:ind w:left="720" w:hanging="720"/>
      </w:pPr>
      <w:r>
        <w:lastRenderedPageBreak/>
        <w:t xml:space="preserve">Menghini, G., Carrasco, N., Schüssler, N. &amp; Axhausen, K. W. 2010. Route choice of cyclists in Zurich. </w:t>
      </w:r>
      <w:r>
        <w:rPr>
          <w:i/>
        </w:rPr>
        <w:t>Transportation Research Part A: Policy and Practice,</w:t>
      </w:r>
      <w:r>
        <w:t xml:space="preserve"> 44</w:t>
      </w:r>
      <w:r>
        <w:rPr>
          <w:b/>
        </w:rPr>
        <w:t>,</w:t>
      </w:r>
      <w:r>
        <w:t xml:space="preserve"> 754-765.</w:t>
      </w:r>
    </w:p>
    <w:p w14:paraId="39944F44" w14:textId="77777777" w:rsidR="008439A9" w:rsidRDefault="00034CC8">
      <w:pPr>
        <w:pStyle w:val="EndNoteBibliography"/>
        <w:ind w:left="720" w:hanging="720"/>
      </w:pPr>
      <w:r>
        <w:t xml:space="preserve">Nicolaisen, M. S. &amp; Driscoll, P. A. 2014. Ex-PostEvaluations of Demand Forecast Accuracy: A Literature Review. </w:t>
      </w:r>
      <w:r>
        <w:rPr>
          <w:i/>
        </w:rPr>
        <w:t>Transport Reviews,</w:t>
      </w:r>
      <w:r>
        <w:t xml:space="preserve"> 34</w:t>
      </w:r>
      <w:r>
        <w:rPr>
          <w:b/>
        </w:rPr>
        <w:t>,</w:t>
      </w:r>
      <w:r>
        <w:t xml:space="preserve"> 540-557.</w:t>
      </w:r>
    </w:p>
    <w:p w14:paraId="09B1C231" w14:textId="77777777" w:rsidR="008439A9" w:rsidRDefault="00034CC8">
      <w:pPr>
        <w:pStyle w:val="EndNoteBibliography"/>
        <w:ind w:left="720" w:hanging="720"/>
      </w:pPr>
      <w:r>
        <w:t xml:space="preserve">Reynolds, C. C., Harris, M. A., Teschke, K., Cripton, P. A. &amp; Winters, M. 2009. The impact of transportation infrastructure on bicycling injuries and crashes: a review of the literature. </w:t>
      </w:r>
      <w:r>
        <w:rPr>
          <w:i/>
        </w:rPr>
        <w:t>Environ Health,</w:t>
      </w:r>
      <w:r>
        <w:t xml:space="preserve"> 8</w:t>
      </w:r>
      <w:r>
        <w:rPr>
          <w:b/>
        </w:rPr>
        <w:t>,</w:t>
      </w:r>
      <w:r>
        <w:t xml:space="preserve"> 47.</w:t>
      </w:r>
    </w:p>
    <w:p w14:paraId="03738727" w14:textId="77777777" w:rsidR="008439A9" w:rsidRDefault="008439A9">
      <w:pPr>
        <w:jc w:val="both"/>
      </w:pPr>
    </w:p>
    <w:p w14:paraId="0214A33C" w14:textId="77777777" w:rsidR="008439A9" w:rsidRDefault="00034CC8">
      <w:pPr>
        <w:pStyle w:val="Heading4"/>
        <w:spacing w:before="0" w:after="0" w:line="360" w:lineRule="atLeast"/>
        <w:jc w:val="both"/>
        <w:rPr>
          <w:rFonts w:ascii="Segoe UI" w:hAnsi="Segoe UI" w:cs="Segoe UI"/>
          <w:b w:val="0"/>
          <w:bCs w:val="0"/>
          <w:color w:val="000000"/>
          <w:sz w:val="21"/>
          <w:szCs w:val="21"/>
        </w:rPr>
      </w:pPr>
      <w:r>
        <w:rPr>
          <w:rFonts w:ascii="Segoe UI" w:hAnsi="Segoe UI" w:cs="Segoe UI"/>
          <w:b w:val="0"/>
          <w:bCs w:val="0"/>
          <w:color w:val="000000"/>
          <w:sz w:val="21"/>
          <w:szCs w:val="21"/>
        </w:rPr>
        <w:t>Leeds Data Mill (2015).</w:t>
      </w:r>
      <w:r>
        <w:rPr>
          <w:rStyle w:val="apple-converted-space"/>
          <w:rFonts w:ascii="Segoe UI" w:hAnsi="Segoe UI" w:cs="Segoe UI"/>
          <w:b w:val="0"/>
          <w:bCs w:val="0"/>
          <w:color w:val="000000"/>
          <w:sz w:val="21"/>
          <w:szCs w:val="21"/>
        </w:rPr>
        <w:t> </w:t>
      </w:r>
      <w:r>
        <w:rPr>
          <w:rFonts w:ascii="Segoe UI" w:hAnsi="Segoe UI" w:cs="Segoe UI"/>
          <w:b w:val="0"/>
          <w:bCs w:val="0"/>
          <w:i/>
          <w:iCs w:val="0"/>
          <w:color w:val="000000"/>
          <w:sz w:val="21"/>
          <w:szCs w:val="21"/>
        </w:rPr>
        <w:t>Cycling accidents in Leeds | ODI Leeds | Publishers</w:t>
      </w:r>
      <w:r>
        <w:rPr>
          <w:rFonts w:ascii="Segoe UI" w:hAnsi="Segoe UI" w:cs="Segoe UI"/>
          <w:b w:val="0"/>
          <w:bCs w:val="0"/>
          <w:color w:val="000000"/>
          <w:sz w:val="21"/>
          <w:szCs w:val="21"/>
        </w:rPr>
        <w:t>. [online] Available at: http://leedsdatamill.org/dataset/cycling-accidents-in-leeds [Accessed 10 Nov. 2015].</w:t>
      </w:r>
    </w:p>
    <w:p w14:paraId="6CC6F3E2" w14:textId="77777777" w:rsidR="008439A9" w:rsidRDefault="008439A9">
      <w:pPr>
        <w:jc w:val="both"/>
      </w:pPr>
    </w:p>
    <w:sectPr w:rsidR="008439A9">
      <w:pgSz w:w="11906" w:h="16838"/>
      <w:pgMar w:top="1440" w:right="1440" w:bottom="1440" w:left="1440" w:header="0" w:footer="0" w:gutter="0"/>
      <w:cols w:space="720"/>
      <w:formProt w:val="0"/>
      <w:docGrid w:linePitch="360"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Robin Lovelace" w:date="2015-11-23T09:19:00Z" w:initials="RL">
    <w:p w14:paraId="0BA6D852" w14:textId="77777777" w:rsidR="00F7028D" w:rsidRDefault="00F7028D">
      <w:pPr>
        <w:pStyle w:val="CommentText"/>
      </w:pPr>
      <w:r>
        <w:rPr>
          <w:rStyle w:val="CommentReference"/>
        </w:rPr>
        <w:annotationRef/>
      </w:r>
      <w:r>
        <w:t>Any ideas of a reference here?</w:t>
      </w:r>
    </w:p>
  </w:comment>
  <w:comment w:id="17" w:author="Robin Lovelace" w:date="2015-11-23T09:35:00Z" w:initials="RL">
    <w:p w14:paraId="536489E8" w14:textId="3B9EE906" w:rsidR="00034CC8" w:rsidRDefault="00034CC8">
      <w:pPr>
        <w:pStyle w:val="CommentText"/>
      </w:pPr>
      <w:r>
        <w:rPr>
          <w:rStyle w:val="CommentReference"/>
        </w:rPr>
        <w:annotationRef/>
      </w:r>
      <w:r>
        <w:t>In this section I think 3 short but reference-packed paragraphs on validation in transport modelling should be sufficient.</w:t>
      </w:r>
      <w:r w:rsidR="00D57F4C">
        <w:t xml:space="preserve"> Pull the stuff on Raster methods from Larsen.</w:t>
      </w:r>
    </w:p>
  </w:comment>
  <w:comment w:id="20" w:author="Robin Lovelace" w:date="2015-11-23T09:36:00Z" w:initials="RL">
    <w:p w14:paraId="16ADC5DE" w14:textId="762D0D49" w:rsidR="00034CC8" w:rsidRDefault="00034CC8">
      <w:pPr>
        <w:pStyle w:val="CommentText"/>
      </w:pPr>
      <w:r>
        <w:rPr>
          <w:rStyle w:val="CommentReference"/>
        </w:rPr>
        <w:annotationRef/>
      </w:r>
      <w:r>
        <w:t>Add captions and narrative for each of these figures.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A6D852" w15:done="0"/>
  <w15:commentEx w15:paraId="536489E8" w15:done="0"/>
  <w15:commentEx w15:paraId="16ADC5D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0"/>
    <w:family w:val="auto"/>
    <w:pitch w:val="variable"/>
    <w:sig w:usb0="800000AF" w:usb1="1001ECEA"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354BAF"/>
    <w:multiLevelType w:val="hybridMultilevel"/>
    <w:tmpl w:val="7CEAB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in Lovelace">
    <w15:presenceInfo w15:providerId="AD" w15:userId="S-1-5-21-1390067357-1993962763-725345543-4348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9A9"/>
    <w:rsid w:val="00006A6B"/>
    <w:rsid w:val="00034CC8"/>
    <w:rsid w:val="00224412"/>
    <w:rsid w:val="008439A9"/>
    <w:rsid w:val="00B91665"/>
    <w:rsid w:val="00D57F4C"/>
    <w:rsid w:val="00F7028D"/>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33533"/>
  <w15:docId w15:val="{7FADCDE1-1469-4865-B4B4-0A7DE56C6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Cs w:val="24"/>
        <w:lang w:val="en-GB"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264E"/>
    <w:pPr>
      <w:suppressAutoHyphens/>
      <w:spacing w:before="120"/>
    </w:pPr>
    <w:rPr>
      <w:color w:val="00000A"/>
      <w:sz w:val="24"/>
    </w:rPr>
  </w:style>
  <w:style w:type="paragraph" w:styleId="Heading1">
    <w:name w:val="heading 1"/>
    <w:basedOn w:val="Normal"/>
    <w:next w:val="Normal"/>
    <w:link w:val="Heading1Char"/>
    <w:autoRedefine/>
    <w:uiPriority w:val="9"/>
    <w:qFormat/>
    <w:rsid w:val="00D57F4C"/>
    <w:pPr>
      <w:keepNext/>
      <w:keepLines/>
      <w:outlineLvl w:val="0"/>
    </w:pPr>
    <w:rPr>
      <w:rFonts w:eastAsiaTheme="majorEastAsia"/>
      <w:b/>
      <w:bCs/>
      <w:sz w:val="36"/>
      <w:szCs w:val="28"/>
    </w:rPr>
  </w:style>
  <w:style w:type="paragraph" w:styleId="Heading2">
    <w:name w:val="heading 2"/>
    <w:basedOn w:val="Normal"/>
    <w:next w:val="Normal"/>
    <w:link w:val="Heading2Char"/>
    <w:autoRedefine/>
    <w:uiPriority w:val="9"/>
    <w:unhideWhenUsed/>
    <w:qFormat/>
    <w:rsid w:val="00D57F4C"/>
    <w:pPr>
      <w:keepNext/>
      <w:keepLines/>
      <w:spacing w:before="240" w:after="120"/>
      <w:jc w:val="both"/>
      <w:outlineLvl w:val="1"/>
      <w:pPrChange w:id="0" w:author="Robin Lovelace" w:date="2015-11-25T16:39:00Z">
        <w:pPr>
          <w:keepNext/>
          <w:keepLines/>
          <w:suppressAutoHyphens/>
          <w:spacing w:before="240" w:after="120" w:line="276" w:lineRule="auto"/>
          <w:jc w:val="both"/>
          <w:outlineLvl w:val="1"/>
        </w:pPr>
      </w:pPrChange>
    </w:pPr>
    <w:rPr>
      <w:rFonts w:eastAsiaTheme="majorEastAsia"/>
      <w:b/>
      <w:bCs/>
      <w:sz w:val="28"/>
      <w:szCs w:val="26"/>
      <w:rPrChange w:id="0" w:author="Robin Lovelace" w:date="2015-11-25T16:39:00Z">
        <w:rPr>
          <w:rFonts w:ascii="Arial" w:eastAsiaTheme="majorEastAsia" w:hAnsi="Arial" w:cs="Arial"/>
          <w:b/>
          <w:bCs/>
          <w:color w:val="00000A"/>
          <w:sz w:val="28"/>
          <w:szCs w:val="26"/>
          <w:lang w:val="en-GB" w:eastAsia="en-US" w:bidi="ar-SA"/>
        </w:rPr>
      </w:rPrChange>
    </w:rPr>
  </w:style>
  <w:style w:type="paragraph" w:styleId="Heading3">
    <w:name w:val="heading 3"/>
    <w:basedOn w:val="Normal"/>
    <w:next w:val="Normal"/>
    <w:link w:val="Heading3Char"/>
    <w:autoRedefine/>
    <w:uiPriority w:val="9"/>
    <w:unhideWhenUsed/>
    <w:qFormat/>
    <w:rsid w:val="00EB66B1"/>
    <w:pPr>
      <w:keepNext/>
      <w:keepLines/>
      <w:spacing w:before="240" w:after="120"/>
      <w:outlineLvl w:val="2"/>
    </w:pPr>
    <w:rPr>
      <w:rFonts w:eastAsiaTheme="majorEastAsia"/>
      <w:b/>
      <w:bCs/>
    </w:rPr>
  </w:style>
  <w:style w:type="paragraph" w:styleId="Heading4">
    <w:name w:val="heading 4"/>
    <w:basedOn w:val="Normal"/>
    <w:next w:val="Normal"/>
    <w:link w:val="Heading4Char"/>
    <w:autoRedefine/>
    <w:uiPriority w:val="9"/>
    <w:unhideWhenUsed/>
    <w:qFormat/>
    <w:rsid w:val="00EB66B1"/>
    <w:pPr>
      <w:keepNext/>
      <w:keepLines/>
      <w:spacing w:before="240" w:after="120"/>
      <w:outlineLvl w:val="3"/>
    </w:pPr>
    <w:rPr>
      <w:rFonts w:eastAsiaTheme="majorEastAsia"/>
      <w:b/>
      <w:bCs/>
      <w:iCs/>
    </w:rPr>
  </w:style>
  <w:style w:type="paragraph" w:styleId="Heading5">
    <w:name w:val="heading 5"/>
    <w:basedOn w:val="Normal"/>
    <w:next w:val="Normal"/>
    <w:link w:val="Heading5Char"/>
    <w:autoRedefine/>
    <w:uiPriority w:val="9"/>
    <w:unhideWhenUsed/>
    <w:qFormat/>
    <w:rsid w:val="00273123"/>
    <w:pPr>
      <w:keepNext/>
      <w:keepLines/>
      <w:spacing w:before="240" w:after="120"/>
      <w:outlineLvl w:val="4"/>
    </w:pPr>
    <w:rPr>
      <w:rFonts w:eastAsiaTheme="majorEastAsia"/>
      <w:b/>
    </w:rPr>
  </w:style>
  <w:style w:type="paragraph" w:styleId="Heading6">
    <w:name w:val="heading 6"/>
    <w:basedOn w:val="Normal"/>
    <w:next w:val="Normal"/>
    <w:link w:val="Heading6Char"/>
    <w:uiPriority w:val="9"/>
    <w:unhideWhenUsed/>
    <w:qFormat/>
    <w:rsid w:val="006F163E"/>
    <w:pPr>
      <w:keepNext/>
      <w:keepLines/>
      <w:spacing w:before="240" w:after="120"/>
      <w:outlineLvl w:val="5"/>
    </w:pPr>
    <w:rPr>
      <w:rFonts w:eastAsiaTheme="majorEastAsia"/>
      <w:b/>
      <w:iCs/>
    </w:rPr>
  </w:style>
  <w:style w:type="paragraph" w:styleId="Heading7">
    <w:name w:val="heading 7"/>
    <w:basedOn w:val="Normal"/>
    <w:next w:val="Normal"/>
    <w:link w:val="Heading7Char"/>
    <w:uiPriority w:val="9"/>
    <w:unhideWhenUsed/>
    <w:qFormat/>
    <w:rsid w:val="006F163E"/>
    <w:pPr>
      <w:keepNext/>
      <w:keepLines/>
      <w:spacing w:before="240" w:after="120"/>
      <w:outlineLvl w:val="6"/>
    </w:pPr>
    <w:rPr>
      <w:rFonts w:eastAsiaTheme="majorEastAsia" w:cstheme="majorBidi"/>
      <w:b/>
      <w:i/>
      <w:iCs/>
    </w:rPr>
  </w:style>
  <w:style w:type="paragraph" w:styleId="Heading8">
    <w:name w:val="heading 8"/>
    <w:basedOn w:val="Normal"/>
    <w:next w:val="Normal"/>
    <w:link w:val="Heading8Char"/>
    <w:uiPriority w:val="9"/>
    <w:unhideWhenUsed/>
    <w:qFormat/>
    <w:rsid w:val="006F163E"/>
    <w:pPr>
      <w:keepNext/>
      <w:keepLines/>
      <w:spacing w:before="240" w:after="120"/>
      <w:outlineLvl w:val="7"/>
    </w:pPr>
    <w:rPr>
      <w:rFonts w:eastAsiaTheme="majorEastAsia" w:cstheme="majorBidi"/>
      <w:szCs w:val="20"/>
    </w:rPr>
  </w:style>
  <w:style w:type="paragraph" w:styleId="Heading9">
    <w:name w:val="heading 9"/>
    <w:basedOn w:val="Normal"/>
    <w:next w:val="Normal"/>
    <w:link w:val="Heading9Char"/>
    <w:uiPriority w:val="9"/>
    <w:unhideWhenUsed/>
    <w:qFormat/>
    <w:rsid w:val="006F163E"/>
    <w:pPr>
      <w:keepNext/>
      <w:keepLines/>
      <w:spacing w:before="240" w:after="120"/>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headingChar">
    <w:name w:val="Subheading Char"/>
    <w:basedOn w:val="DefaultParagraphFont"/>
    <w:link w:val="Subheading"/>
    <w:qFormat/>
    <w:rsid w:val="00E209F2"/>
    <w:rPr>
      <w:rFonts w:ascii="Arial" w:hAnsi="Arial" w:cs="Arial"/>
      <w:b/>
      <w:sz w:val="28"/>
    </w:rPr>
  </w:style>
  <w:style w:type="character" w:customStyle="1" w:styleId="TitleChar">
    <w:name w:val="Title Char"/>
    <w:basedOn w:val="DefaultParagraphFont"/>
    <w:link w:val="Title"/>
    <w:uiPriority w:val="10"/>
    <w:qFormat/>
    <w:rsid w:val="005B0D14"/>
    <w:rPr>
      <w:rFonts w:eastAsiaTheme="majorEastAsia"/>
      <w:b/>
      <w:spacing w:val="5"/>
      <w:sz w:val="36"/>
      <w:szCs w:val="52"/>
    </w:rPr>
  </w:style>
  <w:style w:type="character" w:customStyle="1" w:styleId="SubtitleChar">
    <w:name w:val="Subtitle Char"/>
    <w:basedOn w:val="DefaultParagraphFont"/>
    <w:link w:val="Subtitle"/>
    <w:uiPriority w:val="11"/>
    <w:qFormat/>
    <w:rsid w:val="00EB66B1"/>
    <w:rPr>
      <w:rFonts w:ascii="Arial" w:eastAsiaTheme="majorEastAsia" w:hAnsi="Arial" w:cs="Arial"/>
      <w:iCs/>
      <w:spacing w:val="15"/>
      <w:sz w:val="28"/>
      <w:szCs w:val="24"/>
    </w:rPr>
  </w:style>
  <w:style w:type="character" w:customStyle="1" w:styleId="Heading1Char">
    <w:name w:val="Heading 1 Char"/>
    <w:basedOn w:val="DefaultParagraphFont"/>
    <w:link w:val="Heading1"/>
    <w:uiPriority w:val="9"/>
    <w:qFormat/>
    <w:rsid w:val="00D57F4C"/>
    <w:rPr>
      <w:rFonts w:eastAsiaTheme="majorEastAsia"/>
      <w:b/>
      <w:bCs/>
      <w:color w:val="00000A"/>
      <w:sz w:val="36"/>
      <w:szCs w:val="28"/>
    </w:rPr>
  </w:style>
  <w:style w:type="character" w:customStyle="1" w:styleId="Heading2Char">
    <w:name w:val="Heading 2 Char"/>
    <w:basedOn w:val="DefaultParagraphFont"/>
    <w:link w:val="Heading2"/>
    <w:uiPriority w:val="9"/>
    <w:qFormat/>
    <w:rsid w:val="00D57F4C"/>
    <w:rPr>
      <w:rFonts w:eastAsiaTheme="majorEastAsia"/>
      <w:b/>
      <w:bCs/>
      <w:color w:val="00000A"/>
      <w:sz w:val="28"/>
      <w:szCs w:val="26"/>
    </w:rPr>
  </w:style>
  <w:style w:type="character" w:customStyle="1" w:styleId="Heading3Char">
    <w:name w:val="Heading 3 Char"/>
    <w:basedOn w:val="DefaultParagraphFont"/>
    <w:link w:val="Heading3"/>
    <w:uiPriority w:val="9"/>
    <w:qFormat/>
    <w:rsid w:val="00EB66B1"/>
    <w:rPr>
      <w:rFonts w:ascii="Arial" w:eastAsiaTheme="majorEastAsia" w:hAnsi="Arial" w:cs="Arial"/>
      <w:b/>
      <w:bCs/>
      <w:sz w:val="24"/>
    </w:rPr>
  </w:style>
  <w:style w:type="character" w:customStyle="1" w:styleId="Heading4Char">
    <w:name w:val="Heading 4 Char"/>
    <w:basedOn w:val="DefaultParagraphFont"/>
    <w:link w:val="Heading4"/>
    <w:uiPriority w:val="9"/>
    <w:qFormat/>
    <w:rsid w:val="00EB66B1"/>
    <w:rPr>
      <w:rFonts w:ascii="Arial" w:eastAsiaTheme="majorEastAsia" w:hAnsi="Arial" w:cs="Arial"/>
      <w:b/>
      <w:bCs/>
      <w:iCs/>
      <w:sz w:val="24"/>
    </w:rPr>
  </w:style>
  <w:style w:type="character" w:customStyle="1" w:styleId="Heading5Char">
    <w:name w:val="Heading 5 Char"/>
    <w:basedOn w:val="DefaultParagraphFont"/>
    <w:link w:val="Heading5"/>
    <w:uiPriority w:val="9"/>
    <w:qFormat/>
    <w:rsid w:val="00273123"/>
    <w:rPr>
      <w:rFonts w:ascii="Arial" w:eastAsiaTheme="majorEastAsia" w:hAnsi="Arial" w:cs="Arial"/>
      <w:b/>
      <w:sz w:val="24"/>
    </w:rPr>
  </w:style>
  <w:style w:type="character" w:customStyle="1" w:styleId="Heading6Char">
    <w:name w:val="Heading 6 Char"/>
    <w:basedOn w:val="DefaultParagraphFont"/>
    <w:link w:val="Heading6"/>
    <w:uiPriority w:val="9"/>
    <w:qFormat/>
    <w:rsid w:val="006F163E"/>
    <w:rPr>
      <w:rFonts w:ascii="Arial" w:eastAsiaTheme="majorEastAsia" w:hAnsi="Arial" w:cs="Arial"/>
      <w:b/>
      <w:iCs/>
      <w:sz w:val="24"/>
    </w:rPr>
  </w:style>
  <w:style w:type="character" w:customStyle="1" w:styleId="QuoteChar">
    <w:name w:val="Quote Char"/>
    <w:basedOn w:val="DefaultParagraphFont"/>
    <w:uiPriority w:val="29"/>
    <w:qFormat/>
    <w:rsid w:val="00E209F2"/>
    <w:rPr>
      <w:rFonts w:ascii="Arial" w:hAnsi="Arial" w:cs="Arial"/>
      <w:i/>
      <w:iCs/>
      <w:color w:val="000000" w:themeColor="text1"/>
      <w:sz w:val="28"/>
    </w:rPr>
  </w:style>
  <w:style w:type="character" w:customStyle="1" w:styleId="QuoteChar1">
    <w:name w:val="Quote Char1"/>
    <w:basedOn w:val="DefaultParagraphFont"/>
    <w:link w:val="Quote"/>
    <w:uiPriority w:val="29"/>
    <w:qFormat/>
    <w:rsid w:val="00AD1B4C"/>
    <w:rPr>
      <w:i/>
      <w:iCs/>
    </w:rPr>
  </w:style>
  <w:style w:type="character" w:styleId="IntenseEmphasis">
    <w:name w:val="Intense Emphasis"/>
    <w:basedOn w:val="DefaultParagraphFont"/>
    <w:uiPriority w:val="21"/>
    <w:qFormat/>
    <w:rsid w:val="00416AA0"/>
    <w:rPr>
      <w:b/>
      <w:bCs/>
      <w:i/>
      <w:iCs/>
      <w:color w:val="00000A"/>
    </w:rPr>
  </w:style>
  <w:style w:type="character" w:customStyle="1" w:styleId="IntenseQuoteChar">
    <w:name w:val="Intense Quote Char"/>
    <w:basedOn w:val="DefaultParagraphFont"/>
    <w:link w:val="IntenseQuote"/>
    <w:uiPriority w:val="30"/>
    <w:qFormat/>
    <w:rsid w:val="001C2F45"/>
    <w:rPr>
      <w:rFonts w:ascii="Arial" w:hAnsi="Arial" w:cs="Arial"/>
      <w:b/>
      <w:bCs/>
      <w:i/>
      <w:iCs/>
      <w:sz w:val="24"/>
    </w:rPr>
  </w:style>
  <w:style w:type="character" w:styleId="SubtleReference">
    <w:name w:val="Subtle Reference"/>
    <w:basedOn w:val="DefaultParagraphFont"/>
    <w:uiPriority w:val="31"/>
    <w:qFormat/>
    <w:rsid w:val="00B7564E"/>
    <w:rPr>
      <w:smallCaps/>
      <w:color w:val="00000A"/>
      <w:u w:val="single"/>
    </w:rPr>
  </w:style>
  <w:style w:type="character" w:customStyle="1" w:styleId="Heading7Char">
    <w:name w:val="Heading 7 Char"/>
    <w:basedOn w:val="DefaultParagraphFont"/>
    <w:link w:val="Heading7"/>
    <w:uiPriority w:val="9"/>
    <w:qFormat/>
    <w:rsid w:val="006F163E"/>
    <w:rPr>
      <w:rFonts w:ascii="Arial" w:eastAsiaTheme="majorEastAsia" w:hAnsi="Arial" w:cstheme="majorBidi"/>
      <w:b/>
      <w:i/>
      <w:iCs/>
      <w:sz w:val="24"/>
    </w:rPr>
  </w:style>
  <w:style w:type="character" w:customStyle="1" w:styleId="Heading8Char">
    <w:name w:val="Heading 8 Char"/>
    <w:basedOn w:val="DefaultParagraphFont"/>
    <w:link w:val="Heading8"/>
    <w:uiPriority w:val="9"/>
    <w:qFormat/>
    <w:rsid w:val="006F163E"/>
    <w:rPr>
      <w:rFonts w:ascii="Arial" w:eastAsiaTheme="majorEastAsia" w:hAnsi="Arial" w:cstheme="majorBidi"/>
      <w:sz w:val="24"/>
      <w:szCs w:val="20"/>
    </w:rPr>
  </w:style>
  <w:style w:type="character" w:customStyle="1" w:styleId="Heading9Char">
    <w:name w:val="Heading 9 Char"/>
    <w:basedOn w:val="DefaultParagraphFont"/>
    <w:link w:val="Heading9"/>
    <w:uiPriority w:val="9"/>
    <w:qFormat/>
    <w:rsid w:val="006F163E"/>
    <w:rPr>
      <w:rFonts w:ascii="Arial" w:eastAsiaTheme="majorEastAsia" w:hAnsi="Arial" w:cstheme="majorBidi"/>
      <w:i/>
      <w:iCs/>
      <w:sz w:val="24"/>
      <w:szCs w:val="20"/>
    </w:rPr>
  </w:style>
  <w:style w:type="character" w:styleId="IntenseReference">
    <w:name w:val="Intense Reference"/>
    <w:basedOn w:val="DefaultParagraphFont"/>
    <w:uiPriority w:val="32"/>
    <w:qFormat/>
    <w:rsid w:val="00AD1B4C"/>
    <w:rPr>
      <w:b/>
      <w:bCs/>
      <w:smallCaps/>
      <w:color w:val="00000A"/>
      <w:spacing w:val="5"/>
      <w:u w:val="single"/>
    </w:rPr>
  </w:style>
  <w:style w:type="character" w:styleId="PlaceholderText">
    <w:name w:val="Placeholder Text"/>
    <w:basedOn w:val="DefaultParagraphFont"/>
    <w:uiPriority w:val="99"/>
    <w:semiHidden/>
    <w:qFormat/>
    <w:rsid w:val="00AD3173"/>
    <w:rPr>
      <w:color w:val="00000A"/>
    </w:rPr>
  </w:style>
  <w:style w:type="character" w:customStyle="1" w:styleId="PlainTextChar">
    <w:name w:val="Plain Text Char"/>
    <w:basedOn w:val="DefaultParagraphFont"/>
    <w:link w:val="PlainText"/>
    <w:uiPriority w:val="99"/>
    <w:semiHidden/>
    <w:qFormat/>
    <w:rsid w:val="00330467"/>
    <w:rPr>
      <w:rFonts w:ascii="Consolas" w:hAnsi="Consolas"/>
      <w:szCs w:val="21"/>
    </w:rPr>
  </w:style>
  <w:style w:type="character" w:customStyle="1" w:styleId="BodyText3Char">
    <w:name w:val="Body Text 3 Char"/>
    <w:basedOn w:val="DefaultParagraphFont"/>
    <w:link w:val="BodyText3"/>
    <w:uiPriority w:val="99"/>
    <w:semiHidden/>
    <w:qFormat/>
    <w:rsid w:val="00890E90"/>
    <w:rPr>
      <w:sz w:val="20"/>
      <w:szCs w:val="16"/>
    </w:rPr>
  </w:style>
  <w:style w:type="character" w:customStyle="1" w:styleId="BodyTextChar">
    <w:name w:val="Body Text Char"/>
    <w:basedOn w:val="DefaultParagraphFont"/>
    <w:link w:val="TextBody"/>
    <w:uiPriority w:val="99"/>
    <w:semiHidden/>
    <w:qFormat/>
    <w:rsid w:val="00890E90"/>
  </w:style>
  <w:style w:type="character" w:customStyle="1" w:styleId="BodyTextFirstIndentChar">
    <w:name w:val="Body Text First Indent Char"/>
    <w:basedOn w:val="BodyTextChar"/>
    <w:link w:val="TextBodyIndent"/>
    <w:uiPriority w:val="99"/>
    <w:qFormat/>
    <w:rsid w:val="00890E90"/>
  </w:style>
  <w:style w:type="character" w:customStyle="1" w:styleId="BodyTextIndent3Char">
    <w:name w:val="Body Text Indent 3 Char"/>
    <w:basedOn w:val="DefaultParagraphFont"/>
    <w:link w:val="BodyTextIndent3"/>
    <w:uiPriority w:val="99"/>
    <w:qFormat/>
    <w:rsid w:val="00D00D33"/>
    <w:rPr>
      <w:sz w:val="20"/>
      <w:szCs w:val="16"/>
    </w:rPr>
  </w:style>
  <w:style w:type="character" w:customStyle="1" w:styleId="DocumentMapChar">
    <w:name w:val="Document Map Char"/>
    <w:basedOn w:val="DefaultParagraphFont"/>
    <w:link w:val="DocumentMap"/>
    <w:uiPriority w:val="99"/>
    <w:semiHidden/>
    <w:qFormat/>
    <w:rsid w:val="00B3772F"/>
    <w:rPr>
      <w:rFonts w:cs="Tahoma"/>
      <w:szCs w:val="16"/>
    </w:rPr>
  </w:style>
  <w:style w:type="character" w:customStyle="1" w:styleId="EndnoteTextChar">
    <w:name w:val="Endnote Text Char"/>
    <w:basedOn w:val="DefaultParagraphFont"/>
    <w:link w:val="EndnoteText"/>
    <w:uiPriority w:val="99"/>
    <w:qFormat/>
    <w:rsid w:val="00B3772F"/>
    <w:rPr>
      <w:szCs w:val="20"/>
    </w:rPr>
  </w:style>
  <w:style w:type="character" w:styleId="Emphasis">
    <w:name w:val="Emphasis"/>
    <w:basedOn w:val="DefaultParagraphFont"/>
    <w:uiPriority w:val="20"/>
    <w:qFormat/>
    <w:rsid w:val="00B3772F"/>
    <w:rPr>
      <w:i/>
      <w:iCs/>
    </w:rPr>
  </w:style>
  <w:style w:type="character" w:customStyle="1" w:styleId="MessageHeaderChar">
    <w:name w:val="Message Header Char"/>
    <w:basedOn w:val="DefaultParagraphFont"/>
    <w:link w:val="MessageHeader"/>
    <w:uiPriority w:val="99"/>
    <w:semiHidden/>
    <w:qFormat/>
    <w:rsid w:val="003400F1"/>
    <w:rPr>
      <w:rFonts w:eastAsiaTheme="majorEastAsia" w:cstheme="majorBidi"/>
      <w:shd w:val="clear" w:color="auto" w:fill="CCCCCC"/>
    </w:rPr>
  </w:style>
  <w:style w:type="character" w:customStyle="1" w:styleId="EndNoteBibliographyTitleChar">
    <w:name w:val="EndNote Bibliography Title Char"/>
    <w:basedOn w:val="DefaultParagraphFont"/>
    <w:link w:val="EndNoteBibliographyTitle"/>
    <w:qFormat/>
    <w:rsid w:val="003900F8"/>
    <w:rPr>
      <w:lang w:val="en-US"/>
    </w:rPr>
  </w:style>
  <w:style w:type="character" w:customStyle="1" w:styleId="EndNoteBibliographyChar">
    <w:name w:val="EndNote Bibliography Char"/>
    <w:basedOn w:val="DefaultParagraphFont"/>
    <w:link w:val="EndNoteBibliography"/>
    <w:qFormat/>
    <w:rsid w:val="003900F8"/>
    <w:rPr>
      <w:lang w:val="en-US"/>
    </w:rPr>
  </w:style>
  <w:style w:type="character" w:customStyle="1" w:styleId="BalloonTextChar">
    <w:name w:val="Balloon Text Char"/>
    <w:basedOn w:val="DefaultParagraphFont"/>
    <w:link w:val="BalloonText"/>
    <w:uiPriority w:val="99"/>
    <w:semiHidden/>
    <w:qFormat/>
    <w:rsid w:val="004A5953"/>
    <w:rPr>
      <w:rFonts w:ascii="Tahoma" w:hAnsi="Tahoma" w:cs="Tahoma"/>
      <w:sz w:val="16"/>
      <w:szCs w:val="16"/>
    </w:rPr>
  </w:style>
  <w:style w:type="character" w:customStyle="1" w:styleId="apple-converted-space">
    <w:name w:val="apple-converted-space"/>
    <w:basedOn w:val="DefaultParagraphFont"/>
    <w:qFormat/>
    <w:rsid w:val="004A5953"/>
  </w:style>
  <w:style w:type="character" w:customStyle="1" w:styleId="InternetLink">
    <w:name w:val="Internet Link"/>
    <w:basedOn w:val="DefaultParagraphFont"/>
    <w:uiPriority w:val="99"/>
    <w:unhideWhenUsed/>
    <w:rsid w:val="00E149EE"/>
    <w:rPr>
      <w:color w:val="0000FF" w:themeColor="hyperlink"/>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Body"/>
    <w:qFormat/>
    <w:pPr>
      <w:keepNext/>
      <w:spacing w:before="240" w:after="120"/>
    </w:pPr>
    <w:rPr>
      <w:rFonts w:ascii="Liberation Sans" w:eastAsia="Microsoft YaHei" w:hAnsi="Liberation Sans" w:cs="Mangal"/>
      <w:sz w:val="28"/>
      <w:szCs w:val="28"/>
    </w:rPr>
  </w:style>
  <w:style w:type="paragraph" w:customStyle="1" w:styleId="TextBody">
    <w:name w:val="Text Body"/>
    <w:basedOn w:val="Normal"/>
    <w:link w:val="BodyTextChar"/>
    <w:uiPriority w:val="99"/>
    <w:semiHidden/>
    <w:unhideWhenUsed/>
    <w:rsid w:val="00890E90"/>
    <w:pPr>
      <w:spacing w:after="120"/>
    </w:pPr>
  </w:style>
  <w:style w:type="paragraph" w:styleId="List">
    <w:name w:val="List"/>
    <w:basedOn w:val="TextBody"/>
    <w:rPr>
      <w:rFonts w:cs="Mangal"/>
    </w:rPr>
  </w:style>
  <w:style w:type="paragraph" w:styleId="Caption">
    <w:name w:val="caption"/>
    <w:basedOn w:val="Normal"/>
    <w:next w:val="Normal"/>
    <w:uiPriority w:val="35"/>
    <w:unhideWhenUsed/>
    <w:qFormat/>
    <w:rsid w:val="000A395C"/>
    <w:pPr>
      <w:spacing w:line="240" w:lineRule="auto"/>
    </w:pPr>
    <w:rPr>
      <w:b/>
      <w:bCs/>
      <w:szCs w:val="18"/>
    </w:rPr>
  </w:style>
  <w:style w:type="paragraph" w:customStyle="1" w:styleId="Index">
    <w:name w:val="Index"/>
    <w:basedOn w:val="Normal"/>
    <w:qFormat/>
    <w:pPr>
      <w:suppressLineNumbers/>
    </w:pPr>
    <w:rPr>
      <w:rFonts w:cs="Mangal"/>
    </w:rPr>
  </w:style>
  <w:style w:type="paragraph" w:customStyle="1" w:styleId="Subheading">
    <w:name w:val="Subheading"/>
    <w:basedOn w:val="Normal"/>
    <w:next w:val="Normal"/>
    <w:link w:val="SubheadingChar"/>
    <w:qFormat/>
    <w:rsid w:val="00E209F2"/>
    <w:pPr>
      <w:keepNext/>
    </w:pPr>
    <w:rPr>
      <w:b/>
    </w:rPr>
  </w:style>
  <w:style w:type="paragraph" w:styleId="Title">
    <w:name w:val="Title"/>
    <w:basedOn w:val="Normal"/>
    <w:next w:val="Normal"/>
    <w:link w:val="TitleChar"/>
    <w:autoRedefine/>
    <w:uiPriority w:val="10"/>
    <w:qFormat/>
    <w:rsid w:val="005B0D14"/>
    <w:pPr>
      <w:keepNext/>
      <w:pBdr>
        <w:bottom w:val="single" w:sz="8" w:space="4" w:color="00000A"/>
      </w:pBdr>
      <w:spacing w:before="240" w:after="120" w:line="240" w:lineRule="auto"/>
      <w:contextualSpacing/>
      <w:outlineLvl w:val="0"/>
    </w:pPr>
    <w:rPr>
      <w:rFonts w:eastAsiaTheme="majorEastAsia"/>
      <w:b/>
      <w:spacing w:val="5"/>
      <w:sz w:val="36"/>
      <w:szCs w:val="52"/>
    </w:rPr>
  </w:style>
  <w:style w:type="paragraph" w:styleId="Subtitle">
    <w:name w:val="Subtitle"/>
    <w:basedOn w:val="Normal"/>
    <w:next w:val="Normal"/>
    <w:link w:val="SubtitleChar"/>
    <w:autoRedefine/>
    <w:uiPriority w:val="11"/>
    <w:qFormat/>
    <w:rsid w:val="00EB66B1"/>
    <w:pPr>
      <w:keepNext/>
    </w:pPr>
    <w:rPr>
      <w:rFonts w:eastAsiaTheme="majorEastAsia"/>
      <w:iCs/>
      <w:spacing w:val="15"/>
      <w:sz w:val="28"/>
    </w:rPr>
  </w:style>
  <w:style w:type="paragraph" w:styleId="Quote">
    <w:name w:val="Quote"/>
    <w:basedOn w:val="Normal"/>
    <w:next w:val="Normal"/>
    <w:link w:val="QuoteChar1"/>
    <w:uiPriority w:val="29"/>
    <w:qFormat/>
    <w:rsid w:val="00AD1B4C"/>
    <w:pPr>
      <w:ind w:left="794" w:right="794"/>
    </w:pPr>
    <w:rPr>
      <w:i/>
      <w:iCs/>
    </w:rPr>
  </w:style>
  <w:style w:type="paragraph" w:styleId="ListBullet">
    <w:name w:val="List Bullet"/>
    <w:basedOn w:val="Normal"/>
    <w:uiPriority w:val="99"/>
    <w:semiHidden/>
    <w:unhideWhenUsed/>
    <w:qFormat/>
    <w:rsid w:val="00E209F2"/>
    <w:pPr>
      <w:contextualSpacing/>
    </w:pPr>
  </w:style>
  <w:style w:type="paragraph" w:styleId="ListNumber">
    <w:name w:val="List Number"/>
    <w:basedOn w:val="Normal"/>
    <w:uiPriority w:val="99"/>
    <w:semiHidden/>
    <w:unhideWhenUsed/>
    <w:qFormat/>
    <w:rsid w:val="00E209F2"/>
    <w:pPr>
      <w:contextualSpacing/>
    </w:pPr>
  </w:style>
  <w:style w:type="paragraph" w:styleId="TableofFigures">
    <w:name w:val="table of figures"/>
    <w:basedOn w:val="Normal"/>
    <w:next w:val="Normal"/>
    <w:uiPriority w:val="99"/>
    <w:semiHidden/>
    <w:unhideWhenUsed/>
    <w:qFormat/>
    <w:rsid w:val="00E209F2"/>
  </w:style>
  <w:style w:type="paragraph" w:styleId="IntenseQuote">
    <w:name w:val="Intense Quote"/>
    <w:basedOn w:val="Normal"/>
    <w:next w:val="Normal"/>
    <w:link w:val="IntenseQuoteChar"/>
    <w:uiPriority w:val="30"/>
    <w:qFormat/>
    <w:rsid w:val="001C2F45"/>
    <w:pPr>
      <w:pBdr>
        <w:bottom w:val="single" w:sz="4" w:space="4" w:color="4F81BD"/>
      </w:pBdr>
      <w:spacing w:before="200" w:after="280"/>
      <w:ind w:left="936" w:right="936"/>
    </w:pPr>
    <w:rPr>
      <w:b/>
      <w:bCs/>
      <w:i/>
      <w:iCs/>
    </w:rPr>
  </w:style>
  <w:style w:type="paragraph" w:customStyle="1" w:styleId="ContentsHeading">
    <w:name w:val="Contents Heading"/>
    <w:basedOn w:val="Heading1"/>
    <w:next w:val="Normal"/>
    <w:uiPriority w:val="39"/>
    <w:semiHidden/>
    <w:unhideWhenUsed/>
    <w:qFormat/>
    <w:rsid w:val="002A237B"/>
    <w:pPr>
      <w:spacing w:before="480"/>
    </w:pPr>
    <w:rPr>
      <w:rFonts w:cstheme="majorBidi"/>
      <w:sz w:val="28"/>
    </w:rPr>
  </w:style>
  <w:style w:type="paragraph" w:styleId="BlockText">
    <w:name w:val="Block Text"/>
    <w:basedOn w:val="Normal"/>
    <w:uiPriority w:val="99"/>
    <w:semiHidden/>
    <w:unhideWhenUsed/>
    <w:qFormat/>
    <w:rsid w:val="00B23E4E"/>
    <w:pPr>
      <w:pBdr>
        <w:top w:val="single" w:sz="2" w:space="10" w:color="00000A" w:shadow="1"/>
        <w:left w:val="single" w:sz="2" w:space="10" w:color="00000A" w:shadow="1"/>
        <w:bottom w:val="single" w:sz="2" w:space="10" w:color="00000A" w:shadow="1"/>
        <w:right w:val="single" w:sz="2" w:space="10" w:color="00000A" w:shadow="1"/>
      </w:pBdr>
      <w:ind w:left="1152" w:right="1152"/>
    </w:pPr>
    <w:rPr>
      <w:rFonts w:eastAsiaTheme="minorEastAsia" w:cstheme="minorBidi"/>
      <w:i/>
      <w:iCs/>
    </w:rPr>
  </w:style>
  <w:style w:type="paragraph" w:styleId="TOAHeading">
    <w:name w:val="toa heading"/>
    <w:basedOn w:val="Normal"/>
    <w:next w:val="Normal"/>
    <w:uiPriority w:val="99"/>
    <w:semiHidden/>
    <w:unhideWhenUsed/>
    <w:qFormat/>
    <w:rsid w:val="00BF7C01"/>
    <w:rPr>
      <w:rFonts w:eastAsiaTheme="majorEastAsia" w:cstheme="majorBidi"/>
      <w:b/>
      <w:bCs/>
      <w:sz w:val="28"/>
    </w:rPr>
  </w:style>
  <w:style w:type="paragraph" w:styleId="PlainText">
    <w:name w:val="Plain Text"/>
    <w:basedOn w:val="Normal"/>
    <w:link w:val="PlainTextChar"/>
    <w:uiPriority w:val="99"/>
    <w:semiHidden/>
    <w:unhideWhenUsed/>
    <w:qFormat/>
    <w:rsid w:val="00330467"/>
    <w:pPr>
      <w:spacing w:before="0" w:line="240" w:lineRule="auto"/>
    </w:pPr>
    <w:rPr>
      <w:rFonts w:ascii="Consolas" w:hAnsi="Consolas"/>
      <w:szCs w:val="21"/>
    </w:rPr>
  </w:style>
  <w:style w:type="paragraph" w:styleId="BodyText3">
    <w:name w:val="Body Text 3"/>
    <w:basedOn w:val="Normal"/>
    <w:link w:val="BodyText3Char"/>
    <w:uiPriority w:val="99"/>
    <w:semiHidden/>
    <w:unhideWhenUsed/>
    <w:qFormat/>
    <w:rsid w:val="00890E90"/>
    <w:pPr>
      <w:spacing w:after="120"/>
    </w:pPr>
    <w:rPr>
      <w:sz w:val="20"/>
      <w:szCs w:val="16"/>
    </w:rPr>
  </w:style>
  <w:style w:type="paragraph" w:customStyle="1" w:styleId="TextBodyIndent">
    <w:name w:val="Text Body Indent"/>
    <w:basedOn w:val="TextBody"/>
    <w:link w:val="BodyTextFirstIndentChar"/>
    <w:uiPriority w:val="99"/>
    <w:unhideWhenUsed/>
    <w:qFormat/>
    <w:rsid w:val="00890E90"/>
    <w:pPr>
      <w:spacing w:after="320"/>
      <w:ind w:firstLine="360"/>
    </w:pPr>
  </w:style>
  <w:style w:type="paragraph" w:styleId="BodyTextIndent3">
    <w:name w:val="Body Text Indent 3"/>
    <w:basedOn w:val="Normal"/>
    <w:link w:val="BodyTextIndent3Char"/>
    <w:uiPriority w:val="99"/>
    <w:unhideWhenUsed/>
    <w:qFormat/>
    <w:rsid w:val="00D00D33"/>
    <w:pPr>
      <w:spacing w:after="120"/>
      <w:ind w:left="283"/>
    </w:pPr>
    <w:rPr>
      <w:sz w:val="20"/>
      <w:szCs w:val="16"/>
    </w:rPr>
  </w:style>
  <w:style w:type="paragraph" w:styleId="DocumentMap">
    <w:name w:val="Document Map"/>
    <w:basedOn w:val="Normal"/>
    <w:link w:val="DocumentMapChar"/>
    <w:uiPriority w:val="99"/>
    <w:semiHidden/>
    <w:unhideWhenUsed/>
    <w:qFormat/>
    <w:rsid w:val="00B3772F"/>
    <w:pPr>
      <w:spacing w:before="0" w:line="240" w:lineRule="auto"/>
    </w:pPr>
    <w:rPr>
      <w:rFonts w:cs="Tahoma"/>
      <w:szCs w:val="16"/>
    </w:rPr>
  </w:style>
  <w:style w:type="paragraph" w:styleId="EndnoteText">
    <w:name w:val="endnote text"/>
    <w:basedOn w:val="Normal"/>
    <w:link w:val="EndnoteTextChar"/>
    <w:uiPriority w:val="99"/>
    <w:unhideWhenUsed/>
    <w:qFormat/>
    <w:rsid w:val="00B3772F"/>
    <w:pPr>
      <w:spacing w:before="0" w:line="240" w:lineRule="auto"/>
    </w:pPr>
    <w:rPr>
      <w:szCs w:val="20"/>
    </w:rPr>
  </w:style>
  <w:style w:type="paragraph" w:styleId="EnvelopeReturn">
    <w:name w:val="envelope return"/>
    <w:basedOn w:val="Normal"/>
    <w:uiPriority w:val="99"/>
    <w:semiHidden/>
    <w:unhideWhenUsed/>
    <w:qFormat/>
    <w:rsid w:val="00B3772F"/>
    <w:pPr>
      <w:spacing w:before="0" w:line="240" w:lineRule="auto"/>
    </w:pPr>
    <w:rPr>
      <w:rFonts w:eastAsiaTheme="majorEastAsia" w:cstheme="majorBidi"/>
      <w:szCs w:val="20"/>
    </w:rPr>
  </w:style>
  <w:style w:type="paragraph" w:styleId="MessageHeader">
    <w:name w:val="Message Header"/>
    <w:basedOn w:val="Normal"/>
    <w:link w:val="MessageHeaderChar"/>
    <w:uiPriority w:val="99"/>
    <w:semiHidden/>
    <w:unhideWhenUsed/>
    <w:qFormat/>
    <w:rsid w:val="003400F1"/>
    <w:pPr>
      <w:pBdr>
        <w:top w:val="single" w:sz="6" w:space="1" w:color="00000A"/>
        <w:left w:val="single" w:sz="6" w:space="1" w:color="00000A"/>
        <w:bottom w:val="single" w:sz="6" w:space="1" w:color="00000A"/>
        <w:right w:val="single" w:sz="6" w:space="1" w:color="00000A"/>
      </w:pBdr>
      <w:shd w:val="pct20" w:color="auto" w:fill="auto"/>
      <w:spacing w:before="0" w:line="240" w:lineRule="auto"/>
      <w:ind w:left="1134" w:hanging="1134"/>
    </w:pPr>
    <w:rPr>
      <w:rFonts w:eastAsiaTheme="majorEastAsia" w:cstheme="majorBidi"/>
    </w:rPr>
  </w:style>
  <w:style w:type="paragraph" w:styleId="NoSpacing">
    <w:name w:val="No Spacing"/>
    <w:uiPriority w:val="1"/>
    <w:qFormat/>
    <w:rsid w:val="003400F1"/>
    <w:pPr>
      <w:suppressAutoHyphens/>
      <w:spacing w:line="240" w:lineRule="auto"/>
    </w:pPr>
    <w:rPr>
      <w:color w:val="00000A"/>
      <w:sz w:val="24"/>
    </w:rPr>
  </w:style>
  <w:style w:type="paragraph" w:styleId="NormalWeb">
    <w:name w:val="Normal (Web)"/>
    <w:basedOn w:val="Normal"/>
    <w:uiPriority w:val="99"/>
    <w:semiHidden/>
    <w:unhideWhenUsed/>
    <w:qFormat/>
    <w:rsid w:val="00930117"/>
    <w:rPr>
      <w:rFonts w:cs="Times New Roman"/>
    </w:rPr>
  </w:style>
  <w:style w:type="paragraph" w:styleId="Index1">
    <w:name w:val="index 1"/>
    <w:basedOn w:val="Normal"/>
    <w:next w:val="Normal"/>
    <w:autoRedefine/>
    <w:uiPriority w:val="99"/>
    <w:semiHidden/>
    <w:unhideWhenUsed/>
    <w:qFormat/>
    <w:rsid w:val="00873D7B"/>
    <w:pPr>
      <w:spacing w:before="0" w:line="240" w:lineRule="auto"/>
      <w:ind w:left="240" w:hanging="240"/>
    </w:pPr>
  </w:style>
  <w:style w:type="paragraph" w:styleId="IndexHeading">
    <w:name w:val="index heading"/>
    <w:basedOn w:val="Normal"/>
    <w:uiPriority w:val="99"/>
    <w:semiHidden/>
    <w:unhideWhenUsed/>
    <w:qFormat/>
    <w:rsid w:val="00873D7B"/>
    <w:rPr>
      <w:rFonts w:eastAsiaTheme="majorEastAsia" w:cstheme="majorBidi"/>
      <w:b/>
      <w:bCs/>
    </w:rPr>
  </w:style>
  <w:style w:type="paragraph" w:customStyle="1" w:styleId="EndNoteBibliographyTitle">
    <w:name w:val="EndNote Bibliography Title"/>
    <w:basedOn w:val="Normal"/>
    <w:link w:val="EndNoteBibliographyTitleChar"/>
    <w:qFormat/>
    <w:rsid w:val="003900F8"/>
    <w:pPr>
      <w:jc w:val="center"/>
    </w:pPr>
    <w:rPr>
      <w:lang w:val="en-US"/>
    </w:rPr>
  </w:style>
  <w:style w:type="paragraph" w:customStyle="1" w:styleId="EndNoteBibliography">
    <w:name w:val="EndNote Bibliography"/>
    <w:basedOn w:val="Normal"/>
    <w:link w:val="EndNoteBibliographyChar"/>
    <w:qFormat/>
    <w:rsid w:val="003900F8"/>
    <w:pPr>
      <w:spacing w:line="240" w:lineRule="auto"/>
    </w:pPr>
    <w:rPr>
      <w:lang w:val="en-US"/>
    </w:rPr>
  </w:style>
  <w:style w:type="paragraph" w:styleId="BalloonText">
    <w:name w:val="Balloon Text"/>
    <w:basedOn w:val="Normal"/>
    <w:link w:val="BalloonTextChar"/>
    <w:uiPriority w:val="99"/>
    <w:semiHidden/>
    <w:unhideWhenUsed/>
    <w:qFormat/>
    <w:rsid w:val="004A5953"/>
    <w:pPr>
      <w:spacing w:before="0" w:line="240" w:lineRule="auto"/>
    </w:pPr>
    <w:rPr>
      <w:rFonts w:ascii="Tahoma" w:hAnsi="Tahoma" w:cs="Tahoma"/>
      <w:sz w:val="16"/>
      <w:szCs w:val="16"/>
    </w:rPr>
  </w:style>
  <w:style w:type="paragraph" w:customStyle="1" w:styleId="FrameContents">
    <w:name w:val="Frame Contents"/>
    <w:basedOn w:val="Normal"/>
    <w:qFormat/>
  </w:style>
  <w:style w:type="paragraph" w:customStyle="1" w:styleId="PreformattedText">
    <w:name w:val="Preformatted Text"/>
    <w:basedOn w:val="Normal"/>
    <w:qFormat/>
  </w:style>
  <w:style w:type="character" w:styleId="CommentReference">
    <w:name w:val="annotation reference"/>
    <w:basedOn w:val="DefaultParagraphFont"/>
    <w:uiPriority w:val="99"/>
    <w:semiHidden/>
    <w:unhideWhenUsed/>
    <w:rsid w:val="00F7028D"/>
    <w:rPr>
      <w:sz w:val="16"/>
      <w:szCs w:val="16"/>
    </w:rPr>
  </w:style>
  <w:style w:type="paragraph" w:styleId="CommentText">
    <w:name w:val="annotation text"/>
    <w:basedOn w:val="Normal"/>
    <w:link w:val="CommentTextChar"/>
    <w:uiPriority w:val="99"/>
    <w:semiHidden/>
    <w:unhideWhenUsed/>
    <w:rsid w:val="00F7028D"/>
    <w:pPr>
      <w:spacing w:line="240" w:lineRule="auto"/>
    </w:pPr>
    <w:rPr>
      <w:sz w:val="20"/>
      <w:szCs w:val="20"/>
    </w:rPr>
  </w:style>
  <w:style w:type="character" w:customStyle="1" w:styleId="CommentTextChar">
    <w:name w:val="Comment Text Char"/>
    <w:basedOn w:val="DefaultParagraphFont"/>
    <w:link w:val="CommentText"/>
    <w:uiPriority w:val="99"/>
    <w:semiHidden/>
    <w:rsid w:val="00F7028D"/>
    <w:rPr>
      <w:color w:val="00000A"/>
      <w:szCs w:val="20"/>
    </w:rPr>
  </w:style>
  <w:style w:type="paragraph" w:styleId="CommentSubject">
    <w:name w:val="annotation subject"/>
    <w:basedOn w:val="CommentText"/>
    <w:next w:val="CommentText"/>
    <w:link w:val="CommentSubjectChar"/>
    <w:uiPriority w:val="99"/>
    <w:semiHidden/>
    <w:unhideWhenUsed/>
    <w:rsid w:val="00F7028D"/>
    <w:rPr>
      <w:b/>
      <w:bCs/>
    </w:rPr>
  </w:style>
  <w:style w:type="character" w:customStyle="1" w:styleId="CommentSubjectChar">
    <w:name w:val="Comment Subject Char"/>
    <w:basedOn w:val="CommentTextChar"/>
    <w:link w:val="CommentSubject"/>
    <w:uiPriority w:val="99"/>
    <w:semiHidden/>
    <w:rsid w:val="00F7028D"/>
    <w:rPr>
      <w:b/>
      <w:bCs/>
      <w:color w:val="00000A"/>
      <w:szCs w:val="20"/>
    </w:rPr>
  </w:style>
  <w:style w:type="paragraph" w:styleId="ListParagraph">
    <w:name w:val="List Paragraph"/>
    <w:basedOn w:val="Normal"/>
    <w:uiPriority w:val="34"/>
    <w:qFormat/>
    <w:rsid w:val="00B91665"/>
    <w:pPr>
      <w:ind w:left="720"/>
      <w:contextualSpacing/>
    </w:pPr>
  </w:style>
  <w:style w:type="paragraph" w:styleId="Revision">
    <w:name w:val="Revision"/>
    <w:hidden/>
    <w:uiPriority w:val="99"/>
    <w:semiHidden/>
    <w:rsid w:val="00D57F4C"/>
    <w:pPr>
      <w:spacing w:line="240" w:lineRule="auto"/>
    </w:pPr>
    <w:rPr>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chart" Target="charts/chart4.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chart" Target="charts/chart3.xm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chart" Target="charts/chart2.xml"/><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tif"/><Relationship Id="rId4" Type="http://schemas.openxmlformats.org/officeDocument/2006/relationships/webSettings" Target="webSettings.xml"/><Relationship Id="rId9" Type="http://schemas.openxmlformats.org/officeDocument/2006/relationships/hyperlink" Target="http://leedsdatamill.org/dataset/leeds-annual-cycle-growth-" TargetMode="External"/><Relationship Id="rId14" Type="http://schemas.openxmlformats.org/officeDocument/2006/relationships/chart" Target="charts/chart5.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autoTitleDeleted val="1"/>
    <c:plotArea>
      <c:layout/>
      <c:lineChart>
        <c:grouping val="standard"/>
        <c:varyColors val="1"/>
        <c:ser>
          <c:idx val="0"/>
          <c:order val="0"/>
          <c:tx>
            <c:strRef>
              <c:f>label 0</c:f>
              <c:strCache>
                <c:ptCount val="1"/>
                <c:pt idx="0">
                  <c:v>Cycling</c:v>
                </c:pt>
              </c:strCache>
            </c:strRef>
          </c:tx>
          <c:spPr>
            <a:ln w="28440">
              <a:solidFill>
                <a:srgbClr val="4A7EBB"/>
              </a:solidFill>
              <a:round/>
            </a:ln>
          </c:spPr>
          <c:marker>
            <c:symbol val="square"/>
            <c:size val="5"/>
            <c:spPr>
              <a:solidFill>
                <a:srgbClr val="EE4000"/>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6"/>
                <c:pt idx="0">
                  <c:v>2009</c:v>
                </c:pt>
                <c:pt idx="1">
                  <c:v>2010</c:v>
                </c:pt>
                <c:pt idx="2">
                  <c:v>2011</c:v>
                </c:pt>
                <c:pt idx="3">
                  <c:v>2012</c:v>
                </c:pt>
                <c:pt idx="4">
                  <c:v>2013</c:v>
                </c:pt>
                <c:pt idx="5">
                  <c:v>2014</c:v>
                </c:pt>
              </c:strCache>
            </c:strRef>
          </c:cat>
          <c:val>
            <c:numRef>
              <c:f>0</c:f>
              <c:numCache>
                <c:formatCode>General</c:formatCode>
                <c:ptCount val="6"/>
                <c:pt idx="0">
                  <c:v>253</c:v>
                </c:pt>
                <c:pt idx="1">
                  <c:v>222</c:v>
                </c:pt>
                <c:pt idx="2">
                  <c:v>260</c:v>
                </c:pt>
                <c:pt idx="3">
                  <c:v>262</c:v>
                </c:pt>
                <c:pt idx="4">
                  <c:v>319</c:v>
                </c:pt>
                <c:pt idx="5">
                  <c:v>348</c:v>
                </c:pt>
              </c:numCache>
            </c:numRef>
          </c:val>
          <c:smooth val="0"/>
        </c:ser>
        <c:dLbls>
          <c:showLegendKey val="0"/>
          <c:showVal val="0"/>
          <c:showCatName val="0"/>
          <c:showSerName val="0"/>
          <c:showPercent val="0"/>
          <c:showBubbleSize val="0"/>
        </c:dLbls>
        <c:hiLowLines>
          <c:spPr>
            <a:ln>
              <a:noFill/>
            </a:ln>
          </c:spPr>
        </c:hiLowLines>
        <c:upDownBars>
          <c:gapWidth val="150"/>
          <c:upBars/>
          <c:downBars/>
        </c:upDownBars>
        <c:marker val="1"/>
        <c:smooth val="0"/>
        <c:axId val="329508024"/>
        <c:axId val="329508416"/>
      </c:lineChart>
      <c:catAx>
        <c:axId val="329508024"/>
        <c:scaling>
          <c:orientation val="minMax"/>
        </c:scaling>
        <c:delete val="0"/>
        <c:axPos val="b"/>
        <c:title>
          <c:tx>
            <c:rich>
              <a:bodyPr/>
              <a:lstStyle/>
              <a:p>
                <a:pPr>
                  <a:defRPr/>
                </a:pPr>
                <a:r>
                  <a:rPr lang="en-GB" sz="1000" b="1">
                    <a:solidFill>
                      <a:srgbClr val="000000"/>
                    </a:solidFill>
                    <a:latin typeface="Calibri"/>
                  </a:rPr>
                  <a:t>Year</a:t>
                </a:r>
              </a:p>
            </c:rich>
          </c:tx>
          <c:overlay val="1"/>
        </c:title>
        <c:numFmt formatCode="General" sourceLinked="0"/>
        <c:majorTickMark val="none"/>
        <c:minorTickMark val="none"/>
        <c:tickLblPos val="nextTo"/>
        <c:spPr>
          <a:ln w="9360">
            <a:solidFill>
              <a:srgbClr val="878787"/>
            </a:solidFill>
            <a:round/>
          </a:ln>
        </c:spPr>
        <c:crossAx val="329508416"/>
        <c:crosses val="autoZero"/>
        <c:auto val="1"/>
        <c:lblAlgn val="ctr"/>
        <c:lblOffset val="100"/>
        <c:noMultiLvlLbl val="1"/>
      </c:catAx>
      <c:valAx>
        <c:axId val="329508416"/>
        <c:scaling>
          <c:orientation val="minMax"/>
        </c:scaling>
        <c:delete val="0"/>
        <c:axPos val="l"/>
        <c:majorGridlines>
          <c:spPr>
            <a:ln w="9360">
              <a:solidFill>
                <a:srgbClr val="878787"/>
              </a:solidFill>
              <a:round/>
            </a:ln>
          </c:spPr>
        </c:majorGridlines>
        <c:title>
          <c:tx>
            <c:rich>
              <a:bodyPr/>
              <a:lstStyle/>
              <a:p>
                <a:pPr>
                  <a:defRPr/>
                </a:pPr>
                <a:r>
                  <a:rPr lang="en-GB" sz="1000" b="1">
                    <a:solidFill>
                      <a:srgbClr val="000000"/>
                    </a:solidFill>
                    <a:latin typeface="Calibri"/>
                  </a:rPr>
                  <a:t>Killed or seriously injured</a:t>
                </a:r>
              </a:p>
            </c:rich>
          </c:tx>
          <c:overlay val="1"/>
        </c:title>
        <c:numFmt formatCode="General" sourceLinked="1"/>
        <c:majorTickMark val="none"/>
        <c:minorTickMark val="none"/>
        <c:tickLblPos val="nextTo"/>
        <c:spPr>
          <a:ln w="9360">
            <a:solidFill>
              <a:srgbClr val="878787"/>
            </a:solidFill>
            <a:round/>
          </a:ln>
        </c:spPr>
        <c:crossAx val="329508024"/>
        <c:crosses val="autoZero"/>
        <c:crossBetween val="between"/>
      </c:valAx>
      <c:spPr>
        <a:solidFill>
          <a:srgbClr val="FFFFFF"/>
        </a:solidFill>
        <a:ln>
          <a:noFill/>
        </a:ln>
      </c:spPr>
    </c:plotArea>
    <c:plotVisOnly val="1"/>
    <c:dispBlanksAs val="zero"/>
    <c:showDLblsOverMax val="1"/>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autoTitleDeleted val="1"/>
    <c:plotArea>
      <c:layout/>
      <c:barChart>
        <c:barDir val="col"/>
        <c:grouping val="clustered"/>
        <c:varyColors val="1"/>
        <c:ser>
          <c:idx val="0"/>
          <c:order val="0"/>
          <c:tx>
            <c:strRef>
              <c:f>label 0</c:f>
              <c:strCache>
                <c:ptCount val="1"/>
                <c:pt idx="0">
                  <c:v>Model predicition</c:v>
                </c:pt>
              </c:strCache>
            </c:strRef>
          </c:tx>
          <c:spPr>
            <a:solidFill>
              <a:srgbClr val="4F81BD"/>
            </a:solidFill>
            <a:ln>
              <a:noFill/>
            </a:ln>
          </c:spPr>
          <c:invertIfNegative val="1"/>
          <c:dLbls>
            <c:spPr>
              <a:noFill/>
              <a:ln>
                <a:noFill/>
              </a:ln>
              <a:effectLst/>
            </c:spPr>
            <c:dLblPos val="ct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0"/>
                <c:pt idx="0">
                  <c:v>2a</c:v>
                </c:pt>
                <c:pt idx="1">
                  <c:v>2b</c:v>
                </c:pt>
                <c:pt idx="2">
                  <c:v>2c</c:v>
                </c:pt>
                <c:pt idx="3">
                  <c:v>2d</c:v>
                </c:pt>
                <c:pt idx="4">
                  <c:v>2e</c:v>
                </c:pt>
                <c:pt idx="5">
                  <c:v>3a</c:v>
                </c:pt>
                <c:pt idx="6">
                  <c:v>3b</c:v>
                </c:pt>
                <c:pt idx="7">
                  <c:v>3c</c:v>
                </c:pt>
                <c:pt idx="8">
                  <c:v>3d</c:v>
                </c:pt>
                <c:pt idx="9">
                  <c:v>3e</c:v>
                </c:pt>
                <c:pt idx="10">
                  <c:v>4a</c:v>
                </c:pt>
                <c:pt idx="11">
                  <c:v>4b</c:v>
                </c:pt>
                <c:pt idx="12">
                  <c:v>4c</c:v>
                </c:pt>
                <c:pt idx="13">
                  <c:v>4d</c:v>
                </c:pt>
                <c:pt idx="14">
                  <c:v>4e</c:v>
                </c:pt>
                <c:pt idx="15">
                  <c:v>4f</c:v>
                </c:pt>
                <c:pt idx="16">
                  <c:v>5a</c:v>
                </c:pt>
                <c:pt idx="17">
                  <c:v>5b</c:v>
                </c:pt>
                <c:pt idx="18">
                  <c:v>5c</c:v>
                </c:pt>
                <c:pt idx="19">
                  <c:v>5d</c:v>
                </c:pt>
              </c:strCache>
            </c:strRef>
          </c:cat>
          <c:val>
            <c:numRef>
              <c:f>0</c:f>
              <c:numCache>
                <c:formatCode>General</c:formatCode>
                <c:ptCount val="20"/>
                <c:pt idx="0">
                  <c:v>76</c:v>
                </c:pt>
                <c:pt idx="1">
                  <c:v>5</c:v>
                </c:pt>
                <c:pt idx="2">
                  <c:v>15</c:v>
                </c:pt>
                <c:pt idx="3">
                  <c:v>5</c:v>
                </c:pt>
                <c:pt idx="4">
                  <c:v>75</c:v>
                </c:pt>
                <c:pt idx="5">
                  <c:v>17</c:v>
                </c:pt>
                <c:pt idx="6">
                  <c:v>131</c:v>
                </c:pt>
                <c:pt idx="7">
                  <c:v>14</c:v>
                </c:pt>
                <c:pt idx="8">
                  <c:v>169</c:v>
                </c:pt>
                <c:pt idx="9">
                  <c:v>16</c:v>
                </c:pt>
                <c:pt idx="10">
                  <c:v>2</c:v>
                </c:pt>
                <c:pt idx="11">
                  <c:v>16</c:v>
                </c:pt>
                <c:pt idx="12">
                  <c:v>12</c:v>
                </c:pt>
                <c:pt idx="13">
                  <c:v>60</c:v>
                </c:pt>
                <c:pt idx="14">
                  <c:v>9</c:v>
                </c:pt>
                <c:pt idx="15">
                  <c:v>53</c:v>
                </c:pt>
                <c:pt idx="16">
                  <c:v>38</c:v>
                </c:pt>
                <c:pt idx="17">
                  <c:v>31</c:v>
                </c:pt>
                <c:pt idx="18">
                  <c:v>2</c:v>
                </c:pt>
                <c:pt idx="19">
                  <c:v>15</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Lst>
        </c:ser>
        <c:ser>
          <c:idx val="1"/>
          <c:order val="1"/>
          <c:tx>
            <c:strRef>
              <c:f>label 1</c:f>
              <c:strCache>
                <c:ptCount val="1"/>
                <c:pt idx="0">
                  <c:v>Screenline count</c:v>
                </c:pt>
              </c:strCache>
            </c:strRef>
          </c:tx>
          <c:spPr>
            <a:solidFill>
              <a:srgbClr val="C0504D"/>
            </a:solidFill>
            <a:ln>
              <a:noFill/>
            </a:ln>
          </c:spPr>
          <c:invertIfNegative val="1"/>
          <c:dLbls>
            <c:spPr>
              <a:noFill/>
              <a:ln>
                <a:noFill/>
              </a:ln>
              <a:effectLst/>
            </c:spPr>
            <c:dLblPos val="ct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0"/>
                <c:pt idx="0">
                  <c:v>2a</c:v>
                </c:pt>
                <c:pt idx="1">
                  <c:v>2b</c:v>
                </c:pt>
                <c:pt idx="2">
                  <c:v>2c</c:v>
                </c:pt>
                <c:pt idx="3">
                  <c:v>2d</c:v>
                </c:pt>
                <c:pt idx="4">
                  <c:v>2e</c:v>
                </c:pt>
                <c:pt idx="5">
                  <c:v>3a</c:v>
                </c:pt>
                <c:pt idx="6">
                  <c:v>3b</c:v>
                </c:pt>
                <c:pt idx="7">
                  <c:v>3c</c:v>
                </c:pt>
                <c:pt idx="8">
                  <c:v>3d</c:v>
                </c:pt>
                <c:pt idx="9">
                  <c:v>3e</c:v>
                </c:pt>
                <c:pt idx="10">
                  <c:v>4a</c:v>
                </c:pt>
                <c:pt idx="11">
                  <c:v>4b</c:v>
                </c:pt>
                <c:pt idx="12">
                  <c:v>4c</c:v>
                </c:pt>
                <c:pt idx="13">
                  <c:v>4d</c:v>
                </c:pt>
                <c:pt idx="14">
                  <c:v>4e</c:v>
                </c:pt>
                <c:pt idx="15">
                  <c:v>4f</c:v>
                </c:pt>
                <c:pt idx="16">
                  <c:v>5a</c:v>
                </c:pt>
                <c:pt idx="17">
                  <c:v>5b</c:v>
                </c:pt>
                <c:pt idx="18">
                  <c:v>5c</c:v>
                </c:pt>
                <c:pt idx="19">
                  <c:v>5d</c:v>
                </c:pt>
              </c:strCache>
            </c:strRef>
          </c:cat>
          <c:val>
            <c:numRef>
              <c:f>1</c:f>
              <c:numCache>
                <c:formatCode>General</c:formatCode>
                <c:ptCount val="20"/>
                <c:pt idx="0">
                  <c:v>210.875</c:v>
                </c:pt>
                <c:pt idx="1">
                  <c:v>68</c:v>
                </c:pt>
                <c:pt idx="2">
                  <c:v>44</c:v>
                </c:pt>
                <c:pt idx="3">
                  <c:v>168</c:v>
                </c:pt>
                <c:pt idx="4">
                  <c:v>224</c:v>
                </c:pt>
                <c:pt idx="5">
                  <c:v>73</c:v>
                </c:pt>
                <c:pt idx="6">
                  <c:v>32</c:v>
                </c:pt>
                <c:pt idx="7">
                  <c:v>166</c:v>
                </c:pt>
                <c:pt idx="8">
                  <c:v>535</c:v>
                </c:pt>
                <c:pt idx="9">
                  <c:v>621</c:v>
                </c:pt>
                <c:pt idx="10">
                  <c:v>76</c:v>
                </c:pt>
                <c:pt idx="11">
                  <c:v>66</c:v>
                </c:pt>
                <c:pt idx="12">
                  <c:v>100</c:v>
                </c:pt>
                <c:pt idx="13">
                  <c:v>195</c:v>
                </c:pt>
                <c:pt idx="14">
                  <c:v>146</c:v>
                </c:pt>
                <c:pt idx="15">
                  <c:v>142</c:v>
                </c:pt>
                <c:pt idx="16">
                  <c:v>147</c:v>
                </c:pt>
                <c:pt idx="17">
                  <c:v>175</c:v>
                </c:pt>
                <c:pt idx="18">
                  <c:v>137</c:v>
                </c:pt>
                <c:pt idx="19">
                  <c:v>105</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Lst>
        </c:ser>
        <c:dLbls>
          <c:showLegendKey val="0"/>
          <c:showVal val="0"/>
          <c:showCatName val="0"/>
          <c:showSerName val="0"/>
          <c:showPercent val="0"/>
          <c:showBubbleSize val="0"/>
        </c:dLbls>
        <c:gapWidth val="150"/>
        <c:axId val="327135368"/>
        <c:axId val="327135760"/>
      </c:barChart>
      <c:catAx>
        <c:axId val="327135368"/>
        <c:scaling>
          <c:orientation val="minMax"/>
        </c:scaling>
        <c:delete val="0"/>
        <c:axPos val="b"/>
        <c:numFmt formatCode="General" sourceLinked="0"/>
        <c:majorTickMark val="out"/>
        <c:minorTickMark val="none"/>
        <c:tickLblPos val="nextTo"/>
        <c:spPr>
          <a:ln w="9360">
            <a:solidFill>
              <a:srgbClr val="878787"/>
            </a:solidFill>
            <a:round/>
          </a:ln>
        </c:spPr>
        <c:crossAx val="327135760"/>
        <c:crosses val="autoZero"/>
        <c:auto val="1"/>
        <c:lblAlgn val="ctr"/>
        <c:lblOffset val="100"/>
        <c:noMultiLvlLbl val="1"/>
      </c:catAx>
      <c:valAx>
        <c:axId val="327135760"/>
        <c:scaling>
          <c:orientation val="minMax"/>
        </c:scaling>
        <c:delete val="0"/>
        <c:axPos val="l"/>
        <c:majorGridlines>
          <c:spPr>
            <a:ln w="9360">
              <a:solidFill>
                <a:srgbClr val="878787"/>
              </a:solidFill>
              <a:round/>
            </a:ln>
          </c:spPr>
        </c:majorGridlines>
        <c:numFmt formatCode="General" sourceLinked="1"/>
        <c:majorTickMark val="out"/>
        <c:minorTickMark val="none"/>
        <c:tickLblPos val="nextTo"/>
        <c:spPr>
          <a:ln w="9360">
            <a:solidFill>
              <a:srgbClr val="878787"/>
            </a:solidFill>
            <a:round/>
          </a:ln>
        </c:spPr>
        <c:crossAx val="327135368"/>
        <c:crosses val="autoZero"/>
        <c:crossBetween val="between"/>
      </c:valAx>
      <c:spPr>
        <a:solidFill>
          <a:srgbClr val="FFFFFF"/>
        </a:solidFill>
        <a:ln>
          <a:noFill/>
        </a:ln>
      </c:spPr>
    </c:plotArea>
    <c:legend>
      <c:legendPos val="r"/>
      <c:overlay val="0"/>
      <c:spPr>
        <a:noFill/>
        <a:ln>
          <a:noFill/>
        </a:ln>
      </c:spPr>
    </c:legend>
    <c:plotVisOnly val="1"/>
    <c:dispBlanksAs val="zero"/>
    <c:showDLblsOverMax val="1"/>
  </c:chart>
  <c:spPr>
    <a:solidFill>
      <a:srgbClr val="FFFFFF"/>
    </a:solid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autoTitleDeleted val="1"/>
    <c:plotArea>
      <c:layout/>
      <c:scatterChart>
        <c:scatterStyle val="lineMarker"/>
        <c:varyColors val="0"/>
        <c:ser>
          <c:idx val="0"/>
          <c:order val="0"/>
          <c:tx>
            <c:strRef>
              <c:f>label 1</c:f>
              <c:strCache>
                <c:ptCount val="1"/>
              </c:strCache>
            </c:strRef>
          </c:tx>
          <c:spPr>
            <a:ln w="28440">
              <a:noFill/>
            </a:ln>
          </c:spPr>
          <c:marker>
            <c:symbol val="square"/>
            <c:size val="5"/>
            <c:spPr>
              <a:solidFill>
                <a:srgbClr val="EE4000"/>
              </a:solidFill>
            </c:spPr>
          </c:marker>
          <c:xVal>
            <c:numRef>
              <c:f>1</c:f>
              <c:numCache>
                <c:formatCode>General</c:formatCode>
                <c:ptCount val="20"/>
                <c:pt idx="0">
                  <c:v>76</c:v>
                </c:pt>
                <c:pt idx="1">
                  <c:v>5</c:v>
                </c:pt>
                <c:pt idx="2">
                  <c:v>15</c:v>
                </c:pt>
                <c:pt idx="3">
                  <c:v>5</c:v>
                </c:pt>
                <c:pt idx="4">
                  <c:v>75</c:v>
                </c:pt>
                <c:pt idx="5">
                  <c:v>17</c:v>
                </c:pt>
                <c:pt idx="6">
                  <c:v>131</c:v>
                </c:pt>
                <c:pt idx="7">
                  <c:v>14</c:v>
                </c:pt>
                <c:pt idx="8">
                  <c:v>169</c:v>
                </c:pt>
                <c:pt idx="9">
                  <c:v>16</c:v>
                </c:pt>
                <c:pt idx="10">
                  <c:v>2</c:v>
                </c:pt>
                <c:pt idx="11">
                  <c:v>16</c:v>
                </c:pt>
                <c:pt idx="12">
                  <c:v>12</c:v>
                </c:pt>
                <c:pt idx="13">
                  <c:v>60</c:v>
                </c:pt>
                <c:pt idx="14">
                  <c:v>9</c:v>
                </c:pt>
                <c:pt idx="15">
                  <c:v>53</c:v>
                </c:pt>
                <c:pt idx="16">
                  <c:v>38</c:v>
                </c:pt>
                <c:pt idx="17">
                  <c:v>31</c:v>
                </c:pt>
                <c:pt idx="18">
                  <c:v>2</c:v>
                </c:pt>
                <c:pt idx="19">
                  <c:v>15</c:v>
                </c:pt>
              </c:numCache>
            </c:numRef>
          </c:xVal>
          <c:yVal>
            <c:numRef>
              <c:f>0</c:f>
              <c:numCache>
                <c:formatCode>General</c:formatCode>
                <c:ptCount val="20"/>
                <c:pt idx="0">
                  <c:v>210.875</c:v>
                </c:pt>
                <c:pt idx="1">
                  <c:v>68</c:v>
                </c:pt>
                <c:pt idx="2">
                  <c:v>44</c:v>
                </c:pt>
                <c:pt idx="3">
                  <c:v>168</c:v>
                </c:pt>
                <c:pt idx="4">
                  <c:v>224</c:v>
                </c:pt>
                <c:pt idx="5">
                  <c:v>73</c:v>
                </c:pt>
                <c:pt idx="6">
                  <c:v>32</c:v>
                </c:pt>
                <c:pt idx="7">
                  <c:v>166</c:v>
                </c:pt>
                <c:pt idx="8">
                  <c:v>535</c:v>
                </c:pt>
                <c:pt idx="9">
                  <c:v>621</c:v>
                </c:pt>
                <c:pt idx="10">
                  <c:v>76</c:v>
                </c:pt>
                <c:pt idx="11">
                  <c:v>66</c:v>
                </c:pt>
                <c:pt idx="12">
                  <c:v>100</c:v>
                </c:pt>
                <c:pt idx="13">
                  <c:v>195</c:v>
                </c:pt>
                <c:pt idx="14">
                  <c:v>146</c:v>
                </c:pt>
                <c:pt idx="15">
                  <c:v>142</c:v>
                </c:pt>
                <c:pt idx="16">
                  <c:v>147</c:v>
                </c:pt>
                <c:pt idx="17">
                  <c:v>175</c:v>
                </c:pt>
                <c:pt idx="18">
                  <c:v>137</c:v>
                </c:pt>
                <c:pt idx="19">
                  <c:v>105</c:v>
                </c:pt>
              </c:numCache>
            </c:numRef>
          </c:yVal>
          <c:smooth val="0"/>
        </c:ser>
        <c:dLbls>
          <c:showLegendKey val="0"/>
          <c:showVal val="0"/>
          <c:showCatName val="0"/>
          <c:showSerName val="0"/>
          <c:showPercent val="0"/>
          <c:showBubbleSize val="0"/>
        </c:dLbls>
        <c:axId val="327136544"/>
        <c:axId val="457084152"/>
      </c:scatterChart>
      <c:valAx>
        <c:axId val="327136544"/>
        <c:scaling>
          <c:orientation val="minMax"/>
        </c:scaling>
        <c:delete val="0"/>
        <c:axPos val="b"/>
        <c:title>
          <c:tx>
            <c:rich>
              <a:bodyPr/>
              <a:lstStyle/>
              <a:p>
                <a:pPr>
                  <a:defRPr/>
                </a:pPr>
                <a:r>
                  <a:rPr lang="en-GB" sz="1000" b="1">
                    <a:solidFill>
                      <a:srgbClr val="000000"/>
                    </a:solidFill>
                    <a:latin typeface="Calibri"/>
                  </a:rPr>
                  <a:t>Screenline count</a:t>
                </a:r>
              </a:p>
            </c:rich>
          </c:tx>
          <c:overlay val="1"/>
        </c:title>
        <c:numFmt formatCode="General" sourceLinked="1"/>
        <c:majorTickMark val="out"/>
        <c:minorTickMark val="none"/>
        <c:tickLblPos val="nextTo"/>
        <c:spPr>
          <a:ln w="9360">
            <a:solidFill>
              <a:srgbClr val="878787"/>
            </a:solidFill>
            <a:round/>
          </a:ln>
        </c:spPr>
        <c:crossAx val="457084152"/>
        <c:crosses val="autoZero"/>
        <c:crossBetween val="midCat"/>
      </c:valAx>
      <c:valAx>
        <c:axId val="457084152"/>
        <c:scaling>
          <c:orientation val="minMax"/>
        </c:scaling>
        <c:delete val="0"/>
        <c:axPos val="l"/>
        <c:majorGridlines>
          <c:spPr>
            <a:ln w="9360">
              <a:solidFill>
                <a:srgbClr val="878787"/>
              </a:solidFill>
              <a:round/>
            </a:ln>
          </c:spPr>
        </c:majorGridlines>
        <c:title>
          <c:tx>
            <c:rich>
              <a:bodyPr/>
              <a:lstStyle/>
              <a:p>
                <a:pPr>
                  <a:defRPr/>
                </a:pPr>
                <a:r>
                  <a:rPr lang="en-GB" sz="1000" b="1">
                    <a:solidFill>
                      <a:srgbClr val="000000"/>
                    </a:solidFill>
                    <a:latin typeface="Calibri"/>
                  </a:rPr>
                  <a:t>Model prediction</a:t>
                </a:r>
              </a:p>
            </c:rich>
          </c:tx>
          <c:overlay val="1"/>
        </c:title>
        <c:numFmt formatCode="General" sourceLinked="1"/>
        <c:majorTickMark val="out"/>
        <c:minorTickMark val="none"/>
        <c:tickLblPos val="nextTo"/>
        <c:spPr>
          <a:ln w="9360">
            <a:solidFill>
              <a:srgbClr val="878787"/>
            </a:solidFill>
            <a:round/>
          </a:ln>
        </c:spPr>
        <c:crossAx val="327136544"/>
        <c:crosses val="autoZero"/>
        <c:crossBetween val="midCat"/>
      </c:valAx>
      <c:spPr>
        <a:solidFill>
          <a:srgbClr val="FFFFFF"/>
        </a:solidFill>
        <a:ln>
          <a:noFill/>
        </a:ln>
      </c:spPr>
    </c:plotArea>
    <c:plotVisOnly val="1"/>
    <c:dispBlanksAs val="zero"/>
    <c:showDLblsOverMax val="1"/>
  </c:chart>
  <c:spPr>
    <a:solidFill>
      <a:srgbClr val="FFFFFF"/>
    </a:solidFill>
    <a:ln>
      <a:noFill/>
    </a:ln>
  </c:spPr>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autoTitleDeleted val="1"/>
    <c:plotArea>
      <c:layout/>
      <c:scatterChart>
        <c:scatterStyle val="lineMarker"/>
        <c:varyColors val="0"/>
        <c:ser>
          <c:idx val="0"/>
          <c:order val="0"/>
          <c:tx>
            <c:strRef>
              <c:f>label 0</c:f>
              <c:strCache>
                <c:ptCount val="1"/>
                <c:pt idx="0">
                  <c:v>2012</c:v>
                </c:pt>
              </c:strCache>
            </c:strRef>
          </c:tx>
          <c:spPr>
            <a:ln w="28440">
              <a:noFill/>
            </a:ln>
          </c:spPr>
          <c:marker>
            <c:symbol val="square"/>
            <c:size val="5"/>
            <c:spPr>
              <a:solidFill>
                <a:srgbClr val="EE4000"/>
              </a:solidFill>
            </c:spPr>
          </c:marker>
          <c:xVal>
            <c:numRef>
              <c:f>1</c:f>
              <c:numCache>
                <c:formatCode>General</c:formatCode>
                <c:ptCount val="7"/>
                <c:pt idx="0">
                  <c:v>121.602739726027</c:v>
                </c:pt>
                <c:pt idx="1">
                  <c:v>143.60547945205499</c:v>
                </c:pt>
                <c:pt idx="2">
                  <c:v>85.720547945205496</c:v>
                </c:pt>
                <c:pt idx="3">
                  <c:v>25.194520547945199</c:v>
                </c:pt>
                <c:pt idx="4">
                  <c:v>27.421917808219199</c:v>
                </c:pt>
                <c:pt idx="5">
                  <c:v>18.638356164383602</c:v>
                </c:pt>
                <c:pt idx="6">
                  <c:v>63.183561643835603</c:v>
                </c:pt>
              </c:numCache>
            </c:numRef>
          </c:xVal>
          <c:yVal>
            <c:numRef>
              <c:f>0</c:f>
              <c:numCache>
                <c:formatCode>General</c:formatCode>
                <c:ptCount val="7"/>
                <c:pt idx="0">
                  <c:v>22</c:v>
                </c:pt>
                <c:pt idx="1">
                  <c:v>169</c:v>
                </c:pt>
                <c:pt idx="2">
                  <c:v>0</c:v>
                </c:pt>
                <c:pt idx="3">
                  <c:v>66</c:v>
                </c:pt>
                <c:pt idx="4">
                  <c:v>15</c:v>
                </c:pt>
                <c:pt idx="5">
                  <c:v>72</c:v>
                </c:pt>
                <c:pt idx="6">
                  <c:v>102</c:v>
                </c:pt>
              </c:numCache>
            </c:numRef>
          </c:yVal>
          <c:smooth val="0"/>
        </c:ser>
        <c:ser>
          <c:idx val="1"/>
          <c:order val="1"/>
          <c:tx>
            <c:strRef>
              <c:f>label 2</c:f>
              <c:strCache>
                <c:ptCount val="1"/>
                <c:pt idx="0">
                  <c:v>2013</c:v>
                </c:pt>
              </c:strCache>
            </c:strRef>
          </c:tx>
          <c:spPr>
            <a:ln w="28440">
              <a:noFill/>
            </a:ln>
          </c:spPr>
          <c:marker>
            <c:symbol val="square"/>
            <c:size val="5"/>
            <c:spPr>
              <a:solidFill>
                <a:srgbClr val="EE4000"/>
              </a:solidFill>
            </c:spPr>
          </c:marker>
          <c:xVal>
            <c:numRef>
              <c:f>3</c:f>
              <c:numCache>
                <c:formatCode>General</c:formatCode>
                <c:ptCount val="7"/>
                <c:pt idx="0">
                  <c:v>146.131506849315</c:v>
                </c:pt>
                <c:pt idx="1">
                  <c:v>231.76164383561601</c:v>
                </c:pt>
                <c:pt idx="2">
                  <c:v>153.64657534246601</c:v>
                </c:pt>
                <c:pt idx="3">
                  <c:v>39.210958904109603</c:v>
                </c:pt>
                <c:pt idx="4">
                  <c:v>32.821917808219197</c:v>
                </c:pt>
                <c:pt idx="5">
                  <c:v>27.320547945205501</c:v>
                </c:pt>
                <c:pt idx="6">
                  <c:v>131.10136986301401</c:v>
                </c:pt>
              </c:numCache>
            </c:numRef>
          </c:xVal>
          <c:yVal>
            <c:numRef>
              <c:f>2</c:f>
              <c:numCache>
                <c:formatCode>General</c:formatCode>
                <c:ptCount val="7"/>
                <c:pt idx="0">
                  <c:v>22</c:v>
                </c:pt>
                <c:pt idx="1">
                  <c:v>169</c:v>
                </c:pt>
                <c:pt idx="2">
                  <c:v>0</c:v>
                </c:pt>
                <c:pt idx="3">
                  <c:v>66</c:v>
                </c:pt>
                <c:pt idx="4">
                  <c:v>15</c:v>
                </c:pt>
                <c:pt idx="5">
                  <c:v>72</c:v>
                </c:pt>
                <c:pt idx="6">
                  <c:v>102</c:v>
                </c:pt>
              </c:numCache>
            </c:numRef>
          </c:yVal>
          <c:smooth val="0"/>
        </c:ser>
        <c:ser>
          <c:idx val="2"/>
          <c:order val="2"/>
          <c:tx>
            <c:strRef>
              <c:f>label 4</c:f>
              <c:strCache>
                <c:ptCount val="1"/>
                <c:pt idx="0">
                  <c:v>2014</c:v>
                </c:pt>
              </c:strCache>
            </c:strRef>
          </c:tx>
          <c:spPr>
            <a:ln w="28440">
              <a:noFill/>
            </a:ln>
          </c:spPr>
          <c:marker>
            <c:symbol val="square"/>
            <c:size val="5"/>
            <c:spPr>
              <a:solidFill>
                <a:srgbClr val="EE4000"/>
              </a:solidFill>
            </c:spPr>
          </c:marker>
          <c:xVal>
            <c:numRef>
              <c:f>5</c:f>
              <c:numCache>
                <c:formatCode>General</c:formatCode>
                <c:ptCount val="7"/>
                <c:pt idx="0">
                  <c:v>133.25753424657501</c:v>
                </c:pt>
                <c:pt idx="1">
                  <c:v>326.64109589041101</c:v>
                </c:pt>
                <c:pt idx="2">
                  <c:v>115.931506849315</c:v>
                </c:pt>
                <c:pt idx="3">
                  <c:v>49.082191780821901</c:v>
                </c:pt>
                <c:pt idx="4">
                  <c:v>19.090410958904101</c:v>
                </c:pt>
                <c:pt idx="5">
                  <c:v>37.041095890411</c:v>
                </c:pt>
                <c:pt idx="6">
                  <c:v>156.73424657534201</c:v>
                </c:pt>
              </c:numCache>
            </c:numRef>
          </c:xVal>
          <c:yVal>
            <c:numRef>
              <c:f>4</c:f>
              <c:numCache>
                <c:formatCode>General</c:formatCode>
                <c:ptCount val="7"/>
                <c:pt idx="0">
                  <c:v>22</c:v>
                </c:pt>
                <c:pt idx="1">
                  <c:v>169</c:v>
                </c:pt>
                <c:pt idx="2">
                  <c:v>0</c:v>
                </c:pt>
                <c:pt idx="3">
                  <c:v>66</c:v>
                </c:pt>
                <c:pt idx="4">
                  <c:v>15</c:v>
                </c:pt>
                <c:pt idx="5">
                  <c:v>72</c:v>
                </c:pt>
                <c:pt idx="6">
                  <c:v>102</c:v>
                </c:pt>
              </c:numCache>
            </c:numRef>
          </c:yVal>
          <c:smooth val="0"/>
        </c:ser>
        <c:dLbls>
          <c:showLegendKey val="0"/>
          <c:showVal val="0"/>
          <c:showCatName val="0"/>
          <c:showSerName val="0"/>
          <c:showPercent val="0"/>
          <c:showBubbleSize val="0"/>
        </c:dLbls>
        <c:axId val="457084936"/>
        <c:axId val="457085328"/>
      </c:scatterChart>
      <c:valAx>
        <c:axId val="457084936"/>
        <c:scaling>
          <c:orientation val="minMax"/>
        </c:scaling>
        <c:delete val="0"/>
        <c:axPos val="b"/>
        <c:title>
          <c:tx>
            <c:rich>
              <a:bodyPr/>
              <a:lstStyle/>
              <a:p>
                <a:pPr>
                  <a:defRPr/>
                </a:pPr>
                <a:r>
                  <a:rPr lang="en-GB" sz="1000" b="1">
                    <a:solidFill>
                      <a:srgbClr val="000000"/>
                    </a:solidFill>
                    <a:latin typeface="Calibri"/>
                  </a:rPr>
                  <a:t>Camera count </a:t>
                </a:r>
              </a:p>
            </c:rich>
          </c:tx>
          <c:overlay val="1"/>
        </c:title>
        <c:numFmt formatCode="General" sourceLinked="1"/>
        <c:majorTickMark val="out"/>
        <c:minorTickMark val="none"/>
        <c:tickLblPos val="nextTo"/>
        <c:spPr>
          <a:ln w="9360">
            <a:solidFill>
              <a:srgbClr val="878787"/>
            </a:solidFill>
            <a:round/>
          </a:ln>
        </c:spPr>
        <c:crossAx val="457085328"/>
        <c:crosses val="autoZero"/>
        <c:crossBetween val="midCat"/>
      </c:valAx>
      <c:valAx>
        <c:axId val="457085328"/>
        <c:scaling>
          <c:orientation val="minMax"/>
        </c:scaling>
        <c:delete val="0"/>
        <c:axPos val="l"/>
        <c:majorGridlines>
          <c:spPr>
            <a:ln w="9360">
              <a:solidFill>
                <a:srgbClr val="878787"/>
              </a:solidFill>
              <a:round/>
            </a:ln>
          </c:spPr>
        </c:majorGridlines>
        <c:title>
          <c:tx>
            <c:rich>
              <a:bodyPr/>
              <a:lstStyle/>
              <a:p>
                <a:pPr>
                  <a:defRPr/>
                </a:pPr>
                <a:r>
                  <a:rPr lang="en-GB" sz="1000" b="1">
                    <a:solidFill>
                      <a:srgbClr val="000000"/>
                    </a:solidFill>
                    <a:latin typeface="Calibri"/>
                  </a:rPr>
                  <a:t>Model prediciton</a:t>
                </a:r>
              </a:p>
            </c:rich>
          </c:tx>
          <c:overlay val="1"/>
        </c:title>
        <c:numFmt formatCode="General" sourceLinked="1"/>
        <c:majorTickMark val="out"/>
        <c:minorTickMark val="none"/>
        <c:tickLblPos val="nextTo"/>
        <c:spPr>
          <a:ln w="9360">
            <a:solidFill>
              <a:srgbClr val="878787"/>
            </a:solidFill>
            <a:round/>
          </a:ln>
        </c:spPr>
        <c:crossAx val="457084936"/>
        <c:crosses val="autoZero"/>
        <c:crossBetween val="midCat"/>
      </c:valAx>
      <c:spPr>
        <a:solidFill>
          <a:srgbClr val="FFFFFF"/>
        </a:solidFill>
        <a:ln>
          <a:noFill/>
        </a:ln>
      </c:spPr>
    </c:plotArea>
    <c:legend>
      <c:legendPos val="r"/>
      <c:overlay val="0"/>
      <c:spPr>
        <a:noFill/>
        <a:ln>
          <a:noFill/>
        </a:ln>
      </c:spPr>
    </c:legend>
    <c:plotVisOnly val="1"/>
    <c:dispBlanksAs val="zero"/>
    <c:showDLblsOverMax val="1"/>
  </c:chart>
  <c:spPr>
    <a:solidFill>
      <a:srgbClr val="FFFFFF"/>
    </a:solidFill>
    <a:ln>
      <a:noFill/>
    </a:ln>
  </c:spPr>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autoTitleDeleted val="1"/>
    <c:plotArea>
      <c:layout/>
      <c:barChart>
        <c:barDir val="col"/>
        <c:grouping val="clustered"/>
        <c:varyColors val="1"/>
        <c:ser>
          <c:idx val="0"/>
          <c:order val="0"/>
          <c:tx>
            <c:strRef>
              <c:f>label 0</c:f>
              <c:strCache>
                <c:ptCount val="1"/>
                <c:pt idx="0">
                  <c:v>90241</c:v>
                </c:pt>
              </c:strCache>
            </c:strRef>
          </c:tx>
          <c:spPr>
            <a:solidFill>
              <a:srgbClr val="4672A8"/>
            </a:solidFill>
            <a:ln>
              <a:noFill/>
            </a:ln>
          </c:spPr>
          <c:invertIfNegative val="1"/>
          <c:dLbls>
            <c:spPr>
              <a:noFill/>
              <a:ln>
                <a:noFill/>
              </a:ln>
              <a:effectLst/>
            </c:spPr>
            <c:dLblPos val="ct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6"/>
                <c:pt idx="0">
                  <c:v>2010</c:v>
                </c:pt>
                <c:pt idx="1">
                  <c:v>2011</c:v>
                </c:pt>
                <c:pt idx="2">
                  <c:v>2012</c:v>
                </c:pt>
                <c:pt idx="3">
                  <c:v>2013</c:v>
                </c:pt>
                <c:pt idx="4">
                  <c:v>2014</c:v>
                </c:pt>
                <c:pt idx="5">
                  <c:v>Model</c:v>
                </c:pt>
              </c:strCache>
            </c:strRef>
          </c:cat>
          <c:val>
            <c:numRef>
              <c:f>0</c:f>
              <c:numCache>
                <c:formatCode>General</c:formatCode>
                <c:ptCount val="6"/>
                <c:pt idx="0">
                  <c:v>0</c:v>
                </c:pt>
                <c:pt idx="1">
                  <c:v>11.9972602739726</c:v>
                </c:pt>
                <c:pt idx="2">
                  <c:v>121.602739726027</c:v>
                </c:pt>
                <c:pt idx="3">
                  <c:v>146.131506849315</c:v>
                </c:pt>
                <c:pt idx="4">
                  <c:v>133.25753424657501</c:v>
                </c:pt>
                <c:pt idx="5">
                  <c:v>22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Lst>
        </c:ser>
        <c:ser>
          <c:idx val="1"/>
          <c:order val="1"/>
          <c:tx>
            <c:strRef>
              <c:f>label 1</c:f>
              <c:strCache>
                <c:ptCount val="1"/>
                <c:pt idx="0">
                  <c:v>90810</c:v>
                </c:pt>
              </c:strCache>
            </c:strRef>
          </c:tx>
          <c:spPr>
            <a:solidFill>
              <a:srgbClr val="AB4744"/>
            </a:solidFill>
            <a:ln>
              <a:noFill/>
            </a:ln>
          </c:spPr>
          <c:invertIfNegative val="1"/>
          <c:dLbls>
            <c:spPr>
              <a:noFill/>
              <a:ln>
                <a:noFill/>
              </a:ln>
              <a:effectLst/>
            </c:spPr>
            <c:dLblPos val="ct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6"/>
                <c:pt idx="0">
                  <c:v>2010</c:v>
                </c:pt>
                <c:pt idx="1">
                  <c:v>2011</c:v>
                </c:pt>
                <c:pt idx="2">
                  <c:v>2012</c:v>
                </c:pt>
                <c:pt idx="3">
                  <c:v>2013</c:v>
                </c:pt>
                <c:pt idx="4">
                  <c:v>2014</c:v>
                </c:pt>
                <c:pt idx="5">
                  <c:v>Model</c:v>
                </c:pt>
              </c:strCache>
            </c:strRef>
          </c:cat>
          <c:val>
            <c:numRef>
              <c:f>1</c:f>
              <c:numCache>
                <c:formatCode>General</c:formatCode>
                <c:ptCount val="6"/>
                <c:pt idx="0">
                  <c:v>182.17479674796701</c:v>
                </c:pt>
                <c:pt idx="1">
                  <c:v>169.906849315068</c:v>
                </c:pt>
                <c:pt idx="2">
                  <c:v>143.60547945205499</c:v>
                </c:pt>
                <c:pt idx="3">
                  <c:v>231.76164383561601</c:v>
                </c:pt>
                <c:pt idx="4">
                  <c:v>326.64109589041101</c:v>
                </c:pt>
                <c:pt idx="5">
                  <c:v>169</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Lst>
        </c:ser>
        <c:ser>
          <c:idx val="2"/>
          <c:order val="2"/>
          <c:tx>
            <c:strRef>
              <c:f>label 2</c:f>
              <c:strCache>
                <c:ptCount val="1"/>
                <c:pt idx="0">
                  <c:v>90811</c:v>
                </c:pt>
              </c:strCache>
            </c:strRef>
          </c:tx>
          <c:spPr>
            <a:solidFill>
              <a:srgbClr val="8AA64F"/>
            </a:solidFill>
            <a:ln>
              <a:noFill/>
            </a:ln>
          </c:spPr>
          <c:invertIfNegative val="1"/>
          <c:dLbls>
            <c:spPr>
              <a:noFill/>
              <a:ln>
                <a:noFill/>
              </a:ln>
              <a:effectLst/>
            </c:spPr>
            <c:dLblPos val="ct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6"/>
                <c:pt idx="0">
                  <c:v>2010</c:v>
                </c:pt>
                <c:pt idx="1">
                  <c:v>2011</c:v>
                </c:pt>
                <c:pt idx="2">
                  <c:v>2012</c:v>
                </c:pt>
                <c:pt idx="3">
                  <c:v>2013</c:v>
                </c:pt>
                <c:pt idx="4">
                  <c:v>2014</c:v>
                </c:pt>
                <c:pt idx="5">
                  <c:v>Model</c:v>
                </c:pt>
              </c:strCache>
            </c:strRef>
          </c:cat>
          <c:val>
            <c:numRef>
              <c:f>2</c:f>
              <c:numCache>
                <c:formatCode>General</c:formatCode>
                <c:ptCount val="6"/>
                <c:pt idx="0">
                  <c:v>0</c:v>
                </c:pt>
                <c:pt idx="1">
                  <c:v>0</c:v>
                </c:pt>
                <c:pt idx="2">
                  <c:v>85.720547945205496</c:v>
                </c:pt>
                <c:pt idx="3">
                  <c:v>153.64657534246601</c:v>
                </c:pt>
                <c:pt idx="4">
                  <c:v>115.931506849315</c:v>
                </c:pt>
                <c:pt idx="5">
                  <c:v>0</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Lst>
        </c:ser>
        <c:ser>
          <c:idx val="3"/>
          <c:order val="3"/>
          <c:tx>
            <c:strRef>
              <c:f>label 3</c:f>
              <c:strCache>
                <c:ptCount val="1"/>
                <c:pt idx="0">
                  <c:v>100122</c:v>
                </c:pt>
              </c:strCache>
            </c:strRef>
          </c:tx>
          <c:spPr>
            <a:solidFill>
              <a:srgbClr val="725990"/>
            </a:solidFill>
            <a:ln>
              <a:noFill/>
            </a:ln>
          </c:spPr>
          <c:invertIfNegative val="1"/>
          <c:dLbls>
            <c:spPr>
              <a:noFill/>
              <a:ln>
                <a:noFill/>
              </a:ln>
              <a:effectLst/>
            </c:spPr>
            <c:dLblPos val="ct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6"/>
                <c:pt idx="0">
                  <c:v>2010</c:v>
                </c:pt>
                <c:pt idx="1">
                  <c:v>2011</c:v>
                </c:pt>
                <c:pt idx="2">
                  <c:v>2012</c:v>
                </c:pt>
                <c:pt idx="3">
                  <c:v>2013</c:v>
                </c:pt>
                <c:pt idx="4">
                  <c:v>2014</c:v>
                </c:pt>
                <c:pt idx="5">
                  <c:v>Model</c:v>
                </c:pt>
              </c:strCache>
            </c:strRef>
          </c:cat>
          <c:val>
            <c:numRef>
              <c:f>3</c:f>
              <c:numCache>
                <c:formatCode>General</c:formatCode>
                <c:ptCount val="6"/>
                <c:pt idx="0">
                  <c:v>0</c:v>
                </c:pt>
                <c:pt idx="1">
                  <c:v>0</c:v>
                </c:pt>
                <c:pt idx="2">
                  <c:v>25.194520547945199</c:v>
                </c:pt>
                <c:pt idx="3">
                  <c:v>39.210958904109603</c:v>
                </c:pt>
                <c:pt idx="4">
                  <c:v>49.082191780821901</c:v>
                </c:pt>
                <c:pt idx="5">
                  <c:v>66</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Lst>
        </c:ser>
        <c:ser>
          <c:idx val="4"/>
          <c:order val="4"/>
          <c:tx>
            <c:strRef>
              <c:f>label 4</c:f>
              <c:strCache>
                <c:ptCount val="1"/>
                <c:pt idx="0">
                  <c:v>100217</c:v>
                </c:pt>
              </c:strCache>
            </c:strRef>
          </c:tx>
          <c:spPr>
            <a:solidFill>
              <a:srgbClr val="4299B0"/>
            </a:solidFill>
            <a:ln>
              <a:noFill/>
            </a:ln>
          </c:spPr>
          <c:invertIfNegative val="1"/>
          <c:dLbls>
            <c:spPr>
              <a:noFill/>
              <a:ln>
                <a:noFill/>
              </a:ln>
              <a:effectLst/>
            </c:spPr>
            <c:dLblPos val="ct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6"/>
                <c:pt idx="0">
                  <c:v>2010</c:v>
                </c:pt>
                <c:pt idx="1">
                  <c:v>2011</c:v>
                </c:pt>
                <c:pt idx="2">
                  <c:v>2012</c:v>
                </c:pt>
                <c:pt idx="3">
                  <c:v>2013</c:v>
                </c:pt>
                <c:pt idx="4">
                  <c:v>2014</c:v>
                </c:pt>
                <c:pt idx="5">
                  <c:v>Model</c:v>
                </c:pt>
              </c:strCache>
            </c:strRef>
          </c:cat>
          <c:val>
            <c:numRef>
              <c:f>4</c:f>
              <c:numCache>
                <c:formatCode>General</c:formatCode>
                <c:ptCount val="6"/>
                <c:pt idx="0">
                  <c:v>0</c:v>
                </c:pt>
                <c:pt idx="1">
                  <c:v>15.9643835616438</c:v>
                </c:pt>
                <c:pt idx="2">
                  <c:v>27.421917808219199</c:v>
                </c:pt>
                <c:pt idx="3">
                  <c:v>32.821917808219197</c:v>
                </c:pt>
                <c:pt idx="4">
                  <c:v>19.090410958904101</c:v>
                </c:pt>
                <c:pt idx="5">
                  <c:v>15</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Lst>
        </c:ser>
        <c:ser>
          <c:idx val="5"/>
          <c:order val="5"/>
          <c:tx>
            <c:strRef>
              <c:f>label 5</c:f>
              <c:strCache>
                <c:ptCount val="1"/>
                <c:pt idx="0">
                  <c:v>100628</c:v>
                </c:pt>
              </c:strCache>
            </c:strRef>
          </c:tx>
          <c:spPr>
            <a:solidFill>
              <a:srgbClr val="DC853E"/>
            </a:solidFill>
            <a:ln>
              <a:noFill/>
            </a:ln>
          </c:spPr>
          <c:invertIfNegative val="1"/>
          <c:dLbls>
            <c:spPr>
              <a:noFill/>
              <a:ln>
                <a:noFill/>
              </a:ln>
              <a:effectLst/>
            </c:spPr>
            <c:dLblPos val="ct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6"/>
                <c:pt idx="0">
                  <c:v>2010</c:v>
                </c:pt>
                <c:pt idx="1">
                  <c:v>2011</c:v>
                </c:pt>
                <c:pt idx="2">
                  <c:v>2012</c:v>
                </c:pt>
                <c:pt idx="3">
                  <c:v>2013</c:v>
                </c:pt>
                <c:pt idx="4">
                  <c:v>2014</c:v>
                </c:pt>
                <c:pt idx="5">
                  <c:v>Model</c:v>
                </c:pt>
              </c:strCache>
            </c:strRef>
          </c:cat>
          <c:val>
            <c:numRef>
              <c:f>5</c:f>
              <c:numCache>
                <c:formatCode>General</c:formatCode>
                <c:ptCount val="6"/>
                <c:pt idx="0">
                  <c:v>0</c:v>
                </c:pt>
                <c:pt idx="1">
                  <c:v>0</c:v>
                </c:pt>
                <c:pt idx="2">
                  <c:v>18.638356164383602</c:v>
                </c:pt>
                <c:pt idx="3">
                  <c:v>27.320547945205501</c:v>
                </c:pt>
                <c:pt idx="4">
                  <c:v>37.041095890411</c:v>
                </c:pt>
                <c:pt idx="5">
                  <c:v>72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Lst>
        </c:ser>
        <c:ser>
          <c:idx val="6"/>
          <c:order val="6"/>
          <c:tx>
            <c:strRef>
              <c:f>label 6</c:f>
              <c:strCache>
                <c:ptCount val="1"/>
                <c:pt idx="0">
                  <c:v>100629</c:v>
                </c:pt>
              </c:strCache>
            </c:strRef>
          </c:tx>
          <c:spPr>
            <a:solidFill>
              <a:srgbClr val="93A9CE"/>
            </a:solidFill>
            <a:ln>
              <a:noFill/>
            </a:ln>
          </c:spPr>
          <c:invertIfNegative val="1"/>
          <c:dLbls>
            <c:spPr>
              <a:noFill/>
              <a:ln>
                <a:noFill/>
              </a:ln>
              <a:effectLst/>
            </c:spPr>
            <c:dLblPos val="ct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6"/>
                <c:pt idx="0">
                  <c:v>2010</c:v>
                </c:pt>
                <c:pt idx="1">
                  <c:v>2011</c:v>
                </c:pt>
                <c:pt idx="2">
                  <c:v>2012</c:v>
                </c:pt>
                <c:pt idx="3">
                  <c:v>2013</c:v>
                </c:pt>
                <c:pt idx="4">
                  <c:v>2014</c:v>
                </c:pt>
                <c:pt idx="5">
                  <c:v>Model</c:v>
                </c:pt>
              </c:strCache>
            </c:strRef>
          </c:cat>
          <c:val>
            <c:numRef>
              <c:f>6</c:f>
              <c:numCache>
                <c:formatCode>General</c:formatCode>
                <c:ptCount val="6"/>
                <c:pt idx="0">
                  <c:v>0</c:v>
                </c:pt>
                <c:pt idx="1">
                  <c:v>0</c:v>
                </c:pt>
                <c:pt idx="2">
                  <c:v>63.183561643835603</c:v>
                </c:pt>
                <c:pt idx="3">
                  <c:v>131.10136986301401</c:v>
                </c:pt>
                <c:pt idx="4">
                  <c:v>156.73424657534201</c:v>
                </c:pt>
                <c:pt idx="5">
                  <c:v>102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Lst>
        </c:ser>
        <c:dLbls>
          <c:showLegendKey val="0"/>
          <c:showVal val="0"/>
          <c:showCatName val="0"/>
          <c:showSerName val="0"/>
          <c:showPercent val="0"/>
          <c:showBubbleSize val="0"/>
        </c:dLbls>
        <c:gapWidth val="150"/>
        <c:axId val="329507632"/>
        <c:axId val="205696864"/>
      </c:barChart>
      <c:catAx>
        <c:axId val="329507632"/>
        <c:scaling>
          <c:orientation val="minMax"/>
        </c:scaling>
        <c:delete val="0"/>
        <c:axPos val="b"/>
        <c:numFmt formatCode="General" sourceLinked="0"/>
        <c:majorTickMark val="out"/>
        <c:minorTickMark val="none"/>
        <c:tickLblPos val="nextTo"/>
        <c:spPr>
          <a:ln w="9360">
            <a:solidFill>
              <a:srgbClr val="878787"/>
            </a:solidFill>
            <a:round/>
          </a:ln>
        </c:spPr>
        <c:crossAx val="205696864"/>
        <c:crosses val="autoZero"/>
        <c:auto val="1"/>
        <c:lblAlgn val="ctr"/>
        <c:lblOffset val="100"/>
        <c:noMultiLvlLbl val="1"/>
      </c:catAx>
      <c:valAx>
        <c:axId val="205696864"/>
        <c:scaling>
          <c:orientation val="minMax"/>
        </c:scaling>
        <c:delete val="0"/>
        <c:axPos val="l"/>
        <c:majorGridlines>
          <c:spPr>
            <a:ln w="9360">
              <a:solidFill>
                <a:srgbClr val="878787"/>
              </a:solidFill>
              <a:round/>
            </a:ln>
          </c:spPr>
        </c:majorGridlines>
        <c:numFmt formatCode="General" sourceLinked="1"/>
        <c:majorTickMark val="out"/>
        <c:minorTickMark val="none"/>
        <c:tickLblPos val="nextTo"/>
        <c:spPr>
          <a:ln w="9360">
            <a:solidFill>
              <a:srgbClr val="878787"/>
            </a:solidFill>
            <a:round/>
          </a:ln>
        </c:spPr>
        <c:crossAx val="329507632"/>
        <c:crosses val="autoZero"/>
        <c:crossBetween val="between"/>
      </c:valAx>
      <c:spPr>
        <a:solidFill>
          <a:srgbClr val="FFFFFF"/>
        </a:solidFill>
        <a:ln>
          <a:noFill/>
        </a:ln>
      </c:spPr>
    </c:plotArea>
    <c:legend>
      <c:legendPos val="r"/>
      <c:overlay val="0"/>
      <c:spPr>
        <a:noFill/>
        <a:ln>
          <a:noFill/>
        </a:ln>
      </c:spPr>
    </c:legend>
    <c:plotVisOnly val="1"/>
    <c:dispBlanksAs val="zero"/>
    <c:showDLblsOverMax val="1"/>
  </c:chart>
  <c:spPr>
    <a:solidFill>
      <a:srgbClr val="FFFFFF"/>
    </a:solidFill>
    <a:ln>
      <a:noFill/>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2329</Words>
  <Characters>13276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15574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Whittle [gy14mw]</dc:creator>
  <cp:lastModifiedBy>Matthew Whittle [gy14mw]</cp:lastModifiedBy>
  <cp:revision>2</cp:revision>
  <dcterms:created xsi:type="dcterms:W3CDTF">2015-12-03T10:56:00Z</dcterms:created>
  <dcterms:modified xsi:type="dcterms:W3CDTF">2015-12-03T10:56:00Z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University of Leeds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