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800" w:type="dxa"/>
        <w:tblLook w:val="04A0" w:firstRow="1" w:lastRow="0" w:firstColumn="1" w:lastColumn="0" w:noHBand="0" w:noVBand="1"/>
      </w:tblPr>
      <w:tblGrid>
        <w:gridCol w:w="1092"/>
        <w:gridCol w:w="718"/>
        <w:gridCol w:w="1050"/>
        <w:gridCol w:w="1058"/>
      </w:tblGrid>
      <w:tr w:rsidR="00AF6A16" w:rsidRPr="00AF6A16" w14:paraId="2F35DB93" w14:textId="77777777" w:rsidTr="00AF6A16">
        <w:trPr>
          <w:trHeight w:val="1215"/>
        </w:trPr>
        <w:tc>
          <w:tcPr>
            <w:tcW w:w="38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E16D96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Table 1: Person and sex-specific analysis of predictors of heart attack admissions for all ages for Local Authorities (2010-2013).</w:t>
            </w:r>
          </w:p>
        </w:tc>
      </w:tr>
      <w:tr w:rsidR="00AF6A16" w:rsidRPr="00AF6A16" w14:paraId="0AAD2806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56634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E9D86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IRR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E0634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Lower CI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0E1A5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Upper CI</w:t>
            </w:r>
          </w:p>
        </w:tc>
      </w:tr>
      <w:tr w:rsidR="00AF6A16" w:rsidRPr="00AF6A16" w14:paraId="3A8A113F" w14:textId="77777777" w:rsidTr="00AF6A16">
        <w:trPr>
          <w:trHeight w:val="300"/>
        </w:trPr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20AF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All Persons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9D63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A133" w14:textId="77777777" w:rsidR="00AF6A16" w:rsidRPr="00AF6A16" w:rsidRDefault="00AF6A16" w:rsidP="00AF6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F6A16" w:rsidRPr="00AF6A16" w14:paraId="303B03B6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710E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17C0" w14:textId="77777777" w:rsidR="00AF6A16" w:rsidRPr="00AF6A16" w:rsidRDefault="00D7401D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7401D">
              <w:rPr>
                <w:rFonts w:ascii="Calibri" w:eastAsia="Times New Roman" w:hAnsi="Calibri" w:cs="Times New Roman"/>
                <w:color w:val="000000"/>
                <w:lang w:eastAsia="en-GB"/>
              </w:rPr>
              <w:t>0.963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0FA5" w14:textId="77777777" w:rsidR="00AF6A16" w:rsidRPr="00AF6A16" w:rsidRDefault="00D7401D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0.960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002F" w14:textId="77777777" w:rsidR="00AF6A16" w:rsidRPr="00AF6A16" w:rsidRDefault="00AF6A16" w:rsidP="00D740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0.96</w:t>
            </w:r>
            <w:r w:rsidR="00D7401D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AF6A16" w:rsidRPr="00AF6A16" w14:paraId="01372430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A2186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50BAA" w14:textId="77777777" w:rsidR="00AF6A16" w:rsidRPr="00AF6A16" w:rsidRDefault="00AF6A16" w:rsidP="00D740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</w:t>
            </w:r>
            <w:r w:rsidR="00D7401D">
              <w:rPr>
                <w:rFonts w:ascii="Calibri" w:eastAsia="Times New Roman" w:hAnsi="Calibri" w:cs="Times New Roman"/>
                <w:color w:val="000000"/>
                <w:lang w:eastAsia="en-GB"/>
              </w:rPr>
              <w:t>95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D4782" w14:textId="77777777" w:rsidR="00AF6A16" w:rsidRPr="00AF6A16" w:rsidRDefault="00AF6A16" w:rsidP="00D740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</w:t>
            </w:r>
            <w:r w:rsidR="00D7401D">
              <w:rPr>
                <w:rFonts w:ascii="Calibri" w:eastAsia="Times New Roman" w:hAnsi="Calibri" w:cs="Times New Roman"/>
                <w:color w:val="000000"/>
                <w:lang w:eastAsia="en-GB"/>
              </w:rPr>
              <w:t>93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D1C65" w14:textId="77777777" w:rsidR="00AF6A16" w:rsidRPr="00AF6A16" w:rsidRDefault="00AF6A16" w:rsidP="00D740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0.99</w:t>
            </w:r>
            <w:r w:rsidR="00D7401D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AF6A16" w:rsidRPr="00AF6A16" w14:paraId="148D5B8F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0294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commentRangeStart w:id="0"/>
            <w:r w:rsidRPr="00AF6A16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Males</w:t>
            </w:r>
            <w:commentRangeEnd w:id="0"/>
            <w:r w:rsidR="00AB16E3">
              <w:rPr>
                <w:rStyle w:val="CommentReference"/>
              </w:rPr>
              <w:commentReference w:id="0"/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C9FF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25F5" w14:textId="77777777" w:rsidR="00AF6A16" w:rsidRPr="00AF6A16" w:rsidRDefault="00AF6A16" w:rsidP="00AF6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1E9D" w14:textId="77777777" w:rsidR="00AF6A16" w:rsidRPr="00AF6A16" w:rsidRDefault="00AF6A16" w:rsidP="00AF6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F6A16" w:rsidRPr="00AF6A16" w14:paraId="3EB3348F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2D5B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BC92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15F1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0.965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7D6B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0.984</w:t>
            </w:r>
          </w:p>
        </w:tc>
      </w:tr>
      <w:tr w:rsidR="00AF6A16" w:rsidRPr="00AF6A16" w14:paraId="5D37F268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41EBF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C8C8E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0.986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91781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0.981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76343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0.990</w:t>
            </w:r>
          </w:p>
        </w:tc>
      </w:tr>
      <w:tr w:rsidR="00AF6A16" w:rsidRPr="00AF6A16" w14:paraId="0220AB97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5D4B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Females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D419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925C" w14:textId="77777777" w:rsidR="00AF6A16" w:rsidRPr="00AF6A16" w:rsidRDefault="00AF6A16" w:rsidP="00AF6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8DA5" w14:textId="77777777" w:rsidR="00AF6A16" w:rsidRPr="00AF6A16" w:rsidRDefault="00AF6A16" w:rsidP="00AF6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F6A16" w:rsidRPr="00AF6A16" w14:paraId="59879F1D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7F9F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C059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C8AE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0.965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BDCF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0.985</w:t>
            </w:r>
          </w:p>
        </w:tc>
      </w:tr>
      <w:tr w:rsidR="00AF6A16" w:rsidRPr="00AF6A16" w14:paraId="6390BD72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01179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B250E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93240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0.978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98284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0.996</w:t>
            </w:r>
          </w:p>
        </w:tc>
      </w:tr>
      <w:tr w:rsidR="00AF6A16" w:rsidRPr="00AF6A16" w14:paraId="72E5788A" w14:textId="77777777" w:rsidTr="00AF6A16">
        <w:trPr>
          <w:trHeight w:val="2460"/>
        </w:trPr>
        <w:tc>
          <w:tcPr>
            <w:tcW w:w="38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0A0CC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Note: Each model was adjusted for level of deprivation, prevalence of overweight and obesity, levels of physical activity and smoking. Model included an age- and sex-specific offset which was the expected count of admissions to control for age and sex differences between Local Authorities.</w:t>
            </w:r>
          </w:p>
        </w:tc>
      </w:tr>
    </w:tbl>
    <w:p w14:paraId="684E3C71" w14:textId="77777777" w:rsidR="0051611D" w:rsidRDefault="00B95E02"/>
    <w:tbl>
      <w:tblPr>
        <w:tblW w:w="7640" w:type="dxa"/>
        <w:tblLook w:val="04A0" w:firstRow="1" w:lastRow="0" w:firstColumn="1" w:lastColumn="0" w:noHBand="0" w:noVBand="1"/>
      </w:tblPr>
      <w:tblGrid>
        <w:gridCol w:w="748"/>
        <w:gridCol w:w="974"/>
        <w:gridCol w:w="733"/>
        <w:gridCol w:w="1109"/>
        <w:gridCol w:w="1117"/>
        <w:gridCol w:w="733"/>
        <w:gridCol w:w="1109"/>
        <w:gridCol w:w="1117"/>
      </w:tblGrid>
      <w:tr w:rsidR="00AF6A16" w:rsidRPr="00AF6A16" w14:paraId="51158AB3" w14:textId="77777777" w:rsidTr="00AF6A16">
        <w:trPr>
          <w:trHeight w:val="600"/>
        </w:trPr>
        <w:tc>
          <w:tcPr>
            <w:tcW w:w="7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71B410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Table 2: Age specific Poisson regression examining predictors of heart attack admissions for Local Authorities (2010-2013)</w:t>
            </w:r>
          </w:p>
        </w:tc>
      </w:tr>
      <w:tr w:rsidR="00AF6A16" w:rsidRPr="00AF6A16" w14:paraId="58FEF529" w14:textId="77777777" w:rsidTr="00AF6A16">
        <w:trPr>
          <w:trHeight w:val="300"/>
        </w:trPr>
        <w:tc>
          <w:tcPr>
            <w:tcW w:w="172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76DA68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59867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Males</w:t>
            </w:r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49257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Females</w:t>
            </w:r>
          </w:p>
        </w:tc>
      </w:tr>
      <w:tr w:rsidR="00AF6A16" w:rsidRPr="00AF6A16" w14:paraId="26B8BE4C" w14:textId="77777777" w:rsidTr="00AF6A16">
        <w:trPr>
          <w:trHeight w:val="300"/>
        </w:trPr>
        <w:tc>
          <w:tcPr>
            <w:tcW w:w="17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1012C4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CC01F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IRR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333B7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Lower CI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F3ADC7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Upper CI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E6AE8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IRR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8284A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Lower CI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E68D7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Upper CI</w:t>
            </w:r>
          </w:p>
        </w:tc>
      </w:tr>
      <w:tr w:rsidR="00C545FD" w:rsidRPr="00AF6A16" w14:paraId="1B72786E" w14:textId="77777777" w:rsidTr="00DF24F2">
        <w:trPr>
          <w:trHeight w:val="300"/>
        </w:trPr>
        <w:tc>
          <w:tcPr>
            <w:tcW w:w="74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693A50" w14:textId="77777777" w:rsidR="00C545FD" w:rsidRPr="00AF6A16" w:rsidRDefault="00C545FD" w:rsidP="00C545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16-24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BFBB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2EA8" w14:textId="2FE62E01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AA54" w14:textId="369B274F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18A7" w14:textId="22BC0476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AB17" w14:textId="0A8D2543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1.122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64D3" w14:textId="6B0D14AE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0.856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D9D4" w14:textId="659F5576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1.358</w:t>
            </w:r>
          </w:p>
        </w:tc>
      </w:tr>
      <w:tr w:rsidR="00C545FD" w:rsidRPr="00AF6A16" w14:paraId="13607B65" w14:textId="77777777" w:rsidTr="00DF24F2">
        <w:trPr>
          <w:trHeight w:val="300"/>
        </w:trPr>
        <w:tc>
          <w:tcPr>
            <w:tcW w:w="74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82C258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66E27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CB33F" w14:textId="562D00B3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55301" w14:textId="3E1E5633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DFC0B" w14:textId="52C6A5DA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B120D" w14:textId="7F572F55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077D4" w14:textId="2E009A00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1EA90" w14:textId="4B2500B4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1.017</w:t>
            </w:r>
          </w:p>
        </w:tc>
      </w:tr>
      <w:tr w:rsidR="00C545FD" w:rsidRPr="00AF6A16" w14:paraId="0297CF30" w14:textId="77777777" w:rsidTr="00DF24F2">
        <w:trPr>
          <w:trHeight w:val="300"/>
        </w:trPr>
        <w:tc>
          <w:tcPr>
            <w:tcW w:w="74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6A8670" w14:textId="77777777" w:rsidR="00C545FD" w:rsidRPr="00AF6A16" w:rsidRDefault="00C545FD" w:rsidP="00C545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25-34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47218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E2DA" w14:textId="3220394A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A0C2" w14:textId="2AA6355C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0.894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0AF8" w14:textId="1FB44845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936C" w14:textId="17CFC0B5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9371" w14:textId="37FBCABB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1D88" w14:textId="189DBE5B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1.040</w:t>
            </w:r>
          </w:p>
        </w:tc>
      </w:tr>
      <w:tr w:rsidR="00C545FD" w:rsidRPr="00AF6A16" w14:paraId="095C9EEB" w14:textId="77777777" w:rsidTr="00DF24F2">
        <w:trPr>
          <w:trHeight w:val="300"/>
        </w:trPr>
        <w:tc>
          <w:tcPr>
            <w:tcW w:w="74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F423AE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98960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81D71" w14:textId="682F1E96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E2B61" w14:textId="2F408CE5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2EBFA" w14:textId="2EAE25D3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39116" w14:textId="640FBBE1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1ECD4" w14:textId="19696381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77A53" w14:textId="5A460A49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1.016</w:t>
            </w:r>
          </w:p>
        </w:tc>
      </w:tr>
      <w:tr w:rsidR="00C545FD" w:rsidRPr="00AF6A16" w14:paraId="73DB763D" w14:textId="77777777" w:rsidTr="00DF24F2">
        <w:trPr>
          <w:trHeight w:val="300"/>
        </w:trPr>
        <w:tc>
          <w:tcPr>
            <w:tcW w:w="74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494BE7" w14:textId="77777777" w:rsidR="00C545FD" w:rsidRPr="00AF6A16" w:rsidRDefault="00C545FD" w:rsidP="00C545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35-44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AF0A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EF78" w14:textId="0BBB21D1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AA74" w14:textId="7D954CEF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1882" w14:textId="411083B5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EA14" w14:textId="68532B29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B33E" w14:textId="2A6CC8D6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0.919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3149" w14:textId="7C2B2F83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0.979</w:t>
            </w:r>
          </w:p>
        </w:tc>
      </w:tr>
      <w:tr w:rsidR="00C545FD" w:rsidRPr="00AF6A16" w14:paraId="3AAAD28B" w14:textId="77777777" w:rsidTr="00DF24F2">
        <w:trPr>
          <w:trHeight w:val="300"/>
        </w:trPr>
        <w:tc>
          <w:tcPr>
            <w:tcW w:w="74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53EF41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E7C6F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896C7" w14:textId="3FEDF141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D0BB6" w14:textId="75F584E8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72088" w14:textId="6FB3143E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7CBF5" w14:textId="12831699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86BF0" w14:textId="7E49CF00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1D2A5" w14:textId="747CF916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0.966</w:t>
            </w:r>
          </w:p>
        </w:tc>
      </w:tr>
      <w:tr w:rsidR="00C545FD" w:rsidRPr="00AF6A16" w14:paraId="2A099006" w14:textId="77777777" w:rsidTr="00DF24F2">
        <w:trPr>
          <w:trHeight w:val="300"/>
        </w:trPr>
        <w:tc>
          <w:tcPr>
            <w:tcW w:w="74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5BE6BA" w14:textId="77777777" w:rsidR="00C545FD" w:rsidRPr="00AF6A16" w:rsidRDefault="00C545FD" w:rsidP="00C545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45-54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4B4E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D218" w14:textId="58261BFC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A5A1" w14:textId="7E395187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F332" w14:textId="3F6D8DFF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999C" w14:textId="71F4E151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C458" w14:textId="50675768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0.893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5989" w14:textId="05004887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0.925</w:t>
            </w:r>
          </w:p>
        </w:tc>
      </w:tr>
      <w:tr w:rsidR="00C545FD" w:rsidRPr="00AF6A16" w14:paraId="2ED7E04A" w14:textId="77777777" w:rsidTr="00DF24F2">
        <w:trPr>
          <w:trHeight w:val="300"/>
        </w:trPr>
        <w:tc>
          <w:tcPr>
            <w:tcW w:w="74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E6F2F2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313AA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65438" w14:textId="359A892B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9E519" w14:textId="30FCE4B7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6DA8D" w14:textId="388BDE46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B57B3" w14:textId="33EE14D8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026E7" w14:textId="25099115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11A38" w14:textId="2266D422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0.960</w:t>
            </w:r>
          </w:p>
        </w:tc>
      </w:tr>
      <w:tr w:rsidR="00C545FD" w:rsidRPr="00AF6A16" w14:paraId="4FE6D282" w14:textId="77777777" w:rsidTr="00DF24F2">
        <w:trPr>
          <w:trHeight w:val="300"/>
        </w:trPr>
        <w:tc>
          <w:tcPr>
            <w:tcW w:w="74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C439CC" w14:textId="77777777" w:rsidR="00C545FD" w:rsidRPr="00AF6A16" w:rsidRDefault="00C545FD" w:rsidP="00C545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55-64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A0274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F095" w14:textId="2E1CC8A7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792B" w14:textId="44216C5D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35D1" w14:textId="2C1A2386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92E7" w14:textId="60550D2E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8B0D" w14:textId="02382A00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3130" w14:textId="5EC1DFF7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0.946</w:t>
            </w:r>
          </w:p>
        </w:tc>
      </w:tr>
      <w:tr w:rsidR="00C545FD" w:rsidRPr="00AF6A16" w14:paraId="4873769C" w14:textId="77777777" w:rsidTr="00DF24F2">
        <w:trPr>
          <w:trHeight w:val="300"/>
        </w:trPr>
        <w:tc>
          <w:tcPr>
            <w:tcW w:w="74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26976C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BEE0B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7CD5F" w14:textId="4CB249A8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EAA41" w14:textId="6E749CA5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632F1" w14:textId="41941F70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D0B48" w14:textId="51A4FA4C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6D127" w14:textId="7784F26C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292B7" w14:textId="5547D4D0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0.956</w:t>
            </w:r>
          </w:p>
        </w:tc>
      </w:tr>
      <w:tr w:rsidR="00AF6A16" w:rsidRPr="00AF6A16" w14:paraId="00668564" w14:textId="77777777" w:rsidTr="00AF6A16">
        <w:trPr>
          <w:trHeight w:val="585"/>
        </w:trPr>
        <w:tc>
          <w:tcPr>
            <w:tcW w:w="764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A0961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Note: Each age-specific model was adjusted for level of deprivation, prevalence of overweight and obesity, levels of physical activity and smoking</w:t>
            </w:r>
          </w:p>
        </w:tc>
      </w:tr>
    </w:tbl>
    <w:p w14:paraId="7817F4D0" w14:textId="77777777" w:rsidR="00AF6A16" w:rsidRDefault="00AF6A16"/>
    <w:p w14:paraId="4A17C533" w14:textId="77777777" w:rsidR="00AF6A16" w:rsidRDefault="00AF6A16">
      <w:r>
        <w:t>Note: IRR = incidence rate ratio, CI = credible interval</w:t>
      </w:r>
    </w:p>
    <w:p w14:paraId="5ACA239B" w14:textId="77777777" w:rsidR="00744414" w:rsidRDefault="00744414"/>
    <w:p w14:paraId="17C4C95A" w14:textId="77777777" w:rsidR="00744414" w:rsidRDefault="00744414"/>
    <w:p w14:paraId="23EB129A" w14:textId="1AC1A2EA" w:rsidR="00E64D2D" w:rsidRDefault="005862A9">
      <w:r>
        <w:lastRenderedPageBreak/>
        <w:t>Table 2</w:t>
      </w:r>
      <w:r w:rsidR="00744414">
        <w:t xml:space="preserve"> presents the overall association between the percentage of individuals using active transport and the incidence of myocardial infarction. There is a clear negative association with the prevalence of cycling, with a one percentage increase in the individuals cycling within a Local Authority associated with a decrease in the likelihood of an additiona</w:t>
      </w:r>
      <w:r>
        <w:t xml:space="preserve">l heart attack of 3.7%. </w:t>
      </w:r>
      <w:r w:rsidR="00744414">
        <w:t>A small</w:t>
      </w:r>
      <w:r w:rsidR="003B09D3">
        <w:t>er</w:t>
      </w:r>
      <w:r w:rsidR="00744414">
        <w:t xml:space="preserve"> negative </w:t>
      </w:r>
      <w:r>
        <w:t>association</w:t>
      </w:r>
      <w:r w:rsidR="00744414">
        <w:t xml:space="preserve"> was observed for the percentage of people who walk to work </w:t>
      </w:r>
      <w:r>
        <w:t>(IRR = 0.995, 95% CIs = 0.993-0.997)</w:t>
      </w:r>
      <w:r w:rsidR="00E64D2D">
        <w:t xml:space="preserve">. </w:t>
      </w:r>
      <w:commentRangeStart w:id="1"/>
      <w:r w:rsidR="00E64D2D">
        <w:t xml:space="preserve">Similar </w:t>
      </w:r>
      <w:commentRangeEnd w:id="1"/>
      <w:r w:rsidR="00E64D2D">
        <w:rPr>
          <w:rStyle w:val="CommentReference"/>
        </w:rPr>
        <w:commentReference w:id="1"/>
      </w:r>
      <w:r w:rsidR="00E64D2D">
        <w:t>results were found when disaggregating the analyses by sex (</w:t>
      </w:r>
      <w:r w:rsidR="005634E3">
        <w:t xml:space="preserve">for </w:t>
      </w:r>
      <w:r w:rsidR="00E64D2D">
        <w:t>both outcomes and exposures).</w:t>
      </w:r>
    </w:p>
    <w:p w14:paraId="5F8AE6BA" w14:textId="7F6E7101" w:rsidR="005862A9" w:rsidRDefault="005862A9">
      <w:r>
        <w:t>Table 3 extends the analysis through disaggregating the measures by age band (</w:t>
      </w:r>
      <w:r w:rsidR="005634E3">
        <w:t xml:space="preserve">for </w:t>
      </w:r>
      <w:r>
        <w:t xml:space="preserve">both outcomes and exposures). </w:t>
      </w:r>
      <w:r w:rsidR="00E64D2D">
        <w:t xml:space="preserve">The results largely follow the same direction with mainly consistent negative associations </w:t>
      </w:r>
      <w:r w:rsidR="005634E3">
        <w:t xml:space="preserve">for both walking and cycling </w:t>
      </w:r>
      <w:r w:rsidR="00E64D2D">
        <w:t xml:space="preserve">across each sex and age band. </w:t>
      </w:r>
      <w:r w:rsidR="005634E3">
        <w:t xml:space="preserve">Only the percentage of walking for 16-24 demonstrates no clear association to incidence of myocardial infarction. </w:t>
      </w:r>
      <w:r w:rsidR="005634E3">
        <w:t>For males, the effect size for cycling varies by age band with a u-shape curve with the largest incidence rate ratio among individuals aged 16-24</w:t>
      </w:r>
      <w:r w:rsidR="00F9293F">
        <w:t xml:space="preserve"> (</w:t>
      </w:r>
      <w:r w:rsidR="00F9293F">
        <w:t xml:space="preserve">although the credible </w:t>
      </w:r>
      <w:r w:rsidR="00F9293F">
        <w:t>intervals overlap)</w:t>
      </w:r>
      <w:r w:rsidR="005634E3">
        <w:t>. For walking there are</w:t>
      </w:r>
      <w:r w:rsidR="00E64D2D">
        <w:t xml:space="preserve"> larger incidence rate ratios at older age bands. </w:t>
      </w:r>
      <w:r w:rsidR="005634E3">
        <w:t>The incidence rate ratios are larger for cycling than compared to walking for each age band other than 45-54.</w:t>
      </w:r>
    </w:p>
    <w:p w14:paraId="43836DD2" w14:textId="3E1021A1" w:rsidR="005862A9" w:rsidRDefault="005220F3">
      <w:r>
        <w:t xml:space="preserve">Females present similar consistent negative associations across each age band, although </w:t>
      </w:r>
      <w:r w:rsidR="00F9293F">
        <w:t xml:space="preserve">the patterns by age bands differ to males. </w:t>
      </w:r>
      <w:r w:rsidR="00F9293F">
        <w:t>The credible intervals for both cycling and walking variables for females in age bands 16-24 and 25-34 crossed a value of 1 suggesting that there were no association among these demographic groups.</w:t>
      </w:r>
      <w:r w:rsidR="00F9293F">
        <w:t xml:space="preserve"> There is little consistent pattern between age bands as well. </w:t>
      </w:r>
      <w:r w:rsidR="00F9293F">
        <w:t xml:space="preserve">The incidence rate ratio is </w:t>
      </w:r>
      <w:r w:rsidR="00B95E02">
        <w:t xml:space="preserve">also </w:t>
      </w:r>
      <w:r w:rsidR="00F9293F">
        <w:t>consistently lower (i.e. a stronger effect size) for cycling compared to walking.</w:t>
      </w:r>
      <w:bookmarkStart w:id="2" w:name="_GoBack"/>
      <w:bookmarkEnd w:id="2"/>
    </w:p>
    <w:sectPr w:rsidR="0058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bin Lovelace" w:date="2017-01-10T11:31:00Z" w:initials="RL">
    <w:p w14:paraId="22FE24AB" w14:textId="77777777" w:rsidR="00AB16E3" w:rsidRDefault="00AB16E3">
      <w:pPr>
        <w:pStyle w:val="CommentText"/>
      </w:pPr>
      <w:r>
        <w:rPr>
          <w:rStyle w:val="CommentReference"/>
        </w:rPr>
        <w:annotationRef/>
      </w:r>
      <w:r>
        <w:t>Mark to update Males and Females</w:t>
      </w:r>
    </w:p>
  </w:comment>
  <w:comment w:id="1" w:author="Mark Green" w:date="2017-01-10T14:47:00Z" w:initials="MG">
    <w:p w14:paraId="1B7FDC31" w14:textId="2E1E8D24" w:rsidR="00E64D2D" w:rsidRDefault="00E64D2D">
      <w:pPr>
        <w:pStyle w:val="CommentText"/>
      </w:pPr>
      <w:r>
        <w:rPr>
          <w:rStyle w:val="CommentReference"/>
        </w:rPr>
        <w:annotationRef/>
      </w:r>
      <w:r>
        <w:t>Needs updating later - MG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FE24A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in Lovelace">
    <w15:presenceInfo w15:providerId="AD" w15:userId="S-1-5-21-1390067357-1993962763-725345543-4348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A16"/>
    <w:rsid w:val="0002354B"/>
    <w:rsid w:val="000B134E"/>
    <w:rsid w:val="00371451"/>
    <w:rsid w:val="003B09D3"/>
    <w:rsid w:val="005220F3"/>
    <w:rsid w:val="005634E3"/>
    <w:rsid w:val="005862A9"/>
    <w:rsid w:val="006E5F78"/>
    <w:rsid w:val="00744414"/>
    <w:rsid w:val="0077074E"/>
    <w:rsid w:val="00AB16E3"/>
    <w:rsid w:val="00AF6A16"/>
    <w:rsid w:val="00B95E02"/>
    <w:rsid w:val="00C545FD"/>
    <w:rsid w:val="00CE2098"/>
    <w:rsid w:val="00D03C01"/>
    <w:rsid w:val="00D7401D"/>
    <w:rsid w:val="00E64D2D"/>
    <w:rsid w:val="00F9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A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1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6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E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1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6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Mark</dc:creator>
  <cp:keywords/>
  <dc:description/>
  <cp:lastModifiedBy>Mark Green</cp:lastModifiedBy>
  <cp:revision>13</cp:revision>
  <dcterms:created xsi:type="dcterms:W3CDTF">2017-01-10T11:22:00Z</dcterms:created>
  <dcterms:modified xsi:type="dcterms:W3CDTF">2017-01-10T15:08:00Z</dcterms:modified>
</cp:coreProperties>
</file>