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ind w:left="-141.73228346456688" w:firstLine="0"/>
        <w:jc w:val="center"/>
        <w:rPr>
          <w:rFonts w:ascii="Times New Roman" w:cs="Times New Roman" w:eastAsia="Times New Roman" w:hAnsi="Times New Roman"/>
          <w:b w:val="1"/>
          <w:bCs w:val="1"/>
          <w:sz w:val="30"/>
          <w:szCs w:val="30"/>
        </w:rPr>
      </w:pPr>
      <w:bookmarkStart w:colFirst="0" w:colLast="0" w:name="_ehlmsl6jsqok" w:id="0"/>
      <w:bookmarkEnd w:id="0"/>
      <w:r w:rsidDel="00000000" w:rsidR="00000000" w:rsidRPr="00000000">
        <w:rPr>
          <w:rFonts w:ascii="Times New Roman" w:cs="Times New Roman" w:eastAsia="Times New Roman" w:hAnsi="Times New Roman"/>
          <w:b w:val="1"/>
          <w:bCs w:val="1"/>
          <w:sz w:val="32"/>
          <w:szCs w:val="32"/>
          <w:rtl w:val="0"/>
        </w:rPr>
        <w:t xml:space="preserve">Governance by Design: An EU AI Act Compliance Framework for AI-Enabled Emergency Department Triage</w:t>
      </w:r>
      <w:r w:rsidDel="00000000" w:rsidR="00000000" w:rsidRPr="00000000">
        <w:rPr>
          <w:rFonts w:ascii="Times New Roman" w:cs="Times New Roman" w:eastAsia="Times New Roman" w:hAnsi="Times New Roman"/>
          <w:b w:val="1"/>
          <w:bCs w:val="1"/>
          <w:sz w:val="30"/>
          <w:szCs w:val="30"/>
          <w:rtl w:val="0"/>
        </w:rPr>
        <w:t xml:space="preserve"> </w:t>
      </w:r>
    </w:p>
    <w:p w:rsidR="00000000" w:rsidDel="00000000" w:rsidP="00000000" w:rsidRDefault="00000000" w:rsidRPr="00000000" w14:paraId="00000002">
      <w:pPr>
        <w:spacing w:after="24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Report Submitted in Partial Fulfillment of the Requirements for MSc Artificial Intelligence and Data Science</w:t>
      </w:r>
    </w:p>
    <w:p w:rsidR="00000000" w:rsidDel="00000000" w:rsidP="00000000" w:rsidRDefault="00000000" w:rsidRPr="00000000" w14:paraId="00000003">
      <w:pPr>
        <w:spacing w:after="24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PREPARED BY </w:t>
      </w:r>
    </w:p>
    <w:p w:rsidR="00000000" w:rsidDel="00000000" w:rsidP="00000000" w:rsidRDefault="00000000" w:rsidRPr="00000000" w14:paraId="00000004">
      <w:pPr>
        <w:spacing w:after="24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Nathaniel Onosemudiana Ovabor       Student ID: 3058557</w:t>
      </w:r>
    </w:p>
    <w:p w:rsidR="00000000" w:rsidDel="00000000" w:rsidP="00000000" w:rsidRDefault="00000000" w:rsidRPr="00000000" w14:paraId="00000005">
      <w:pPr>
        <w:spacing w:after="24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Robinson Victor Chukwudi         Student ID: 3045867</w:t>
      </w:r>
    </w:p>
    <w:p w:rsidR="00000000" w:rsidDel="00000000" w:rsidP="00000000" w:rsidRDefault="00000000" w:rsidRPr="00000000" w14:paraId="00000006">
      <w:pPr>
        <w:spacing w:after="240" w:before="240" w:line="48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Sai Charan Burujukindi             Student ID: 3018871 </w:t>
      </w:r>
    </w:p>
    <w:p w:rsidR="00000000" w:rsidDel="00000000" w:rsidP="00000000" w:rsidRDefault="00000000" w:rsidRPr="00000000" w14:paraId="00000007">
      <w:pPr>
        <w:spacing w:after="24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TO</w:t>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SCHOOL OF ARCHITECTURE, COMPUTING, &amp; ENGINEERING (ACE)  </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UNIVERSITY OF EAST LONDON</w:t>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Date of Submission: 23rd December 2025</w:t>
      </w:r>
    </w:p>
    <w:p w:rsidR="00000000" w:rsidDel="00000000" w:rsidP="00000000" w:rsidRDefault="00000000" w:rsidRPr="00000000" w14:paraId="0000000B">
      <w:pPr>
        <w:spacing w:after="240" w:before="240"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240" w:before="240"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ind w:left="-141.73228346456688"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ind w:left="-141.73228346456688"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sdt>
      <w:sdtPr>
        <w:id w:val="1675568132"/>
        <w:docPartObj>
          <w:docPartGallery w:val="Table of Contents"/>
          <w:docPartUnique w:val="1"/>
        </w:docPartObj>
      </w:sdtPr>
      <w:sdtContent>
        <w:p w:rsidR="00000000" w:rsidDel="00000000" w:rsidP="00000000" w:rsidRDefault="00000000" w:rsidRPr="00000000" w14:paraId="00000010">
          <w:pPr>
            <w:widowControl w:val="0"/>
            <w:tabs>
              <w:tab w:val="right" w:leader="dot" w:pos="9025.511811023624"/>
            </w:tabs>
            <w:spacing w:before="60" w:line="24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bCs w:val="1"/>
              <w:sz w:val="24"/>
              <w:szCs w:val="24"/>
              <w:rtl w:val="0"/>
            </w:rPr>
            <w:t xml:space="preserve">SECTION 1 ABSTRACT</w:t>
          </w:r>
          <w:hyperlink w:anchor="_xlrfah386dq">
            <w:r w:rsidDel="00000000" w:rsidR="00000000" w:rsidRPr="00000000">
              <w:rPr>
                <w:rFonts w:ascii="Times New Roman" w:cs="Times New Roman" w:eastAsia="Times New Roman" w:hAnsi="Times New Roman"/>
                <w:b w:val="1"/>
                <w:bCs w:val="1"/>
                <w:color w:val="000000"/>
                <w:sz w:val="24"/>
                <w:szCs w:val="24"/>
                <w:u w:val="none"/>
                <w:rtl w:val="0"/>
              </w:rPr>
              <w:tab/>
            </w:r>
          </w:hyperlink>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40" w:lineRule="auto"/>
            <w:rPr>
              <w:rFonts w:ascii="Times New Roman" w:cs="Times New Roman" w:eastAsia="Times New Roman" w:hAnsi="Times New Roman"/>
              <w:b w:val="1"/>
              <w:bCs w:val="1"/>
              <w:color w:val="000000"/>
              <w:sz w:val="24"/>
              <w:szCs w:val="24"/>
              <w:u w:val="none"/>
            </w:rPr>
          </w:pPr>
          <w:hyperlink w:anchor="_sk7v68iln9h2">
            <w:r w:rsidDel="00000000" w:rsidR="00000000" w:rsidRPr="00000000">
              <w:rPr>
                <w:rFonts w:ascii="Times New Roman" w:cs="Times New Roman" w:eastAsia="Times New Roman" w:hAnsi="Times New Roman"/>
                <w:b w:val="1"/>
                <w:bCs w:val="1"/>
                <w:color w:val="000000"/>
                <w:sz w:val="24"/>
                <w:szCs w:val="24"/>
                <w:u w:val="none"/>
                <w:rtl w:val="0"/>
              </w:rPr>
              <w:t xml:space="preserve">SECTION 2</w:t>
            </w:r>
          </w:hyperlink>
          <w:hyperlink w:anchor="_sk7v68iln9h2">
            <w:r w:rsidDel="00000000" w:rsidR="00000000" w:rsidRPr="00000000">
              <w:rPr>
                <w:rFonts w:ascii="Times New Roman" w:cs="Times New Roman" w:eastAsia="Times New Roman" w:hAnsi="Times New Roman"/>
                <w:b w:val="1"/>
                <w:bCs w:val="1"/>
                <w:sz w:val="24"/>
                <w:szCs w:val="24"/>
                <w:rtl w:val="0"/>
              </w:rPr>
              <w:t xml:space="preserve"> INTRODUCTION</w:t>
            </w:r>
          </w:hyperlink>
          <w:hyperlink w:anchor="_sk7v68iln9h2">
            <w:r w:rsidDel="00000000" w:rsidR="00000000" w:rsidRPr="00000000">
              <w:rPr>
                <w:rFonts w:ascii="Times New Roman" w:cs="Times New Roman" w:eastAsia="Times New Roman" w:hAnsi="Times New Roman"/>
                <w:b w:val="1"/>
                <w:bCs w:val="1"/>
                <w:color w:val="000000"/>
                <w:sz w:val="24"/>
                <w:szCs w:val="24"/>
                <w:u w:val="none"/>
                <w:rtl w:val="0"/>
              </w:rPr>
              <w:t xml:space="preserve"> &amp; PROJECT RATIONALE</w:t>
              <w:tab/>
            </w:r>
          </w:hyperlink>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bjbhxtebvvl8">
            <w:r w:rsidDel="00000000" w:rsidR="00000000" w:rsidRPr="00000000">
              <w:rPr>
                <w:rFonts w:ascii="Times New Roman" w:cs="Times New Roman" w:eastAsia="Times New Roman" w:hAnsi="Times New Roman"/>
                <w:color w:val="000000"/>
                <w:sz w:val="24"/>
                <w:szCs w:val="24"/>
                <w:u w:val="none"/>
                <w:rtl w:val="0"/>
              </w:rPr>
              <w:t xml:space="preserve">2.1 Background</w:t>
              <w:tab/>
            </w:r>
          </w:hyperlink>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bjbhxtebvvl8">
            <w:r w:rsidDel="00000000" w:rsidR="00000000" w:rsidRPr="00000000">
              <w:rPr>
                <w:rFonts w:ascii="Times New Roman" w:cs="Times New Roman" w:eastAsia="Times New Roman" w:hAnsi="Times New Roman"/>
                <w:color w:val="000000"/>
                <w:sz w:val="24"/>
                <w:szCs w:val="24"/>
                <w:u w:val="none"/>
                <w:rtl w:val="0"/>
              </w:rPr>
              <w:t xml:space="preserve">2.2 Motivation</w:t>
              <w:tab/>
            </w:r>
          </w:hyperlink>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okilru6xac0r">
            <w:r w:rsidDel="00000000" w:rsidR="00000000" w:rsidRPr="00000000">
              <w:rPr>
                <w:rFonts w:ascii="Times New Roman" w:cs="Times New Roman" w:eastAsia="Times New Roman" w:hAnsi="Times New Roman"/>
                <w:color w:val="000000"/>
                <w:sz w:val="24"/>
                <w:szCs w:val="24"/>
                <w:u w:val="none"/>
                <w:rtl w:val="0"/>
              </w:rPr>
              <w:t xml:space="preserve">2.3 Problem Statement</w:t>
              <w:tab/>
            </w:r>
          </w:hyperlink>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bjbhxtebvvl8">
            <w:r w:rsidDel="00000000" w:rsidR="00000000" w:rsidRPr="00000000">
              <w:rPr>
                <w:rFonts w:ascii="Times New Roman" w:cs="Times New Roman" w:eastAsia="Times New Roman" w:hAnsi="Times New Roman"/>
                <w:color w:val="000000"/>
                <w:sz w:val="24"/>
                <w:szCs w:val="24"/>
                <w:u w:val="none"/>
                <w:rtl w:val="0"/>
              </w:rPr>
              <w:t xml:space="preserve">2.4 Research Objectives (2–4 concise points)</w:t>
              <w:tab/>
            </w:r>
          </w:hyperlink>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240" w:lineRule="auto"/>
            <w:ind w:left="720" w:firstLine="0"/>
            <w:rPr>
              <w:rFonts w:ascii="Times New Roman" w:cs="Times New Roman" w:eastAsia="Times New Roman" w:hAnsi="Times New Roman"/>
              <w:sz w:val="24"/>
              <w:szCs w:val="24"/>
            </w:rPr>
          </w:pPr>
          <w:hyperlink w:anchor="_pgvfpcl2fmdz">
            <w:r w:rsidDel="00000000" w:rsidR="00000000" w:rsidRPr="00000000">
              <w:rPr>
                <w:rFonts w:ascii="Times New Roman" w:cs="Times New Roman" w:eastAsia="Times New Roman" w:hAnsi="Times New Roman"/>
                <w:color w:val="000000"/>
                <w:sz w:val="24"/>
                <w:szCs w:val="24"/>
                <w:u w:val="none"/>
                <w:rtl w:val="0"/>
              </w:rPr>
              <w:t xml:space="preserve">2.5 Report Structure</w:t>
              <w:tab/>
            </w:r>
          </w:hyperlink>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17">
          <w:pPr>
            <w:widowControl w:val="0"/>
            <w:tabs>
              <w:tab w:val="right" w:leader="dot" w:pos="9025.511811023624"/>
            </w:tabs>
            <w:spacing w:before="6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 LITERATURE REVIEW……………………………………………………. 6</w:t>
          </w:r>
        </w:p>
        <w:p w:rsidR="00000000" w:rsidDel="00000000" w:rsidP="00000000" w:rsidRDefault="00000000" w:rsidRPr="00000000" w14:paraId="00000018">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oo55biqk59op">
            <w:r w:rsidDel="00000000" w:rsidR="00000000" w:rsidRPr="00000000">
              <w:rPr>
                <w:rFonts w:ascii="Times New Roman" w:cs="Times New Roman" w:eastAsia="Times New Roman" w:hAnsi="Times New Roman"/>
                <w:color w:val="000000"/>
                <w:sz w:val="24"/>
                <w:szCs w:val="24"/>
                <w:u w:val="none"/>
                <w:rtl w:val="0"/>
              </w:rPr>
              <w:t xml:space="preserve">3.1 Related Literature</w:t>
              <w:tab/>
            </w:r>
          </w:hyperlink>
          <w:r w:rsidDel="00000000" w:rsidR="00000000" w:rsidRPr="00000000">
            <w:fldChar w:fldCharType="begin"/>
            <w:instrText xml:space="preserve"> PAGEREF _oo55biqk59op \h </w:instrText>
            <w:fldChar w:fldCharType="separate"/>
          </w:r>
          <w:r w:rsidDel="00000000" w:rsidR="00000000" w:rsidRPr="00000000">
            <w:rPr>
              <w:rFonts w:ascii="Times New Roman" w:cs="Times New Roman" w:eastAsia="Times New Roman" w:hAnsi="Times New Roman"/>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025.511811023624"/>
            </w:tabs>
            <w:spacing w:before="60" w:line="240" w:lineRule="auto"/>
            <w:ind w:left="0" w:firstLine="0"/>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color w:val="000000"/>
              <w:sz w:val="24"/>
              <w:szCs w:val="24"/>
              <w:u w:val="none"/>
              <w:rtl w:val="0"/>
            </w:rPr>
            <w:t xml:space="preserve">      </w:t>
          </w:r>
          <w:hyperlink w:anchor="_841wrxmynb0f">
            <w:r w:rsidDel="00000000" w:rsidR="00000000" w:rsidRPr="00000000">
              <w:rPr>
                <w:rFonts w:ascii="Times New Roman" w:cs="Times New Roman" w:eastAsia="Times New Roman" w:hAnsi="Times New Roman"/>
                <w:color w:val="000000"/>
                <w:sz w:val="24"/>
                <w:szCs w:val="24"/>
                <w:u w:val="none"/>
                <w:rtl w:val="0"/>
              </w:rPr>
              <w:t xml:space="preserve">3.2 Critical Analysis and Synthesis</w:t>
              <w:tab/>
              <w:t xml:space="preserve">..</w:t>
            </w:r>
          </w:hyperlink>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01A">
          <w:pPr>
            <w:widowControl w:val="0"/>
            <w:tabs>
              <w:tab w:val="right" w:leader="dot" w:pos="9025.511811023624"/>
            </w:tabs>
            <w:spacing w:before="60" w:line="240" w:lineRule="auto"/>
            <w:ind w:left="720" w:firstLine="0"/>
            <w:rPr>
              <w:rFonts w:ascii="Times New Roman" w:cs="Times New Roman" w:eastAsia="Times New Roman" w:hAnsi="Times New Roman"/>
              <w:color w:val="000000"/>
              <w:sz w:val="24"/>
              <w:szCs w:val="24"/>
              <w:u w:val="none"/>
            </w:rPr>
          </w:pPr>
          <w:hyperlink w:anchor="_s6eykr8p0jch">
            <w:r w:rsidDel="00000000" w:rsidR="00000000" w:rsidRPr="00000000">
              <w:rPr>
                <w:rFonts w:ascii="Times New Roman" w:cs="Times New Roman" w:eastAsia="Times New Roman" w:hAnsi="Times New Roman"/>
                <w:color w:val="000000"/>
                <w:sz w:val="24"/>
                <w:szCs w:val="24"/>
                <w:u w:val="none"/>
                <w:rtl w:val="0"/>
              </w:rPr>
              <w:t xml:space="preserve">Mandatory Table (as required):</w:t>
              <w:tab/>
            </w:r>
          </w:hyperlink>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1B">
          <w:pPr>
            <w:widowControl w:val="0"/>
            <w:tabs>
              <w:tab w:val="right" w:leader="dot" w:pos="9025.511811023624"/>
            </w:tabs>
            <w:spacing w:before="60" w:line="240" w:lineRule="auto"/>
            <w:rPr>
              <w:rFonts w:ascii="Times New Roman" w:cs="Times New Roman" w:eastAsia="Times New Roman" w:hAnsi="Times New Roman"/>
              <w:b w:val="1"/>
              <w:bCs w:val="1"/>
              <w:color w:val="171717"/>
              <w:sz w:val="24"/>
              <w:szCs w:val="24"/>
              <w:highlight w:val="white"/>
            </w:rPr>
          </w:pPr>
          <w:hyperlink w:anchor="_gqx61ewn9dx">
            <w:r w:rsidDel="00000000" w:rsidR="00000000" w:rsidRPr="00000000">
              <w:rPr>
                <w:rFonts w:ascii="Times New Roman" w:cs="Times New Roman" w:eastAsia="Times New Roman" w:hAnsi="Times New Roman"/>
                <w:b w:val="1"/>
                <w:bCs w:val="1"/>
                <w:color w:val="000000"/>
                <w:sz w:val="24"/>
                <w:szCs w:val="24"/>
                <w:u w:val="none"/>
                <w:rtl w:val="0"/>
              </w:rPr>
              <w:t xml:space="preserve">SECTION 4: END-TO-END CONCEPTUAL DESIGN OF AN EU AI ACT-COMPLIANT MEDICAL TRIAGE SYSTEM</w:t>
              <w:tab/>
            </w:r>
          </w:hyperlink>
          <w:r w:rsidDel="00000000" w:rsidR="00000000" w:rsidRPr="00000000">
            <w:fldChar w:fldCharType="begin"/>
            <w:instrText xml:space="preserve"> PAGEREF _gqx61ewn9dx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1"/>
              <w:bCs w:val="1"/>
              <w:color w:val="171717"/>
              <w:sz w:val="24"/>
              <w:szCs w:val="24"/>
              <w:highlight w:val="white"/>
              <w:rtl w:val="0"/>
            </w:rPr>
            <w:t xml:space="preserve">3</w:t>
          </w:r>
        </w:p>
        <w:p w:rsidR="00000000" w:rsidDel="00000000" w:rsidP="00000000" w:rsidRDefault="00000000" w:rsidRPr="00000000" w14:paraId="0000001C">
          <w:pPr>
            <w:widowControl w:val="0"/>
            <w:tabs>
              <w:tab w:val="right" w:leader="dot" w:pos="9025.511811023624"/>
            </w:tabs>
            <w:spacing w:before="60" w:line="240" w:lineRule="auto"/>
            <w:rPr>
              <w:rFonts w:ascii="Times New Roman" w:cs="Times New Roman" w:eastAsia="Times New Roman" w:hAnsi="Times New Roman"/>
              <w:color w:val="000000"/>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71717"/>
              <w:sz w:val="24"/>
              <w:szCs w:val="24"/>
              <w:highlight w:val="white"/>
              <w:rtl w:val="0"/>
            </w:rPr>
            <w:t xml:space="preserve">4.1 Architecture Block Diagram……………………………………………………...….13</w:t>
          </w:r>
          <w:r w:rsidDel="00000000" w:rsidR="00000000" w:rsidRPr="00000000">
            <w:rPr>
              <w:rtl w:val="0"/>
            </w:rPr>
          </w:r>
        </w:p>
        <w:p w:rsidR="00000000" w:rsidDel="00000000" w:rsidP="00000000" w:rsidRDefault="00000000" w:rsidRPr="00000000" w14:paraId="0000001D">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7blm15cy1ayl">
            <w:r w:rsidDel="00000000" w:rsidR="00000000" w:rsidRPr="00000000">
              <w:rPr>
                <w:rFonts w:ascii="Times New Roman" w:cs="Times New Roman" w:eastAsia="Times New Roman" w:hAnsi="Times New Roman"/>
                <w:color w:val="000000"/>
                <w:sz w:val="24"/>
                <w:szCs w:val="24"/>
                <w:u w:val="none"/>
                <w:rtl w:val="0"/>
              </w:rPr>
              <w:t xml:space="preserve">4.2 Input Datasets and Key Attributes</w:t>
              <w:tab/>
            </w:r>
          </w:hyperlink>
          <w:r w:rsidDel="00000000" w:rsidR="00000000" w:rsidRPr="00000000">
            <w:fldChar w:fldCharType="begin"/>
            <w:instrText xml:space="preserve"> PAGEREF _7blm15cy1ayl \h </w:instrText>
            <w:fldChar w:fldCharType="separate"/>
          </w:r>
          <w:r w:rsidDel="00000000" w:rsidR="00000000" w:rsidRPr="00000000">
            <w:rPr>
              <w:rFonts w:ascii="Times New Roman" w:cs="Times New Roman" w:eastAsia="Times New Roman" w:hAnsi="Times New Roman"/>
              <w:sz w:val="24"/>
              <w:szCs w:val="24"/>
              <w:rtl w:val="0"/>
            </w:rPr>
            <w:t xml:space="preserve">1</w:t>
          </w: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1E">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650281o9nsmx">
            <w:r w:rsidDel="00000000" w:rsidR="00000000" w:rsidRPr="00000000">
              <w:rPr>
                <w:rFonts w:ascii="Times New Roman" w:cs="Times New Roman" w:eastAsia="Times New Roman" w:hAnsi="Times New Roman"/>
                <w:color w:val="000000"/>
                <w:sz w:val="24"/>
                <w:szCs w:val="24"/>
                <w:u w:val="none"/>
                <w:rtl w:val="0"/>
              </w:rPr>
              <w:t xml:space="preserve">4.3 Data Processing and Feature Extraction</w:t>
              <w:tab/>
            </w:r>
          </w:hyperlink>
          <w:r w:rsidDel="00000000" w:rsidR="00000000" w:rsidRPr="00000000">
            <w:fldChar w:fldCharType="begin"/>
            <w:instrText xml:space="preserve"> PAGEREF _650281o9nsmx \h </w:instrText>
            <w:fldChar w:fldCharType="separate"/>
          </w:r>
          <w:r w:rsidDel="00000000" w:rsidR="00000000" w:rsidRPr="00000000">
            <w:rPr>
              <w:rFonts w:ascii="Times New Roman" w:cs="Times New Roman" w:eastAsia="Times New Roman" w:hAnsi="Times New Roman"/>
              <w:sz w:val="24"/>
              <w:szCs w:val="24"/>
              <w:rtl w:val="0"/>
            </w:rPr>
            <w:t xml:space="preserve">1</w:t>
          </w: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c158jpxnmi5e">
            <w:r w:rsidDel="00000000" w:rsidR="00000000" w:rsidRPr="00000000">
              <w:rPr>
                <w:rFonts w:ascii="Times New Roman" w:cs="Times New Roman" w:eastAsia="Times New Roman" w:hAnsi="Times New Roman"/>
                <w:color w:val="000000"/>
                <w:sz w:val="24"/>
                <w:szCs w:val="24"/>
                <w:u w:val="none"/>
                <w:rtl w:val="0"/>
              </w:rPr>
              <w:t xml:space="preserve">4.4 Model Design and Hybrid Architecture</w:t>
              <w:tab/>
            </w:r>
          </w:hyperlink>
          <w:r w:rsidDel="00000000" w:rsidR="00000000" w:rsidRPr="00000000">
            <w:fldChar w:fldCharType="begin"/>
            <w:instrText xml:space="preserve"> PAGEREF _c158jpxnmi5e \h </w:instrText>
            <w:fldChar w:fldCharType="separate"/>
          </w:r>
          <w:r w:rsidDel="00000000" w:rsidR="00000000" w:rsidRPr="00000000">
            <w:rPr>
              <w:rFonts w:ascii="Times New Roman" w:cs="Times New Roman" w:eastAsia="Times New Roman" w:hAnsi="Times New Roman"/>
              <w:sz w:val="24"/>
              <w:szCs w:val="24"/>
              <w:rtl w:val="0"/>
            </w:rPr>
            <w:t xml:space="preserve">1</w:t>
          </w: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wwk8aihajctg">
            <w:r w:rsidDel="00000000" w:rsidR="00000000" w:rsidRPr="00000000">
              <w:rPr>
                <w:rFonts w:ascii="Times New Roman" w:cs="Times New Roman" w:eastAsia="Times New Roman" w:hAnsi="Times New Roman"/>
                <w:color w:val="000000"/>
                <w:sz w:val="24"/>
                <w:szCs w:val="24"/>
                <w:u w:val="none"/>
                <w:rtl w:val="0"/>
              </w:rPr>
              <w:t xml:space="preserve">4.5 Output, Evaluation, and Human Oversight</w:t>
              <w:tab/>
            </w:r>
          </w:hyperlink>
          <w:r w:rsidDel="00000000" w:rsidR="00000000" w:rsidRPr="00000000">
            <w:fldChar w:fldCharType="begin"/>
            <w:instrText xml:space="preserve"> PAGEREF _wwk8aihajctg \h </w:instrText>
            <w:fldChar w:fldCharType="separate"/>
          </w:r>
          <w:r w:rsidDel="00000000" w:rsidR="00000000" w:rsidRPr="00000000">
            <w:rPr>
              <w:rFonts w:ascii="Times New Roman" w:cs="Times New Roman" w:eastAsia="Times New Roman" w:hAnsi="Times New Roman"/>
              <w:sz w:val="24"/>
              <w:szCs w:val="24"/>
              <w:rtl w:val="0"/>
            </w:rPr>
            <w:t xml:space="preserve">1</w:t>
          </w: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rPr>
              <w:rFonts w:ascii="Times New Roman" w:cs="Times New Roman" w:eastAsia="Times New Roman" w:hAnsi="Times New Roman"/>
              <w:b w:val="1"/>
              <w:bCs w:val="1"/>
              <w:color w:val="000000"/>
              <w:sz w:val="24"/>
              <w:szCs w:val="24"/>
              <w:u w:val="none"/>
            </w:rPr>
          </w:pPr>
          <w:hyperlink w:anchor="_nfu5dfar5gx0">
            <w:r w:rsidDel="00000000" w:rsidR="00000000" w:rsidRPr="00000000">
              <w:rPr>
                <w:rFonts w:ascii="Times New Roman" w:cs="Times New Roman" w:eastAsia="Times New Roman" w:hAnsi="Times New Roman"/>
                <w:b w:val="1"/>
                <w:bCs w:val="1"/>
                <w:color w:val="000000"/>
                <w:sz w:val="24"/>
                <w:szCs w:val="24"/>
                <w:u w:val="none"/>
                <w:rtl w:val="0"/>
              </w:rPr>
              <w:t xml:space="preserve">SECTION 5—ETHICAL, LEGAL, SOCIETAL &amp; ALGORITHMIC DISCUSSION</w:t>
              <w:tab/>
            </w:r>
          </w:hyperlink>
          <w:r w:rsidDel="00000000" w:rsidR="00000000" w:rsidRPr="00000000">
            <w:fldChar w:fldCharType="begin"/>
            <w:instrText xml:space="preserve"> PAGEREF _nfu5dfar5gx0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fldChar w:fldCharType="end"/>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rPr>
              <w:rFonts w:ascii="Times New Roman" w:cs="Times New Roman" w:eastAsia="Times New Roman" w:hAnsi="Times New Roman"/>
              <w:b w:val="1"/>
              <w:bCs w:val="1"/>
              <w:color w:val="000000"/>
              <w:sz w:val="24"/>
              <w:szCs w:val="24"/>
              <w:u w:val="none"/>
            </w:rPr>
          </w:pPr>
          <w:hyperlink w:anchor="_km51wnl0jeul">
            <w:r w:rsidDel="00000000" w:rsidR="00000000" w:rsidRPr="00000000">
              <w:rPr>
                <w:rFonts w:ascii="Times New Roman" w:cs="Times New Roman" w:eastAsia="Times New Roman" w:hAnsi="Times New Roman"/>
                <w:b w:val="1"/>
                <w:bCs w:val="1"/>
                <w:color w:val="000000"/>
                <w:sz w:val="24"/>
                <w:szCs w:val="24"/>
                <w:u w:val="none"/>
                <w:rtl w:val="0"/>
              </w:rPr>
              <w:t xml:space="preserve">SECTION 6—CONCLUSION &amp; LIMITATIONS</w:t>
              <w:tab/>
            </w:r>
          </w:hyperlink>
          <w:r w:rsidDel="00000000" w:rsidR="00000000" w:rsidRPr="00000000">
            <w:fldChar w:fldCharType="begin"/>
            <w:instrText xml:space="preserve"> PAGEREF _km51wnl0jeul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360" w:firstLine="0"/>
            <w:rPr>
              <w:rFonts w:ascii="Times New Roman" w:cs="Times New Roman" w:eastAsia="Times New Roman" w:hAnsi="Times New Roman"/>
              <w:color w:val="000000"/>
              <w:sz w:val="24"/>
              <w:szCs w:val="24"/>
              <w:u w:val="none"/>
            </w:rPr>
          </w:pPr>
          <w:hyperlink w:anchor="_gkfipwxb5du4">
            <w:r w:rsidDel="00000000" w:rsidR="00000000" w:rsidRPr="00000000">
              <w:rPr>
                <w:rFonts w:ascii="Times New Roman" w:cs="Times New Roman" w:eastAsia="Times New Roman" w:hAnsi="Times New Roman"/>
                <w:color w:val="000000"/>
                <w:sz w:val="24"/>
                <w:szCs w:val="24"/>
                <w:u w:val="none"/>
                <w:rtl w:val="0"/>
              </w:rPr>
              <w:t xml:space="preserve">Conclusion and Future Directions</w:t>
              <w:tab/>
            </w:r>
          </w:hyperlink>
          <w:r w:rsidDel="00000000" w:rsidR="00000000" w:rsidRPr="00000000">
            <w:fldChar w:fldCharType="begin"/>
            <w:instrText xml:space="preserve"> PAGEREF _gkfipwxb5du4 \h </w:instrText>
            <w:fldChar w:fldCharType="separate"/>
          </w:r>
          <w:r w:rsidDel="00000000" w:rsidR="00000000" w:rsidRPr="00000000">
            <w:rPr>
              <w:rFonts w:ascii="Times New Roman" w:cs="Times New Roman" w:eastAsia="Times New Roman" w:hAnsi="Times New Roman"/>
              <w:sz w:val="24"/>
              <w:szCs w:val="24"/>
              <w:rtl w:val="0"/>
            </w:rPr>
            <w:t xml:space="preserve">2</w:t>
          </w: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rPr>
              <w:rFonts w:ascii="Times New Roman" w:cs="Times New Roman" w:eastAsia="Times New Roman" w:hAnsi="Times New Roman"/>
              <w:b w:val="1"/>
              <w:bCs w:val="1"/>
              <w:color w:val="000000"/>
              <w:sz w:val="24"/>
              <w:szCs w:val="24"/>
              <w:u w:val="none"/>
            </w:rPr>
          </w:pPr>
          <w:hyperlink w:anchor="_f4b2mz1fvegd">
            <w:r w:rsidDel="00000000" w:rsidR="00000000" w:rsidRPr="00000000">
              <w:rPr>
                <w:rFonts w:ascii="Times New Roman" w:cs="Times New Roman" w:eastAsia="Times New Roman" w:hAnsi="Times New Roman"/>
                <w:b w:val="1"/>
                <w:bCs w:val="1"/>
                <w:color w:val="000000"/>
                <w:sz w:val="24"/>
                <w:szCs w:val="24"/>
                <w:u w:val="none"/>
                <w:rtl w:val="0"/>
              </w:rPr>
              <w:t xml:space="preserve">7. References</w:t>
              <w:tab/>
            </w:r>
          </w:hyperlink>
          <w:r w:rsidDel="00000000" w:rsidR="00000000" w:rsidRPr="00000000">
            <w:fldChar w:fldCharType="begin"/>
            <w:instrText xml:space="preserve"> PAGEREF _f4b2mz1fvegd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rPr>
              <w:rFonts w:ascii="Times New Roman" w:cs="Times New Roman" w:eastAsia="Times New Roman" w:hAnsi="Times New Roman"/>
              <w:b w:val="1"/>
              <w:bCs w:val="1"/>
              <w:color w:val="000000"/>
              <w:sz w:val="24"/>
              <w:szCs w:val="24"/>
              <w:u w:val="none"/>
            </w:rPr>
          </w:pPr>
          <w:hyperlink w:anchor="_xgpgq1cjjtb">
            <w:r w:rsidDel="00000000" w:rsidR="00000000" w:rsidRPr="00000000">
              <w:rPr>
                <w:rFonts w:ascii="Times New Roman" w:cs="Times New Roman" w:eastAsia="Times New Roman" w:hAnsi="Times New Roman"/>
                <w:b w:val="1"/>
                <w:bCs w:val="1"/>
                <w:color w:val="000000"/>
                <w:sz w:val="24"/>
                <w:szCs w:val="24"/>
                <w:u w:val="none"/>
                <w:rtl w:val="0"/>
              </w:rPr>
              <w:t xml:space="preserve">APPENDIX</w:t>
              <w:tab/>
            </w:r>
          </w:hyperlink>
          <w:r w:rsidDel="00000000" w:rsidR="00000000" w:rsidRPr="00000000">
            <w:fldChar w:fldCharType="begin"/>
            <w:instrText xml:space="preserve"> PAGEREF _xgpgq1cjjtb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fldChar w:fldCharType="end"/>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pStyle w:val="Heading1"/>
        <w:keepNext w:val="0"/>
        <w:keepLines w:val="0"/>
        <w:spacing w:before="480" w:line="360" w:lineRule="auto"/>
        <w:ind w:left="-141.73228346456688" w:firstLine="0"/>
        <w:jc w:val="left"/>
        <w:rPr>
          <w:rFonts w:ascii="Times New Roman" w:cs="Times New Roman" w:eastAsia="Times New Roman" w:hAnsi="Times New Roman"/>
          <w:b w:val="1"/>
          <w:bCs w:val="1"/>
          <w:sz w:val="24"/>
          <w:szCs w:val="24"/>
        </w:rPr>
      </w:pPr>
      <w:bookmarkStart w:colFirst="0" w:colLast="0" w:name="_lafzlm67ddqy" w:id="1"/>
      <w:bookmarkEnd w:id="1"/>
      <w:r w:rsidDel="00000000" w:rsidR="00000000" w:rsidRPr="00000000">
        <w:rPr>
          <w:rtl w:val="0"/>
        </w:rPr>
      </w:r>
    </w:p>
    <w:p w:rsidR="00000000" w:rsidDel="00000000" w:rsidP="00000000" w:rsidRDefault="00000000" w:rsidRPr="00000000" w14:paraId="00000028">
      <w:pPr>
        <w:pStyle w:val="Heading1"/>
        <w:keepNext w:val="0"/>
        <w:keepLines w:val="0"/>
        <w:spacing w:before="480" w:line="360" w:lineRule="auto"/>
        <w:ind w:left="-141.73228346456688" w:firstLine="0"/>
        <w:jc w:val="center"/>
        <w:rPr>
          <w:rFonts w:ascii="Times New Roman" w:cs="Times New Roman" w:eastAsia="Times New Roman" w:hAnsi="Times New Roman"/>
          <w:b w:val="1"/>
          <w:bCs w:val="1"/>
          <w:sz w:val="24"/>
          <w:szCs w:val="24"/>
        </w:rPr>
      </w:pPr>
      <w:bookmarkStart w:colFirst="0" w:colLast="0" w:name="_n5qbv125nt6x" w:id="2"/>
      <w:bookmarkEnd w:id="2"/>
      <w:r w:rsidDel="00000000" w:rsidR="00000000" w:rsidRPr="00000000">
        <w:rPr>
          <w:rtl w:val="0"/>
        </w:rPr>
      </w:r>
    </w:p>
    <w:p w:rsidR="00000000" w:rsidDel="00000000" w:rsidP="00000000" w:rsidRDefault="00000000" w:rsidRPr="00000000" w14:paraId="00000029">
      <w:pPr>
        <w:pStyle w:val="Heading1"/>
        <w:keepNext w:val="0"/>
        <w:keepLines w:val="0"/>
        <w:spacing w:before="480" w:line="360" w:lineRule="auto"/>
        <w:ind w:left="-141.73228346456688" w:firstLine="0"/>
        <w:jc w:val="center"/>
        <w:rPr>
          <w:rFonts w:ascii="Times New Roman" w:cs="Times New Roman" w:eastAsia="Times New Roman" w:hAnsi="Times New Roman"/>
          <w:b w:val="1"/>
          <w:bCs w:val="1"/>
          <w:sz w:val="24"/>
          <w:szCs w:val="24"/>
        </w:rPr>
      </w:pPr>
      <w:bookmarkStart w:colFirst="0" w:colLast="0" w:name="_oxdxu2f18hon" w:id="3"/>
      <w:bookmarkEnd w:id="3"/>
      <w:r w:rsidDel="00000000" w:rsidR="00000000" w:rsidRPr="00000000">
        <w:rPr>
          <w:rtl w:val="0"/>
        </w:rPr>
      </w:r>
    </w:p>
    <w:p w:rsidR="00000000" w:rsidDel="00000000" w:rsidP="00000000" w:rsidRDefault="00000000" w:rsidRPr="00000000" w14:paraId="0000002A">
      <w:pPr>
        <w:pStyle w:val="Heading1"/>
        <w:keepNext w:val="0"/>
        <w:keepLines w:val="0"/>
        <w:spacing w:before="480" w:line="360" w:lineRule="auto"/>
        <w:ind w:left="-141.73228346456688" w:firstLine="0"/>
        <w:jc w:val="left"/>
        <w:rPr>
          <w:rFonts w:ascii="Times New Roman" w:cs="Times New Roman" w:eastAsia="Times New Roman" w:hAnsi="Times New Roman"/>
          <w:b w:val="1"/>
          <w:bCs w:val="1"/>
          <w:sz w:val="24"/>
          <w:szCs w:val="24"/>
        </w:rPr>
      </w:pPr>
      <w:bookmarkStart w:colFirst="0" w:colLast="0" w:name="_1if2ukfvq5fz" w:id="4"/>
      <w:bookmarkEnd w:id="4"/>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1</w:t>
      </w:r>
    </w:p>
    <w:p w:rsidR="00000000" w:rsidDel="00000000" w:rsidP="00000000" w:rsidRDefault="00000000" w:rsidRPr="00000000" w14:paraId="00000031">
      <w:pPr>
        <w:pStyle w:val="Heading1"/>
        <w:keepNext w:val="0"/>
        <w:keepLines w:val="0"/>
        <w:spacing w:before="480" w:line="360" w:lineRule="auto"/>
        <w:ind w:left="-141.73228346456688" w:firstLine="0"/>
        <w:jc w:val="center"/>
        <w:rPr>
          <w:rFonts w:ascii="Times New Roman" w:cs="Times New Roman" w:eastAsia="Times New Roman" w:hAnsi="Times New Roman"/>
          <w:b w:val="1"/>
          <w:bCs w:val="1"/>
          <w:sz w:val="24"/>
          <w:szCs w:val="24"/>
        </w:rPr>
      </w:pPr>
      <w:bookmarkStart w:colFirst="0" w:colLast="0" w:name="_xlrfah386dq" w:id="5"/>
      <w:bookmarkEnd w:id="5"/>
      <w:r w:rsidDel="00000000" w:rsidR="00000000" w:rsidRPr="00000000">
        <w:rPr>
          <w:rFonts w:ascii="Times New Roman" w:cs="Times New Roman" w:eastAsia="Times New Roman" w:hAnsi="Times New Roman"/>
          <w:b w:val="1"/>
          <w:bCs w:val="1"/>
          <w:sz w:val="24"/>
          <w:szCs w:val="24"/>
          <w:rtl w:val="0"/>
        </w:rPr>
        <w:t xml:space="preserve">ABSTRACT </w:t>
      </w:r>
    </w:p>
    <w:p w:rsidR="00000000" w:rsidDel="00000000" w:rsidP="00000000" w:rsidRDefault="00000000" w:rsidRPr="00000000" w14:paraId="00000032">
      <w:pPr>
        <w:pStyle w:val="Heading1"/>
        <w:keepNext w:val="0"/>
        <w:keepLines w:val="0"/>
        <w:spacing w:before="480" w:line="360" w:lineRule="auto"/>
        <w:ind w:left="-141.73228346456688" w:firstLine="0"/>
        <w:jc w:val="left"/>
        <w:rPr>
          <w:rFonts w:ascii="Times New Roman" w:cs="Times New Roman" w:eastAsia="Times New Roman" w:hAnsi="Times New Roman"/>
          <w:sz w:val="24"/>
          <w:szCs w:val="24"/>
          <w:highlight w:val="white"/>
        </w:rPr>
      </w:pPr>
      <w:bookmarkStart w:colFirst="0" w:colLast="0" w:name="_575xctxa70df" w:id="6"/>
      <w:bookmarkEnd w:id="6"/>
      <w:r w:rsidDel="00000000" w:rsidR="00000000" w:rsidRPr="00000000">
        <w:rPr>
          <w:rFonts w:ascii="Times New Roman" w:cs="Times New Roman" w:eastAsia="Times New Roman" w:hAnsi="Times New Roman"/>
          <w:sz w:val="24"/>
          <w:szCs w:val="24"/>
          <w:rtl w:val="0"/>
        </w:rPr>
        <w:t xml:space="preserve">Emergency departments are continuing to experience overcrowding, delayed triage, and preventable adverse effects on patients, which places pressure on medical professionals to make rapid and accurate decisions. </w:t>
      </w:r>
      <w:r w:rsidDel="00000000" w:rsidR="00000000" w:rsidRPr="00000000">
        <w:rPr>
          <w:rFonts w:ascii="Times New Roman" w:cs="Times New Roman" w:eastAsia="Times New Roman" w:hAnsi="Times New Roman"/>
          <w:sz w:val="24"/>
          <w:szCs w:val="24"/>
          <w:highlight w:val="white"/>
          <w:rtl w:val="0"/>
        </w:rPr>
        <w:t xml:space="preserve">This project proposes a conceptual design for an AI-driven medical triage system that helps facilitate Emergency Severity Index (ESI) classification through the integration of vital signs and clinical text. The system is designed as a decision support tool that requires a human being to be involved, so clinicians always have the final say. It also meets the strict requirements of the EU Artificial Intelligence Act for high-risk situations.</w:t>
      </w:r>
    </w:p>
    <w:p w:rsidR="00000000" w:rsidDel="00000000" w:rsidP="00000000" w:rsidRDefault="00000000" w:rsidRPr="00000000" w14:paraId="00000033">
      <w:pPr>
        <w:pStyle w:val="Heading1"/>
        <w:keepNext w:val="0"/>
        <w:keepLines w:val="0"/>
        <w:spacing w:before="480" w:line="360" w:lineRule="auto"/>
        <w:ind w:left="-141.73228346456688" w:firstLine="0"/>
        <w:jc w:val="both"/>
        <w:rPr>
          <w:rFonts w:ascii="Times New Roman" w:cs="Times New Roman" w:eastAsia="Times New Roman" w:hAnsi="Times New Roman"/>
          <w:sz w:val="24"/>
          <w:szCs w:val="24"/>
        </w:rPr>
      </w:pPr>
      <w:bookmarkStart w:colFirst="0" w:colLast="0" w:name="_7hv9u5cx0pk7" w:id="7"/>
      <w:bookmarkEnd w:id="7"/>
      <w:r w:rsidDel="00000000" w:rsidR="00000000" w:rsidRPr="00000000">
        <w:rPr>
          <w:rFonts w:ascii="Times New Roman" w:cs="Times New Roman" w:eastAsia="Times New Roman" w:hAnsi="Times New Roman"/>
          <w:sz w:val="24"/>
          <w:szCs w:val="24"/>
          <w:rtl w:val="0"/>
        </w:rPr>
        <w:t xml:space="preserve">Based on a careful review of recent academic and regulatory literature (2021–2024), this study identifies the key limitations in existing AI triage tools, particularly around explainability, bias, and regulatory readiness. In response, this report proposes a regulatory-ready framework that integrates understandable AI, privacy-by-design, and auditability. The results indicate that safe use of AI triage depends on more than just how accurate the predictions are. It also depends on strong governance, clinical oversight, and controlled real-world validation.</w:t>
      </w:r>
    </w:p>
    <w:p w:rsidR="00000000" w:rsidDel="00000000" w:rsidP="00000000" w:rsidRDefault="00000000" w:rsidRPr="00000000" w14:paraId="00000034">
      <w:pPr>
        <w:spacing w:after="12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360" w:lineRule="auto"/>
        <w:ind w:left="-141.73228346456688" w:firstLine="0"/>
        <w:jc w:val="left"/>
        <w:rPr>
          <w:rFonts w:ascii="Times New Roman" w:cs="Times New Roman" w:eastAsia="Times New Roman" w:hAnsi="Times New Roman"/>
          <w:b w:val="1"/>
          <w:bCs w:val="1"/>
          <w:sz w:val="24"/>
          <w:szCs w:val="24"/>
        </w:rPr>
      </w:pPr>
      <w:bookmarkStart w:colFirst="0" w:colLast="0" w:name="_xht8uyec7dcy" w:id="8"/>
      <w:bookmarkEnd w:id="8"/>
      <w:r w:rsidDel="00000000" w:rsidR="00000000" w:rsidRPr="00000000">
        <w:rPr>
          <w:rtl w:val="0"/>
        </w:rPr>
      </w:r>
    </w:p>
    <w:p w:rsidR="00000000" w:rsidDel="00000000" w:rsidP="00000000" w:rsidRDefault="00000000" w:rsidRPr="00000000" w14:paraId="00000037">
      <w:pPr>
        <w:pStyle w:val="Heading1"/>
        <w:keepNext w:val="0"/>
        <w:keepLines w:val="0"/>
        <w:spacing w:before="480" w:line="360" w:lineRule="auto"/>
        <w:ind w:left="-141.73228346456688" w:firstLine="0"/>
        <w:jc w:val="center"/>
        <w:rPr>
          <w:rFonts w:ascii="Times New Roman" w:cs="Times New Roman" w:eastAsia="Times New Roman" w:hAnsi="Times New Roman"/>
          <w:b w:val="1"/>
          <w:bCs w:val="1"/>
          <w:sz w:val="24"/>
          <w:szCs w:val="24"/>
        </w:rPr>
      </w:pPr>
      <w:bookmarkStart w:colFirst="0" w:colLast="0" w:name="_9tlislub4yn" w:id="9"/>
      <w:bookmarkEnd w:id="9"/>
      <w:r w:rsidDel="00000000" w:rsidR="00000000" w:rsidRPr="00000000">
        <w:rPr>
          <w:rtl w:val="0"/>
        </w:rPr>
      </w:r>
    </w:p>
    <w:p w:rsidR="00000000" w:rsidDel="00000000" w:rsidP="00000000" w:rsidRDefault="00000000" w:rsidRPr="00000000" w14:paraId="00000038">
      <w:pPr>
        <w:pStyle w:val="Heading1"/>
        <w:keepNext w:val="0"/>
        <w:keepLines w:val="0"/>
        <w:spacing w:before="480" w:line="360" w:lineRule="auto"/>
        <w:ind w:left="-141.73228346456688" w:firstLine="0"/>
        <w:jc w:val="left"/>
        <w:rPr>
          <w:rFonts w:ascii="Times New Roman" w:cs="Times New Roman" w:eastAsia="Times New Roman" w:hAnsi="Times New Roman"/>
          <w:b w:val="1"/>
          <w:bCs w:val="1"/>
          <w:sz w:val="24"/>
          <w:szCs w:val="24"/>
        </w:rPr>
      </w:pPr>
      <w:bookmarkStart w:colFirst="0" w:colLast="0" w:name="_s67ox76aysfu" w:id="10"/>
      <w:bookmarkEnd w:id="10"/>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keepNext w:val="0"/>
        <w:keepLines w:val="0"/>
        <w:spacing w:before="480" w:line="360" w:lineRule="auto"/>
        <w:ind w:left="-141.73228346456688" w:firstLine="0"/>
        <w:jc w:val="center"/>
        <w:rPr>
          <w:rFonts w:ascii="Times New Roman" w:cs="Times New Roman" w:eastAsia="Times New Roman" w:hAnsi="Times New Roman"/>
          <w:b w:val="1"/>
          <w:bCs w:val="1"/>
          <w:sz w:val="24"/>
          <w:szCs w:val="24"/>
        </w:rPr>
      </w:pPr>
      <w:bookmarkStart w:colFirst="0" w:colLast="0" w:name="_40e3t4o5mhpp" w:id="11"/>
      <w:bookmarkEnd w:id="11"/>
      <w:r w:rsidDel="00000000" w:rsidR="00000000" w:rsidRPr="00000000">
        <w:rPr>
          <w:rtl w:val="0"/>
        </w:rPr>
      </w:r>
    </w:p>
    <w:p w:rsidR="00000000" w:rsidDel="00000000" w:rsidP="00000000" w:rsidRDefault="00000000" w:rsidRPr="00000000" w14:paraId="0000003C">
      <w:pPr>
        <w:pStyle w:val="Heading1"/>
        <w:keepNext w:val="0"/>
        <w:keepLines w:val="0"/>
        <w:spacing w:before="480" w:line="360" w:lineRule="auto"/>
        <w:ind w:left="-141.73228346456688" w:firstLine="0"/>
        <w:jc w:val="center"/>
        <w:rPr>
          <w:rFonts w:ascii="Times New Roman" w:cs="Times New Roman" w:eastAsia="Times New Roman" w:hAnsi="Times New Roman"/>
          <w:b w:val="1"/>
          <w:bCs w:val="1"/>
          <w:sz w:val="24"/>
          <w:szCs w:val="24"/>
        </w:rPr>
      </w:pPr>
      <w:bookmarkStart w:colFirst="0" w:colLast="0" w:name="_sk7v68iln9h2" w:id="12"/>
      <w:bookmarkEnd w:id="12"/>
      <w:r w:rsidDel="00000000" w:rsidR="00000000" w:rsidRPr="00000000">
        <w:rPr>
          <w:rFonts w:ascii="Times New Roman" w:cs="Times New Roman" w:eastAsia="Times New Roman" w:hAnsi="Times New Roman"/>
          <w:b w:val="1"/>
          <w:bCs w:val="1"/>
          <w:sz w:val="24"/>
          <w:szCs w:val="24"/>
          <w:rtl w:val="0"/>
        </w:rPr>
        <w:t xml:space="preserve">SECTION 2</w:t>
      </w:r>
    </w:p>
    <w:p w:rsidR="00000000" w:rsidDel="00000000" w:rsidP="00000000" w:rsidRDefault="00000000" w:rsidRPr="00000000" w14:paraId="0000003D">
      <w:pPr>
        <w:pStyle w:val="Heading1"/>
        <w:keepNext w:val="0"/>
        <w:keepLines w:val="0"/>
        <w:spacing w:before="480" w:line="360" w:lineRule="auto"/>
        <w:ind w:left="-141.73228346456688" w:firstLine="0"/>
        <w:jc w:val="center"/>
        <w:rPr>
          <w:rFonts w:ascii="Times New Roman" w:cs="Times New Roman" w:eastAsia="Times New Roman" w:hAnsi="Times New Roman"/>
          <w:b w:val="1"/>
          <w:bCs w:val="1"/>
          <w:sz w:val="24"/>
          <w:szCs w:val="24"/>
        </w:rPr>
      </w:pPr>
      <w:bookmarkStart w:colFirst="0" w:colLast="0" w:name="_2puuep4fo0xn" w:id="13"/>
      <w:bookmarkEnd w:id="13"/>
      <w:r w:rsidDel="00000000" w:rsidR="00000000" w:rsidRPr="00000000">
        <w:rPr>
          <w:rFonts w:ascii="Times New Roman" w:cs="Times New Roman" w:eastAsia="Times New Roman" w:hAnsi="Times New Roman"/>
          <w:b w:val="1"/>
          <w:bCs w:val="1"/>
          <w:sz w:val="24"/>
          <w:szCs w:val="24"/>
          <w:rtl w:val="0"/>
        </w:rPr>
        <w:t xml:space="preserve">INTRODUCTION &amp; PROJECT RATIONALE </w:t>
      </w:r>
    </w:p>
    <w:p w:rsidR="00000000" w:rsidDel="00000000" w:rsidP="00000000" w:rsidRDefault="00000000" w:rsidRPr="00000000" w14:paraId="0000003E">
      <w:pPr>
        <w:pStyle w:val="Heading3"/>
        <w:keepNext w:val="0"/>
        <w:keepLines w:val="0"/>
        <w:spacing w:before="280" w:line="360" w:lineRule="auto"/>
        <w:ind w:left="-141.73228346456688" w:firstLine="0"/>
        <w:jc w:val="both"/>
        <w:rPr>
          <w:rFonts w:ascii="Times New Roman" w:cs="Times New Roman" w:eastAsia="Times New Roman" w:hAnsi="Times New Roman"/>
          <w:b w:val="1"/>
          <w:bCs w:val="1"/>
          <w:color w:val="000000"/>
          <w:sz w:val="24"/>
          <w:szCs w:val="24"/>
        </w:rPr>
      </w:pPr>
      <w:bookmarkStart w:colFirst="0" w:colLast="0" w:name="_bjbhxtebvvl8" w:id="14"/>
      <w:bookmarkEnd w:id="14"/>
      <w:r w:rsidDel="00000000" w:rsidR="00000000" w:rsidRPr="00000000">
        <w:rPr>
          <w:rFonts w:ascii="Times New Roman" w:cs="Times New Roman" w:eastAsia="Times New Roman" w:hAnsi="Times New Roman"/>
          <w:b w:val="1"/>
          <w:bCs w:val="1"/>
          <w:color w:val="000000"/>
          <w:sz w:val="24"/>
          <w:szCs w:val="24"/>
          <w:rtl w:val="0"/>
        </w:rPr>
        <w:t xml:space="preserve">2.1 Background  </w:t>
      </w:r>
    </w:p>
    <w:p w:rsidR="00000000" w:rsidDel="00000000" w:rsidP="00000000" w:rsidRDefault="00000000" w:rsidRPr="00000000" w14:paraId="0000003F">
      <w:pPr>
        <w:pStyle w:val="Heading3"/>
        <w:keepNext w:val="0"/>
        <w:keepLines w:val="0"/>
        <w:spacing w:before="280" w:line="360" w:lineRule="auto"/>
        <w:ind w:left="-141.73228346456688" w:firstLine="0"/>
        <w:jc w:val="both"/>
        <w:rPr>
          <w:rFonts w:ascii="Times New Roman" w:cs="Times New Roman" w:eastAsia="Times New Roman" w:hAnsi="Times New Roman"/>
          <w:color w:val="171717"/>
          <w:sz w:val="24"/>
          <w:szCs w:val="24"/>
          <w:highlight w:val="white"/>
        </w:rPr>
      </w:pPr>
      <w:bookmarkStart w:colFirst="0" w:colLast="0" w:name="_19lnvy5vzfpi" w:id="15"/>
      <w:bookmarkEnd w:id="15"/>
      <w:r w:rsidDel="00000000" w:rsidR="00000000" w:rsidRPr="00000000">
        <w:rPr>
          <w:rFonts w:ascii="Times New Roman" w:cs="Times New Roman" w:eastAsia="Times New Roman" w:hAnsi="Times New Roman"/>
          <w:color w:val="171717"/>
          <w:sz w:val="24"/>
          <w:szCs w:val="24"/>
          <w:highlight w:val="white"/>
          <w:rtl w:val="0"/>
        </w:rPr>
        <w:t xml:space="preserve">Clinicians rapidly assess the symptoms, vital signs, and risk factors to determine the urgency and appropriate care pathway. Triage is the first clinical sieve, and when applied consistently, can ensure appropriate allocation of resources. Across the world, hospitals are facing increasing demand. As a result, they are contending with overcrowded wards, longer waiting times and delayed decision-making. For example, studies from European E.D.s, large hospital emergency departments, continue to report crowding, which increases mortality risk, delays treatments and worsens patient outcomes.</w:t>
      </w:r>
    </w:p>
    <w:p w:rsidR="00000000" w:rsidDel="00000000" w:rsidP="00000000" w:rsidRDefault="00000000" w:rsidRPr="00000000" w14:paraId="00000040">
      <w:pPr>
        <w:pStyle w:val="Heading3"/>
        <w:keepNext w:val="0"/>
        <w:keepLines w:val="0"/>
        <w:spacing w:before="280" w:line="360" w:lineRule="auto"/>
        <w:ind w:left="-141.73228346456688" w:firstLine="0"/>
        <w:jc w:val="both"/>
        <w:rPr>
          <w:rFonts w:ascii="Times New Roman" w:cs="Times New Roman" w:eastAsia="Times New Roman" w:hAnsi="Times New Roman"/>
          <w:color w:val="000000"/>
          <w:sz w:val="24"/>
          <w:szCs w:val="24"/>
        </w:rPr>
      </w:pPr>
      <w:bookmarkStart w:colFirst="0" w:colLast="0" w:name="_bjbhxtebvvl8" w:id="14"/>
      <w:bookmarkEnd w:id="14"/>
      <w:r w:rsidDel="00000000" w:rsidR="00000000" w:rsidRPr="00000000">
        <w:rPr>
          <w:rFonts w:ascii="Times New Roman" w:cs="Times New Roman" w:eastAsia="Times New Roman" w:hAnsi="Times New Roman"/>
          <w:color w:val="171717"/>
          <w:sz w:val="24"/>
          <w:szCs w:val="24"/>
          <w:highlight w:val="white"/>
          <w:rtl w:val="0"/>
        </w:rPr>
        <w:t xml:space="preserve">AI-assisted triage systems then emerged as a potential remedy. By integrating symptom checkers, natural-language processing, risk-stratification models and interpretation of vital signs, they have begun to triage patients more accurately, though their safe use still requires careful clinical oversight. AI can help human clinicians make more consistent assessments and flag high-risk patients earlier. And telehealth settings, so important to reaching patients at scale, are ideal venues for integrating AI into the triage process.</w:t>
      </w:r>
      <w:r w:rsidDel="00000000" w:rsidR="00000000" w:rsidRPr="00000000">
        <w:rPr>
          <w:rtl w:val="0"/>
        </w:rPr>
      </w:r>
    </w:p>
    <w:p w:rsidR="00000000" w:rsidDel="00000000" w:rsidP="00000000" w:rsidRDefault="00000000" w:rsidRPr="00000000" w14:paraId="00000041">
      <w:pPr>
        <w:pStyle w:val="Heading3"/>
        <w:keepNext w:val="0"/>
        <w:keepLines w:val="0"/>
        <w:spacing w:before="280" w:line="360" w:lineRule="auto"/>
        <w:ind w:left="-141.73228346456688" w:firstLine="0"/>
        <w:jc w:val="both"/>
        <w:rPr>
          <w:rFonts w:ascii="Times New Roman" w:cs="Times New Roman" w:eastAsia="Times New Roman" w:hAnsi="Times New Roman"/>
          <w:b w:val="1"/>
          <w:bCs w:val="1"/>
          <w:color w:val="000000"/>
          <w:sz w:val="24"/>
          <w:szCs w:val="24"/>
        </w:rPr>
      </w:pPr>
      <w:bookmarkStart w:colFirst="0" w:colLast="0" w:name="_bjbhxtebvvl8" w:id="14"/>
      <w:bookmarkEnd w:id="14"/>
      <w:r w:rsidDel="00000000" w:rsidR="00000000" w:rsidRPr="00000000">
        <w:rPr>
          <w:rFonts w:ascii="Times New Roman" w:cs="Times New Roman" w:eastAsia="Times New Roman" w:hAnsi="Times New Roman"/>
          <w:b w:val="1"/>
          <w:bCs w:val="1"/>
          <w:color w:val="000000"/>
          <w:sz w:val="24"/>
          <w:szCs w:val="24"/>
          <w:rtl w:val="0"/>
        </w:rPr>
        <w:t xml:space="preserve">2.2 Motivation</w:t>
      </w:r>
    </w:p>
    <w:p w:rsidR="00000000" w:rsidDel="00000000" w:rsidP="00000000" w:rsidRDefault="00000000" w:rsidRPr="00000000" w14:paraId="00000042">
      <w:pPr>
        <w:pStyle w:val="Heading3"/>
        <w:keepNext w:val="0"/>
        <w:keepLines w:val="0"/>
        <w:spacing w:after="240" w:before="240" w:line="360" w:lineRule="auto"/>
        <w:ind w:left="-141.73228346456688" w:firstLine="0"/>
        <w:jc w:val="both"/>
        <w:rPr>
          <w:rFonts w:ascii="Times New Roman" w:cs="Times New Roman" w:eastAsia="Times New Roman" w:hAnsi="Times New Roman"/>
          <w:color w:val="000000"/>
          <w:sz w:val="24"/>
          <w:szCs w:val="24"/>
        </w:rPr>
      </w:pPr>
      <w:bookmarkStart w:colFirst="0" w:colLast="0" w:name="_o7tg4wfc8du8" w:id="16"/>
      <w:bookmarkEnd w:id="16"/>
      <w:r w:rsidDel="00000000" w:rsidR="00000000" w:rsidRPr="00000000">
        <w:rPr>
          <w:rFonts w:ascii="Times New Roman" w:cs="Times New Roman" w:eastAsia="Times New Roman" w:hAnsi="Times New Roman"/>
          <w:color w:val="000000"/>
          <w:sz w:val="24"/>
          <w:szCs w:val="24"/>
          <w:rtl w:val="0"/>
        </w:rPr>
        <w:t xml:space="preserve">The goal of AI triage systems is to increase patient survival and relieve pressure on healthcare capacity. As triage blunders or delays frequently result in largely preventable complications, early and prompt action is crucial. Studies have shown EU emergency departments are generally overcrowded by default, which leads to longer waiting times and to higher odds of misclassification. There are studies suggesting that 20% of incidents are those in which there have been triage-related errors; around half are due to inaccurate human judgement and a third is associated with heavy workload.</w:t>
      </w:r>
    </w:p>
    <w:p w:rsidR="00000000" w:rsidDel="00000000" w:rsidP="00000000" w:rsidRDefault="00000000" w:rsidRPr="00000000" w14:paraId="00000043">
      <w:pPr>
        <w:pStyle w:val="Heading3"/>
        <w:keepNext w:val="0"/>
        <w:keepLines w:val="0"/>
        <w:spacing w:after="240" w:before="240" w:line="360" w:lineRule="auto"/>
        <w:ind w:left="-141.73228346456688" w:firstLine="0"/>
        <w:jc w:val="both"/>
        <w:rPr>
          <w:rFonts w:ascii="Times New Roman" w:cs="Times New Roman" w:eastAsia="Times New Roman" w:hAnsi="Times New Roman"/>
          <w:color w:val="000000"/>
          <w:sz w:val="24"/>
          <w:szCs w:val="24"/>
        </w:rPr>
      </w:pPr>
      <w:bookmarkStart w:colFirst="0" w:colLast="0" w:name="_a8eumsfokrt3" w:id="17"/>
      <w:bookmarkEnd w:id="17"/>
      <w:r w:rsidDel="00000000" w:rsidR="00000000" w:rsidRPr="00000000">
        <w:rPr>
          <w:rFonts w:ascii="Times New Roman" w:cs="Times New Roman" w:eastAsia="Times New Roman" w:hAnsi="Times New Roman"/>
          <w:color w:val="000000"/>
          <w:sz w:val="24"/>
          <w:szCs w:val="24"/>
          <w:rtl w:val="0"/>
        </w:rPr>
        <w:t xml:space="preserve">AI represents an opportunity to improve reliability and decrease human error; however, the development and implementation of AI must be carefully considered. EU AI Act categorizes high-risk healthcare decision support and triage technologies, requiring stringent monitoring for fairness, transparency, robustness and human responsibility. There is an impetus from this regulatory focus for studies which are no longer limited to technical feasibility but that consider compliance, safety and trust of clinicians in their use of AI-assisted systems.</w:t>
      </w:r>
    </w:p>
    <w:p w:rsidR="00000000" w:rsidDel="00000000" w:rsidP="00000000" w:rsidRDefault="00000000" w:rsidRPr="00000000" w14:paraId="00000044">
      <w:pPr>
        <w:pStyle w:val="Heading3"/>
        <w:keepNext w:val="0"/>
        <w:keepLines w:val="0"/>
        <w:spacing w:before="280" w:line="360" w:lineRule="auto"/>
        <w:ind w:left="-141.73228346456688" w:firstLine="0"/>
        <w:jc w:val="both"/>
        <w:rPr>
          <w:rFonts w:ascii="Times New Roman" w:cs="Times New Roman" w:eastAsia="Times New Roman" w:hAnsi="Times New Roman"/>
          <w:b w:val="1"/>
          <w:bCs w:val="1"/>
          <w:color w:val="000000"/>
          <w:sz w:val="24"/>
          <w:szCs w:val="24"/>
        </w:rPr>
      </w:pPr>
      <w:bookmarkStart w:colFirst="0" w:colLast="0" w:name="_okilru6xac0r" w:id="18"/>
      <w:bookmarkEnd w:id="18"/>
      <w:r w:rsidDel="00000000" w:rsidR="00000000" w:rsidRPr="00000000">
        <w:rPr>
          <w:rFonts w:ascii="Times New Roman" w:cs="Times New Roman" w:eastAsia="Times New Roman" w:hAnsi="Times New Roman"/>
          <w:b w:val="1"/>
          <w:bCs w:val="1"/>
          <w:color w:val="000000"/>
          <w:sz w:val="24"/>
          <w:szCs w:val="24"/>
          <w:rtl w:val="0"/>
        </w:rPr>
        <w:t xml:space="preserve">2.3 Problem Statement</w:t>
      </w:r>
    </w:p>
    <w:p w:rsidR="00000000" w:rsidDel="00000000" w:rsidP="00000000" w:rsidRDefault="00000000" w:rsidRPr="00000000" w14:paraId="00000045">
      <w:pPr>
        <w:pStyle w:val="Heading3"/>
        <w:keepNext w:val="0"/>
        <w:keepLines w:val="0"/>
        <w:spacing w:before="280" w:line="360" w:lineRule="auto"/>
        <w:ind w:left="-141.73228346456688" w:firstLine="0"/>
        <w:jc w:val="both"/>
        <w:rPr>
          <w:rFonts w:ascii="Times New Roman" w:cs="Times New Roman" w:eastAsia="Times New Roman" w:hAnsi="Times New Roman"/>
          <w:color w:val="000000"/>
          <w:sz w:val="24"/>
          <w:szCs w:val="24"/>
        </w:rPr>
      </w:pPr>
      <w:bookmarkStart w:colFirst="0" w:colLast="0" w:name="_b8ev7596b1z6" w:id="19"/>
      <w:bookmarkEnd w:id="19"/>
      <w:r w:rsidDel="00000000" w:rsidR="00000000" w:rsidRPr="00000000">
        <w:rPr>
          <w:rFonts w:ascii="Times New Roman" w:cs="Times New Roman" w:eastAsia="Times New Roman" w:hAnsi="Times New Roman"/>
          <w:color w:val="000000"/>
          <w:sz w:val="24"/>
          <w:szCs w:val="24"/>
          <w:highlight w:val="white"/>
          <w:rtl w:val="0"/>
        </w:rPr>
        <w:t xml:space="preserve">Current AI triage tools are wildly inconsistent in their reliability and explainability, as well as how well they adhere to regulation. Most models, whether statistical or machine learning, used for real-world decision-making are built on unrepresentative data. Other models function as black-box algorithms that conceal their decision logic from clinicians, yet still demand clinical trust without supplying real insight or validation. As a result, the clinical trust and broader acceptability are lacking, limiting adoption in real-world health care settings. Many of the tools also do not meet many of the E.U. AI Act’s requirements, such as documentation of risk, traceability and human oversight.</w:t>
      </w:r>
      <w:r w:rsidDel="00000000" w:rsidR="00000000" w:rsidRPr="00000000">
        <w:rPr>
          <w:rtl w:val="0"/>
        </w:rPr>
      </w:r>
    </w:p>
    <w:p w:rsidR="00000000" w:rsidDel="00000000" w:rsidP="00000000" w:rsidRDefault="00000000" w:rsidRPr="00000000" w14:paraId="00000046">
      <w:pPr>
        <w:pStyle w:val="Heading3"/>
        <w:keepNext w:val="0"/>
        <w:keepLines w:val="0"/>
        <w:spacing w:before="280" w:line="360" w:lineRule="auto"/>
        <w:ind w:left="-141.73228346456688" w:firstLine="0"/>
        <w:jc w:val="both"/>
        <w:rPr>
          <w:rFonts w:ascii="Times New Roman" w:cs="Times New Roman" w:eastAsia="Times New Roman" w:hAnsi="Times New Roman"/>
          <w:color w:val="000000"/>
          <w:sz w:val="24"/>
          <w:szCs w:val="24"/>
        </w:rPr>
      </w:pPr>
      <w:bookmarkStart w:colFirst="0" w:colLast="0" w:name="_bjbhxtebvvl8" w:id="14"/>
      <w:bookmarkEnd w:id="14"/>
      <w:r w:rsidDel="00000000" w:rsidR="00000000" w:rsidRPr="00000000">
        <w:rPr>
          <w:rFonts w:ascii="Times New Roman" w:cs="Times New Roman" w:eastAsia="Times New Roman" w:hAnsi="Times New Roman"/>
          <w:b w:val="1"/>
          <w:bCs w:val="1"/>
          <w:color w:val="000000"/>
          <w:sz w:val="24"/>
          <w:szCs w:val="24"/>
          <w:rtl w:val="0"/>
        </w:rPr>
        <w:t xml:space="preserve">2.4 Research Objectives </w:t>
      </w:r>
      <w:r w:rsidDel="00000000" w:rsidR="00000000" w:rsidRPr="00000000">
        <w:rPr>
          <w:rtl w:val="0"/>
        </w:rPr>
      </w:r>
    </w:p>
    <w:p w:rsidR="00000000" w:rsidDel="00000000" w:rsidP="00000000" w:rsidRDefault="00000000" w:rsidRPr="00000000" w14:paraId="00000047">
      <w:pPr>
        <w:numPr>
          <w:ilvl w:val="0"/>
          <w:numId w:val="2"/>
        </w:numPr>
        <w:spacing w:after="0" w:afterAutospacing="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 the state of AI-based medical triage from 2021-2024, capturing the most common models and use cases for these approaches.</w:t>
      </w:r>
    </w:p>
    <w:p w:rsidR="00000000" w:rsidDel="00000000" w:rsidP="00000000" w:rsidRDefault="00000000" w:rsidRPr="00000000" w14:paraId="00000048">
      <w:pPr>
        <w:numPr>
          <w:ilvl w:val="0"/>
          <w:numId w:val="2"/>
        </w:numPr>
        <w:spacing w:after="0" w:afterAutospacing="0" w:before="0" w:beforeAutospacing="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datasets, algorithms, and evaluation methods used in modern triage systems and describe the practical limitations of each.</w:t>
      </w:r>
    </w:p>
    <w:p w:rsidR="00000000" w:rsidDel="00000000" w:rsidP="00000000" w:rsidRDefault="00000000" w:rsidRPr="00000000" w14:paraId="00000049">
      <w:pPr>
        <w:numPr>
          <w:ilvl w:val="0"/>
          <w:numId w:val="2"/>
        </w:numPr>
        <w:spacing w:after="0" w:afterAutospacing="0" w:before="0" w:beforeAutospacing="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risks ranging from bias to safety to explainability and regulatory compliance now need to be systematically identified in line with the E.U. A.I. Act.</w:t>
      </w:r>
    </w:p>
    <w:p w:rsidR="00000000" w:rsidDel="00000000" w:rsidP="00000000" w:rsidRDefault="00000000" w:rsidRPr="00000000" w14:paraId="0000004A">
      <w:pPr>
        <w:numPr>
          <w:ilvl w:val="0"/>
          <w:numId w:val="2"/>
        </w:numPr>
        <w:spacing w:after="240" w:before="0" w:beforeAutospacing="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we propose a high-level AI triage model, consistent with the requirements of the EU AI Act, to enable safe and trustworthy deployment of AI systems.</w:t>
      </w:r>
    </w:p>
    <w:p w:rsidR="00000000" w:rsidDel="00000000" w:rsidP="00000000" w:rsidRDefault="00000000" w:rsidRPr="00000000" w14:paraId="0000004B">
      <w:pPr>
        <w:pStyle w:val="Heading3"/>
        <w:keepNext w:val="0"/>
        <w:keepLines w:val="0"/>
        <w:spacing w:before="280" w:line="360" w:lineRule="auto"/>
        <w:ind w:left="-141.73228346456688" w:firstLine="0"/>
        <w:jc w:val="both"/>
        <w:rPr>
          <w:rFonts w:ascii="Times New Roman" w:cs="Times New Roman" w:eastAsia="Times New Roman" w:hAnsi="Times New Roman"/>
          <w:b w:val="1"/>
          <w:bCs w:val="1"/>
          <w:color w:val="000000"/>
          <w:sz w:val="24"/>
          <w:szCs w:val="24"/>
        </w:rPr>
      </w:pPr>
      <w:bookmarkStart w:colFirst="0" w:colLast="0" w:name="_pgvfpcl2fmdz" w:id="20"/>
      <w:bookmarkEnd w:id="20"/>
      <w:r w:rsidDel="00000000" w:rsidR="00000000" w:rsidRPr="00000000">
        <w:rPr>
          <w:rFonts w:ascii="Times New Roman" w:cs="Times New Roman" w:eastAsia="Times New Roman" w:hAnsi="Times New Roman"/>
          <w:b w:val="1"/>
          <w:bCs w:val="1"/>
          <w:color w:val="000000"/>
          <w:sz w:val="24"/>
          <w:szCs w:val="24"/>
          <w:rtl w:val="0"/>
        </w:rPr>
        <w:t xml:space="preserve">2.5 Report Structure</w:t>
      </w:r>
    </w:p>
    <w:p w:rsidR="00000000" w:rsidDel="00000000" w:rsidP="00000000" w:rsidRDefault="00000000" w:rsidRPr="00000000" w14:paraId="0000004C">
      <w:pPr>
        <w:spacing w:after="240" w:before="240" w:line="360" w:lineRule="auto"/>
        <w:ind w:left="-141.73228346456688"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report has seven sections. Section 1 presents the context for the project. Section 2 will describe the background and motivation of this paper and outline the objectives and organization of the remainder of the paper. In Section 3, a survey of the literature relating to A.I. triage is presented. </w:t>
      </w:r>
      <w:r w:rsidDel="00000000" w:rsidR="00000000" w:rsidRPr="00000000">
        <w:rPr>
          <w:rFonts w:ascii="Times New Roman" w:cs="Times New Roman" w:eastAsia="Times New Roman" w:hAnsi="Times New Roman"/>
          <w:sz w:val="24"/>
          <w:szCs w:val="24"/>
          <w:shd w:fill="cce0ff" w:val="clear"/>
          <w:rtl w:val="0"/>
        </w:rPr>
        <w:t xml:space="preserve">The methodology is described in Section 4.</w:t>
      </w:r>
      <w:r w:rsidDel="00000000" w:rsidR="00000000" w:rsidRPr="00000000">
        <w:rPr>
          <w:rFonts w:ascii="Times New Roman" w:cs="Times New Roman" w:eastAsia="Times New Roman" w:hAnsi="Times New Roman"/>
          <w:sz w:val="24"/>
          <w:szCs w:val="24"/>
          <w:highlight w:val="white"/>
          <w:rtl w:val="0"/>
        </w:rPr>
        <w:t xml:space="preserve"> Section 5 is the core of the report; it summarizes the results across technical and governance dimensions. Section 6 proposes a conceptual, high-level model that organizes the EU AI Act requirements. Section 7 concludes the paper.</w:t>
      </w:r>
    </w:p>
    <w:p w:rsidR="00000000" w:rsidDel="00000000" w:rsidP="00000000" w:rsidRDefault="00000000" w:rsidRPr="00000000" w14:paraId="0000004D">
      <w:pPr>
        <w:spacing w:after="240" w:before="240" w:line="360" w:lineRule="auto"/>
        <w:ind w:left="-141.73228346456688"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E">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3</w:t>
      </w:r>
    </w:p>
    <w:p w:rsidR="00000000" w:rsidDel="00000000" w:rsidP="00000000" w:rsidRDefault="00000000" w:rsidRPr="00000000" w14:paraId="0000004F">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REVIEW </w:t>
      </w:r>
    </w:p>
    <w:p w:rsidR="00000000" w:rsidDel="00000000" w:rsidP="00000000" w:rsidRDefault="00000000" w:rsidRPr="00000000" w14:paraId="00000050">
      <w:pPr>
        <w:pStyle w:val="Heading2"/>
        <w:keepNext w:val="0"/>
        <w:keepLines w:val="0"/>
        <w:spacing w:after="80" w:line="360" w:lineRule="auto"/>
        <w:ind w:left="-141.73228346456688" w:firstLine="0"/>
        <w:jc w:val="both"/>
        <w:rPr>
          <w:rFonts w:ascii="Times New Roman" w:cs="Times New Roman" w:eastAsia="Times New Roman" w:hAnsi="Times New Roman"/>
          <w:b w:val="1"/>
          <w:bCs w:val="1"/>
          <w:sz w:val="24"/>
          <w:szCs w:val="24"/>
        </w:rPr>
      </w:pPr>
      <w:bookmarkStart w:colFirst="0" w:colLast="0" w:name="_oo55biqk59op" w:id="21"/>
      <w:bookmarkEnd w:id="21"/>
      <w:r w:rsidDel="00000000" w:rsidR="00000000" w:rsidRPr="00000000">
        <w:rPr>
          <w:rFonts w:ascii="Times New Roman" w:cs="Times New Roman" w:eastAsia="Times New Roman" w:hAnsi="Times New Roman"/>
          <w:b w:val="1"/>
          <w:bCs w:val="1"/>
          <w:sz w:val="24"/>
          <w:szCs w:val="24"/>
          <w:rtl w:val="0"/>
        </w:rPr>
        <w:t xml:space="preserve">3.1 Related Literature</w:t>
      </w:r>
    </w:p>
    <w:p w:rsidR="00000000" w:rsidDel="00000000" w:rsidP="00000000" w:rsidRDefault="00000000" w:rsidRPr="00000000" w14:paraId="00000051">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research has increasingly explored the use of artificial intelligence (AI) to support emergency department (ED) triage, patient prioritization, and clinical decision-making. This subsection critically reviews at least fifteen peer-reviewed studies published between 2021 and 2025, focusing on datasets, modelling approaches, results, and limitations.</w:t>
      </w:r>
      <w:r w:rsidDel="00000000" w:rsidR="00000000" w:rsidRPr="00000000">
        <w:rPr>
          <w:rtl w:val="0"/>
        </w:rPr>
      </w:r>
    </w:p>
    <w:p w:rsidR="00000000" w:rsidDel="00000000" w:rsidP="00000000" w:rsidRDefault="00000000" w:rsidRPr="00000000" w14:paraId="00000052">
      <w:pPr>
        <w:spacing w:after="120" w:before="12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Da’Costa et al. [1] examines how the use of AI-driven triage systems has been used to address ED overcrowding across studies published between 2015 and 2024. Instead of proposing a new model, the authors present a narrative review of machine learning triage systems that rely on patients' vital signs and clinical records. The review shows that AI systems are better than manual triage at making decisions faster and more accurately. However, the authors note several limitations, such as inconsistent datasets, reliance on retrospective evaluation designs, and insufficient attention to bias and ethical governance.</w:t>
      </w:r>
    </w:p>
    <w:p w:rsidR="00000000" w:rsidDel="00000000" w:rsidP="00000000" w:rsidRDefault="00000000" w:rsidRPr="00000000" w14:paraId="00000053">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Aleksandra et al. [2] perform a systematic review of AI systems aimed at improving emergency department workflow and triage accuracy. The review examined multiple hospital datasets and highlighted the KATE triage system, which achieved 75.7% accuracy compared to 59.8% for human nurses. While the results demonstrate operational benefits, the study identifies barriers to real-world adoption, including the complexity of system integration and the lack of harmonized legal standards for AI deployment.</w:t>
      </w:r>
    </w:p>
    <w:p w:rsidR="00000000" w:rsidDel="00000000" w:rsidP="00000000" w:rsidRDefault="00000000" w:rsidRPr="00000000" w14:paraId="00000054">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Williams et al. [3] examine the suitability of large language models (LLMs) for classifying emergency triage acuity. Using 10,000 paired clinical scenarios, the authors evaluate an LLM’s ability to predict ESI levels. The model is good at finding high-risk cases, but it has trouble telling the difference between ESI 2 and 3, which are close in severity. The authors conclude that LLMs should be limited to supervised “second-opinion” roles rather than autonomous decision-making.</w:t>
      </w:r>
    </w:p>
    <w:p w:rsidR="00000000" w:rsidDel="00000000" w:rsidP="00000000" w:rsidRDefault="00000000" w:rsidRPr="00000000" w14:paraId="00000055">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Mittermaier et al. [4] focus on bias detection and mitigation in medical AI systems. Using clinical and surgical datasets, the study evaluates a human-in-the-loop explanation framework known as TWIX. Results show that clinician interaction with explanations reduces subgroup performance disparities. However, the authors caution that continuous learning systems may reintroduce bias over time if monitoring is not enforced.</w:t>
      </w:r>
    </w:p>
    <w:p w:rsidR="00000000" w:rsidDel="00000000" w:rsidP="00000000" w:rsidRDefault="00000000" w:rsidRPr="00000000" w14:paraId="00000056">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Labkoff et al. [5] propose governance recommendations for AI-enabled clinical decision support systems (CDSS). Rather than experimental modeling, the study synthesized best practices across deployed systems. The authors recommend transparency tools such as “model nutrition labels” and mandatory adverse event reporting. While comprehensive, the framework is challenging to implement across fragmented healthcare infrastructures.</w:t>
      </w:r>
    </w:p>
    <w:p w:rsidR="00000000" w:rsidDel="00000000" w:rsidP="00000000" w:rsidRDefault="00000000" w:rsidRPr="00000000" w14:paraId="00000057">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Teo and Huang [6] conduct a large-scale review of federated learning in healthcare, analyzing over 600 studies. Federated learning enables model training across hospitals without centralizing sensitive patient data. While performance is often comparable to centralized models, the authors identify technical heterogeneity, communication costs, and deployment complexity as major challenges.</w:t>
      </w:r>
    </w:p>
    <w:p w:rsidR="00000000" w:rsidDel="00000000" w:rsidP="00000000" w:rsidRDefault="00000000" w:rsidRPr="00000000" w14:paraId="00000058">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Aboy et al. [7] analyze how the EU AI Act classifies medical software as high-risk AI. The paper highlights stringent requirements for risk management, data governance, and human oversight. Although these measures improve patient safety, the authors argue that compliance costs may disproportionately affect small and medium-sized developers.</w:t>
      </w:r>
    </w:p>
    <w:p w:rsidR="00000000" w:rsidDel="00000000" w:rsidP="00000000" w:rsidRDefault="00000000" w:rsidRPr="00000000" w14:paraId="00000059">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Johnson et al. [8] introduce the MIMIC-IV-ED dataset, comprising over 400,000 emergency visits with linked outcomes. The dataset has become a benchmark for triage research due to its scale and accessibility. However, as data originates from a single U.S. tertiary hospital, concerns remain regarding demographic and geographic generalizability.</w:t>
      </w:r>
    </w:p>
    <w:p w:rsidR="00000000" w:rsidDel="00000000" w:rsidP="00000000" w:rsidRDefault="00000000" w:rsidRPr="00000000" w14:paraId="0000005A">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The National Institute of Standards and Technology (NIST) [9] suggests the AI Risk Management Framework (RMF), which is based on governance, mapping, measurement, and risk management. While not healthcare-specific, the framework provides practical guidance for operationalizing trustworthy AI. However, because it is voluntary, it is not as easy to enforce as rules that are binding.</w:t>
      </w:r>
    </w:p>
    <w:p w:rsidR="00000000" w:rsidDel="00000000" w:rsidP="00000000" w:rsidRDefault="00000000" w:rsidRPr="00000000" w14:paraId="0000005B">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The World Bank [10] examines regulatory sandboxes as tools for responsible innovation. The report is mostly about fintech, but it shows that sandboxes help policymakers make decisions based on facts and reduce regulatory uncertainty. The authors warn that health-sector sandboxes need to have stronger safety and ethical protections.</w:t>
      </w:r>
    </w:p>
    <w:p w:rsidR="00000000" w:rsidDel="00000000" w:rsidP="00000000" w:rsidRDefault="00000000" w:rsidRPr="00000000" w14:paraId="0000005C">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The U.S. Food and Drug Administration (FDA) [11] introduces the Software as a Medical Device (SaMD) Action Plan, including a Predetermined Change Control Plan (PCCP) for adaptive AI systems. This method strikes a balance between safety and innovation, but it is still a work in progress as a regulatory tool.</w:t>
      </w:r>
    </w:p>
    <w:p w:rsidR="00000000" w:rsidDel="00000000" w:rsidP="00000000" w:rsidRDefault="00000000" w:rsidRPr="00000000" w14:paraId="0000005D">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The World Health Organization (WHO) [12] provides ethical guidance for AI in health, outlining principles such as transparency, accountability, and equity. While influential, the document is intentionally high-level, offering limited technical direction for implementation.</w:t>
      </w:r>
    </w:p>
    <w:p w:rsidR="00000000" w:rsidDel="00000000" w:rsidP="00000000" w:rsidRDefault="00000000" w:rsidRPr="00000000" w14:paraId="0000005E">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The International Medical Device Regulators Forum (IMDRF) [13] defines The Best Machine Learning Practice (GMLP) principles to harmonize global regulation. The guidance clarifies terminology and lifecycle management but remains non-binding.</w:t>
      </w:r>
    </w:p>
    <w:p w:rsidR="00000000" w:rsidDel="00000000" w:rsidP="00000000" w:rsidRDefault="00000000" w:rsidRPr="00000000" w14:paraId="0000005F">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The UK Financial Conduct Authority (FCA) [14] documents the operation of the world’s first regulatory sandbox. While successful in finance, the report notes that healthcare applications require different harm models due to patient safety risks.</w:t>
      </w:r>
    </w:p>
    <w:p w:rsidR="00000000" w:rsidDel="00000000" w:rsidP="00000000" w:rsidRDefault="00000000" w:rsidRPr="00000000" w14:paraId="00000060">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Hasanzadeh et al. [15] review bias mitigation strategies in healthcare AI, concluding that technical fixes alone are insufficient. The authors argue for sociotechnical evaluation environments, supporting the need for regulated clinical sandboxes.</w:t>
      </w:r>
    </w:p>
    <w:p w:rsidR="00000000" w:rsidDel="00000000" w:rsidP="00000000" w:rsidRDefault="00000000" w:rsidRPr="00000000" w14:paraId="00000061">
      <w:pPr>
        <w:pStyle w:val="Heading3"/>
        <w:keepNext w:val="0"/>
        <w:keepLines w:val="0"/>
        <w:spacing w:before="280" w:line="360" w:lineRule="auto"/>
        <w:ind w:left="-141.73228346456688" w:firstLine="0"/>
        <w:jc w:val="both"/>
        <w:rPr>
          <w:rFonts w:ascii="Times New Roman" w:cs="Times New Roman" w:eastAsia="Times New Roman" w:hAnsi="Times New Roman"/>
          <w:b w:val="1"/>
          <w:bCs w:val="1"/>
          <w:color w:val="000000"/>
          <w:sz w:val="24"/>
          <w:szCs w:val="24"/>
        </w:rPr>
      </w:pPr>
      <w:bookmarkStart w:colFirst="0" w:colLast="0" w:name="_841wrxmynb0f" w:id="22"/>
      <w:bookmarkEnd w:id="22"/>
      <w:r w:rsidDel="00000000" w:rsidR="00000000" w:rsidRPr="00000000">
        <w:rPr>
          <w:rFonts w:ascii="Times New Roman" w:cs="Times New Roman" w:eastAsia="Times New Roman" w:hAnsi="Times New Roman"/>
          <w:b w:val="1"/>
          <w:bCs w:val="1"/>
          <w:color w:val="000000"/>
          <w:sz w:val="24"/>
          <w:szCs w:val="24"/>
          <w:rtl w:val="0"/>
        </w:rPr>
        <w:t xml:space="preserve">3.2 Critical Analysis and Synthesis</w:t>
      </w:r>
    </w:p>
    <w:p w:rsidR="00000000" w:rsidDel="00000000" w:rsidP="00000000" w:rsidRDefault="00000000" w:rsidRPr="00000000" w14:paraId="00000062">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distinct trend is evident in the reviewed literature: AI systems generally improve triage accuracy and efficiency compared to traditional manual methods. However, most studies rely on retrospective datasets and single-center evaluations, which limits their generalizability. Another noticeable trend is the growing focus on governance, explainability, and regulatory compliance, especially following the introduction of the European Union AI Act and similar frameworks.</w:t>
      </w:r>
    </w:p>
    <w:p w:rsidR="00000000" w:rsidDel="00000000" w:rsidP="00000000" w:rsidRDefault="00000000" w:rsidRPr="00000000" w14:paraId="00000063">
      <w:pPr>
        <w:spacing w:after="240" w:before="240" w:line="360" w:lineRule="auto"/>
        <w:ind w:left="-141.73228346456688"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Despite the promising results from hybrid models and LLMs, challenges like issues of bias, lack of transparency, data representativeness, and lifecycle monitoring remain unresolved. Furthermore, there is currently no standardized clinical sandbox framework that exists for high-risk AI triage, creating a gap between academic innovation and real-world implementation. This gap directly motivates the regulatory-ready framework proposed in this project.</w:t>
      </w:r>
      <w:r w:rsidDel="00000000" w:rsidR="00000000" w:rsidRPr="00000000">
        <w:rPr>
          <w:rtl w:val="0"/>
        </w:rPr>
      </w:r>
    </w:p>
    <w:p w:rsidR="00000000" w:rsidDel="00000000" w:rsidP="00000000" w:rsidRDefault="00000000" w:rsidRPr="00000000" w14:paraId="00000064">
      <w:pPr>
        <w:pStyle w:val="Heading3"/>
        <w:keepNext w:val="0"/>
        <w:keepLines w:val="0"/>
        <w:spacing w:before="280" w:line="360" w:lineRule="auto"/>
        <w:ind w:left="-141.73228346456688" w:firstLine="0"/>
        <w:jc w:val="both"/>
        <w:rPr>
          <w:rFonts w:ascii="Times New Roman" w:cs="Times New Roman" w:eastAsia="Times New Roman" w:hAnsi="Times New Roman"/>
          <w:sz w:val="24"/>
          <w:szCs w:val="24"/>
        </w:rPr>
      </w:pPr>
      <w:bookmarkStart w:colFirst="0" w:colLast="0" w:name="_s6eykr8p0jch" w:id="23"/>
      <w:bookmarkEnd w:id="23"/>
      <w:r w:rsidDel="00000000" w:rsidR="00000000" w:rsidRPr="00000000">
        <w:rPr>
          <w:rFonts w:ascii="Times New Roman" w:cs="Times New Roman" w:eastAsia="Times New Roman" w:hAnsi="Times New Roman"/>
          <w:b w:val="1"/>
          <w:bCs w:val="1"/>
          <w:color w:val="000000"/>
          <w:sz w:val="24"/>
          <w:szCs w:val="24"/>
          <w:rtl w:val="0"/>
        </w:rPr>
        <w:t xml:space="preserve">Mandatory Table (as required):</w:t>
      </w:r>
      <w:r w:rsidDel="00000000" w:rsidR="00000000" w:rsidRPr="00000000">
        <w:rPr>
          <w:rtl w:val="0"/>
        </w:rPr>
      </w:r>
    </w:p>
    <w:tbl>
      <w:tblPr>
        <w:tblStyle w:val="Table1"/>
        <w:tblW w:w="1008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650"/>
        <w:gridCol w:w="1635"/>
        <w:gridCol w:w="1515"/>
        <w:gridCol w:w="1635"/>
        <w:gridCol w:w="1740"/>
        <w:tblGridChange w:id="0">
          <w:tblGrid>
            <w:gridCol w:w="1905"/>
            <w:gridCol w:w="1650"/>
            <w:gridCol w:w="1635"/>
            <w:gridCol w:w="1515"/>
            <w:gridCol w:w="1635"/>
            <w:gridCol w:w="1740"/>
          </w:tblGrid>
        </w:tblGridChange>
      </w:tblGrid>
      <w:tr>
        <w:trPr>
          <w:cantSplit w:val="0"/>
          <w:trHeight w:val="525" w:hRule="atLeast"/>
          <w:tblHeader w:val="0"/>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5">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Paper Reference</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6">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7">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Used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8">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Model/Method</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9">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Results</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A">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tl w:val="0"/>
              </w:rPr>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B">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Da’Costa et al. [1]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C">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 Triage Review</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D">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(Review)</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E">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Review</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6F">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reduces wait times &amp; resource waste; it is superior to manual triage.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0">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studies are retrospective; there is a lack of interoperability.</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1">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Aleksandra et al. [2]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2">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 Optimization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3">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(Review)</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4">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Review</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5">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KATE system (75.7% accuracy) outperforms nurses (59.8%).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6">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process is complex, and there are no legal standards in place.</w:t>
            </w:r>
          </w:p>
        </w:tc>
      </w:tr>
      <w:tr>
        <w:trPr>
          <w:cantSplit w:val="0"/>
          <w:trHeight w:val="241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7">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Williams et al. [3]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8">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Triage Acuity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9">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10k Clinical Pairs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A">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Language Model (LLM)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B">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LLM is effective in providing a "second opinion" or in identifying delays, but it faces challenges when dealing with adjacent acuity issues.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C">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operates as a single health system and is not yet prepared for autonomous use.</w:t>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D">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Mittermaier et al. [4]​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E">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Mitigation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7F">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Surgical/Clinical Data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0">
            <w:pPr>
              <w:spacing w:after="240" w:before="240" w:line="360" w:lineRule="auto"/>
              <w:ind w:left="-141.732283464566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detection + TWIX</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1">
            <w:pPr>
              <w:spacing w:after="240" w:before="240" w:line="360" w:lineRule="auto"/>
              <w:ind w:left="-141.73228346456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"Human-in-the-loop" mitigation reduces subgroup disparities.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2">
            <w:pPr>
              <w:spacing w:after="240" w:before="240" w:line="360" w:lineRule="auto"/>
              <w:ind w:left="-141.73228346456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learning can reintroduce bias.</w:t>
            </w:r>
          </w:p>
        </w:tc>
      </w:tr>
      <w:tr>
        <w:trPr>
          <w:cantSplit w:val="0"/>
          <w:trHeight w:val="187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3">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Labkoff et al. [5]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4">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CDSS Governance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5">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(Guidance)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6">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Consensus Framework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7">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"nutrition labels" &amp; safety reporting for AI-CDS.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8">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Logistically complex to implement globally.</w:t>
            </w:r>
          </w:p>
        </w:tc>
      </w:tr>
      <w:tr>
        <w:trPr>
          <w:cantSplit w:val="0"/>
          <w:trHeight w:val="214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9">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Teo &amp; Huang [6]​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A">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Privacy/Learning</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B">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 Articles (Review)</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C">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Federated Learning (FL)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D">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 matches central training performance while preserving privacy.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E">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heterogeneity; comms overhead.</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8F">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Aboy et al. [7]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0">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Analysis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1">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(Legal)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2">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Legal/Policy Analysis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3">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EU AI Act adds strict risk/data obligations for medical AI.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4">
            <w:pPr>
              <w:spacing w:after="240" w:before="240" w:line="360" w:lineRule="auto"/>
              <w:ind w:left="-141.73228346456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SMEs face a significant compliance burden due to the absence of established standards.</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5">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Johnson et al. [8]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6">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 Research Data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7">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MIMIC-IV-ED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8">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Descriptor</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9">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Large-scale benchmark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A">
            <w:pPr>
              <w:spacing w:after="240" w:before="240" w:line="360" w:lineRule="auto"/>
              <w:ind w:left="-141.73228346456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Single-center (Boston); tertiary care bias.</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B">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C">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Management</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D">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(Framework)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E">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RMF (Govern/Map)</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9F">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AI risk control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0">
            <w:pPr>
              <w:spacing w:after="240" w:before="240" w:line="360" w:lineRule="auto"/>
              <w:ind w:left="-141.73228346456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Adoption is voluntary and may vary.</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1">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[10]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2">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Sandbox models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3">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Fintech Case Studies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4">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Analysis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5">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innovation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6">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health-specific</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7">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FDA [11]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8">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AI regulation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9">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(Policy)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A">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framework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B">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adaptive AI.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C">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evolving</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D">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[12]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E">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Ethics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AF">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(Guidance)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0">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Ethical guidance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1">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Global consensus.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2">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Lacks technical detail.</w:t>
            </w:r>
          </w:p>
        </w:tc>
      </w:tr>
      <w:tr>
        <w:trPr>
          <w:cantSplit w:val="0"/>
          <w:trHeight w:val="133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3">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IMDRF [13]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4">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harmonisation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5">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(Guidance)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6">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GMLP Principles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7">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lifecycle guidance</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8">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Non-binding national adoption.</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9">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FCA [14]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A">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Sandbox</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B">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System</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C">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Model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D">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Proven supervision.</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E">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patient-centric</w:t>
            </w:r>
          </w:p>
        </w:tc>
      </w:tr>
      <w:tr>
        <w:trPr>
          <w:cantSplit w:val="0"/>
          <w:trHeight w:val="160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BF">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Hasanzadeh et al. [15]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0">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Strategy</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1">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AI</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2">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methods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3">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Governance required.</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vAlign w:val="top"/>
          </w:tcPr>
          <w:p w:rsidR="00000000" w:rsidDel="00000000" w:rsidP="00000000" w:rsidRDefault="00000000" w:rsidRPr="00000000" w14:paraId="000000C4">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empirical testing.</w:t>
            </w:r>
          </w:p>
        </w:tc>
      </w:tr>
    </w:tbl>
    <w:p w:rsidR="00000000" w:rsidDel="00000000" w:rsidP="00000000" w:rsidRDefault="00000000" w:rsidRPr="00000000" w14:paraId="000000C5">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pStyle w:val="Heading1"/>
        <w:keepNext w:val="0"/>
        <w:keepLines w:val="0"/>
        <w:spacing w:before="480" w:line="360" w:lineRule="auto"/>
        <w:ind w:left="-141.73228346456688" w:firstLine="0"/>
        <w:jc w:val="both"/>
        <w:rPr>
          <w:rFonts w:ascii="Times New Roman" w:cs="Times New Roman" w:eastAsia="Times New Roman" w:hAnsi="Times New Roman"/>
          <w:b w:val="1"/>
          <w:bCs w:val="1"/>
          <w:color w:val="1a1c1e"/>
          <w:sz w:val="24"/>
          <w:szCs w:val="24"/>
          <w:highlight w:val="white"/>
        </w:rPr>
      </w:pPr>
      <w:bookmarkStart w:colFirst="0" w:colLast="0" w:name="_44qhnx5isgza" w:id="24"/>
      <w:bookmarkEnd w:id="24"/>
      <w:r w:rsidDel="00000000" w:rsidR="00000000" w:rsidRPr="00000000">
        <w:rPr>
          <w:rtl w:val="0"/>
        </w:rPr>
      </w:r>
    </w:p>
    <w:p w:rsidR="00000000" w:rsidDel="00000000" w:rsidP="00000000" w:rsidRDefault="00000000" w:rsidRPr="00000000" w14:paraId="000000C9">
      <w:pPr>
        <w:pStyle w:val="Heading1"/>
        <w:keepNext w:val="0"/>
        <w:keepLines w:val="0"/>
        <w:spacing w:before="480" w:line="360" w:lineRule="auto"/>
        <w:ind w:left="-141.73228346456688" w:firstLine="0"/>
        <w:jc w:val="both"/>
        <w:rPr>
          <w:rFonts w:ascii="Times New Roman" w:cs="Times New Roman" w:eastAsia="Times New Roman" w:hAnsi="Times New Roman"/>
          <w:b w:val="1"/>
          <w:bCs w:val="1"/>
          <w:color w:val="1a1c1e"/>
          <w:sz w:val="24"/>
          <w:szCs w:val="24"/>
          <w:highlight w:val="white"/>
        </w:rPr>
      </w:pPr>
      <w:bookmarkStart w:colFirst="0" w:colLast="0" w:name="_7w7jig1x7uoo" w:id="25"/>
      <w:bookmarkEnd w:id="25"/>
      <w:r w:rsidDel="00000000" w:rsidR="00000000" w:rsidRPr="00000000">
        <w:rPr>
          <w:rtl w:val="0"/>
        </w:rPr>
      </w:r>
    </w:p>
    <w:p w:rsidR="00000000" w:rsidDel="00000000" w:rsidP="00000000" w:rsidRDefault="00000000" w:rsidRPr="00000000" w14:paraId="000000CA">
      <w:pPr>
        <w:pStyle w:val="Heading1"/>
        <w:keepNext w:val="0"/>
        <w:keepLines w:val="0"/>
        <w:spacing w:before="480" w:line="360" w:lineRule="auto"/>
        <w:ind w:left="-141.73228346456688" w:firstLine="0"/>
        <w:jc w:val="both"/>
        <w:rPr>
          <w:rFonts w:ascii="Times New Roman" w:cs="Times New Roman" w:eastAsia="Times New Roman" w:hAnsi="Times New Roman"/>
          <w:b w:val="1"/>
          <w:bCs w:val="1"/>
          <w:color w:val="1a1c1e"/>
          <w:sz w:val="24"/>
          <w:szCs w:val="24"/>
          <w:highlight w:val="white"/>
        </w:rPr>
      </w:pPr>
      <w:bookmarkStart w:colFirst="0" w:colLast="0" w:name="_ddebxbkg5zns" w:id="26"/>
      <w:bookmarkEnd w:id="26"/>
      <w:r w:rsidDel="00000000" w:rsidR="00000000" w:rsidRPr="00000000">
        <w:rPr>
          <w:rtl w:val="0"/>
        </w:rPr>
      </w:r>
    </w:p>
    <w:p w:rsidR="00000000" w:rsidDel="00000000" w:rsidP="00000000" w:rsidRDefault="00000000" w:rsidRPr="00000000" w14:paraId="000000CB">
      <w:pPr>
        <w:pStyle w:val="Heading1"/>
        <w:keepNext w:val="0"/>
        <w:keepLines w:val="0"/>
        <w:spacing w:before="480" w:line="360" w:lineRule="auto"/>
        <w:ind w:left="-141.73228346456688" w:firstLine="0"/>
        <w:jc w:val="both"/>
        <w:rPr>
          <w:rFonts w:ascii="Times New Roman" w:cs="Times New Roman" w:eastAsia="Times New Roman" w:hAnsi="Times New Roman"/>
          <w:b w:val="1"/>
          <w:bCs w:val="1"/>
          <w:color w:val="1a1c1e"/>
          <w:sz w:val="24"/>
          <w:szCs w:val="24"/>
          <w:highlight w:val="white"/>
        </w:rPr>
      </w:pPr>
      <w:bookmarkStart w:colFirst="0" w:colLast="0" w:name="_7dogngqzbsbj" w:id="27"/>
      <w:bookmarkEnd w:id="27"/>
      <w:r w:rsidDel="00000000" w:rsidR="00000000" w:rsidRPr="00000000">
        <w:rPr>
          <w:rtl w:val="0"/>
        </w:rPr>
      </w:r>
    </w:p>
    <w:p w:rsidR="00000000" w:rsidDel="00000000" w:rsidP="00000000" w:rsidRDefault="00000000" w:rsidRPr="00000000" w14:paraId="000000CC">
      <w:pPr>
        <w:pStyle w:val="Heading1"/>
        <w:keepNext w:val="0"/>
        <w:keepLines w:val="0"/>
        <w:spacing w:before="480" w:line="360" w:lineRule="auto"/>
        <w:ind w:left="-141.73228346456688" w:firstLine="0"/>
        <w:jc w:val="left"/>
        <w:rPr>
          <w:rFonts w:ascii="Times New Roman" w:cs="Times New Roman" w:eastAsia="Times New Roman" w:hAnsi="Times New Roman"/>
          <w:b w:val="1"/>
          <w:bCs w:val="1"/>
          <w:color w:val="1a1c1e"/>
          <w:sz w:val="24"/>
          <w:szCs w:val="24"/>
          <w:highlight w:val="white"/>
        </w:rPr>
      </w:pPr>
      <w:bookmarkStart w:colFirst="0" w:colLast="0" w:name="_nsfxad7ua9u3" w:id="28"/>
      <w:bookmarkEnd w:id="28"/>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1"/>
        <w:keepNext w:val="0"/>
        <w:keepLines w:val="0"/>
        <w:spacing w:before="480" w:line="360" w:lineRule="auto"/>
        <w:ind w:left="-141.73228346456688" w:firstLine="0"/>
        <w:jc w:val="center"/>
        <w:rPr>
          <w:rFonts w:ascii="Times New Roman" w:cs="Times New Roman" w:eastAsia="Times New Roman" w:hAnsi="Times New Roman"/>
          <w:b w:val="1"/>
          <w:bCs w:val="1"/>
          <w:color w:val="1a1c1e"/>
          <w:sz w:val="24"/>
          <w:szCs w:val="24"/>
          <w:highlight w:val="white"/>
        </w:rPr>
      </w:pPr>
      <w:bookmarkStart w:colFirst="0" w:colLast="0" w:name="_gqx61ewn9dx" w:id="29"/>
      <w:bookmarkEnd w:id="29"/>
      <w:r w:rsidDel="00000000" w:rsidR="00000000" w:rsidRPr="00000000">
        <w:rPr>
          <w:rFonts w:ascii="Times New Roman" w:cs="Times New Roman" w:eastAsia="Times New Roman" w:hAnsi="Times New Roman"/>
          <w:b w:val="1"/>
          <w:bCs w:val="1"/>
          <w:color w:val="1a1c1e"/>
          <w:sz w:val="24"/>
          <w:szCs w:val="24"/>
          <w:highlight w:val="white"/>
          <w:rtl w:val="0"/>
        </w:rPr>
        <w:t xml:space="preserve">SECTION 4 </w:t>
      </w:r>
    </w:p>
    <w:p w:rsidR="00000000" w:rsidDel="00000000" w:rsidP="00000000" w:rsidRDefault="00000000" w:rsidRPr="00000000" w14:paraId="000000DB">
      <w:pPr>
        <w:pStyle w:val="Heading1"/>
        <w:keepNext w:val="0"/>
        <w:keepLines w:val="0"/>
        <w:spacing w:before="480" w:line="360" w:lineRule="auto"/>
        <w:ind w:left="-141.73228346456688" w:firstLine="0"/>
        <w:jc w:val="center"/>
        <w:rPr>
          <w:rFonts w:ascii="Times New Roman" w:cs="Times New Roman" w:eastAsia="Times New Roman" w:hAnsi="Times New Roman"/>
          <w:b w:val="1"/>
          <w:bCs w:val="1"/>
          <w:color w:val="1a1c1e"/>
          <w:sz w:val="24"/>
          <w:szCs w:val="24"/>
          <w:highlight w:val="white"/>
        </w:rPr>
      </w:pPr>
      <w:bookmarkStart w:colFirst="0" w:colLast="0" w:name="_a4lf3x9xx029" w:id="30"/>
      <w:bookmarkEnd w:id="30"/>
      <w:r w:rsidDel="00000000" w:rsidR="00000000" w:rsidRPr="00000000">
        <w:rPr>
          <w:rFonts w:ascii="Times New Roman" w:cs="Times New Roman" w:eastAsia="Times New Roman" w:hAnsi="Times New Roman"/>
          <w:b w:val="1"/>
          <w:bCs w:val="1"/>
          <w:color w:val="1a1c1e"/>
          <w:sz w:val="24"/>
          <w:szCs w:val="24"/>
          <w:highlight w:val="white"/>
          <w:rtl w:val="0"/>
        </w:rPr>
        <w:t xml:space="preserve">END-TO-END CONCEPTUAL DESIGN OF AN EU AI ACT-COMPLIANT MEDICAL TRIAGE SYSTEM</w:t>
      </w:r>
    </w:p>
    <w:p w:rsidR="00000000" w:rsidDel="00000000" w:rsidP="00000000" w:rsidRDefault="00000000" w:rsidRPr="00000000" w14:paraId="000000DC">
      <w:pPr>
        <w:spacing w:after="120" w:before="120" w:line="360" w:lineRule="auto"/>
        <w:ind w:left="-141.73228346456688" w:firstLine="0"/>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71717"/>
          <w:sz w:val="24"/>
          <w:szCs w:val="24"/>
          <w:highlight w:val="white"/>
          <w:rtl w:val="0"/>
        </w:rPr>
        <w:t xml:space="preserve">This design is intended to satisfy strong governance requirements for high-risk AI systems from the E.U. Artificial Intelligence Act, a landmark regulatory framework, as well as established technical best practices. Figure 4.1 shows the main stages of the system from data input to clinical decision support output. Each component is described in detail below.</w:t>
      </w:r>
      <w:r w:rsidDel="00000000" w:rsidR="00000000" w:rsidRPr="00000000">
        <w:rPr>
          <w:rtl w:val="0"/>
        </w:rPr>
      </w:r>
    </w:p>
    <w:p w:rsidR="00000000" w:rsidDel="00000000" w:rsidP="00000000" w:rsidRDefault="00000000" w:rsidRPr="00000000" w14:paraId="000000DD">
      <w:pPr>
        <w:spacing w:after="120" w:before="120" w:line="360" w:lineRule="auto"/>
        <w:ind w:left="-141.73228346456688" w:firstLine="0"/>
        <w:jc w:val="both"/>
        <w:rPr>
          <w:rFonts w:ascii="Times New Roman" w:cs="Times New Roman" w:eastAsia="Times New Roman" w:hAnsi="Times New Roman"/>
          <w:b w:val="1"/>
          <w:bCs w:val="1"/>
          <w:color w:val="171717"/>
          <w:sz w:val="24"/>
          <w:szCs w:val="24"/>
          <w:highlight w:val="white"/>
        </w:rPr>
      </w:pPr>
      <w:r w:rsidDel="00000000" w:rsidR="00000000" w:rsidRPr="00000000">
        <w:rPr>
          <w:rFonts w:ascii="Times New Roman" w:cs="Times New Roman" w:eastAsia="Times New Roman" w:hAnsi="Times New Roman"/>
          <w:b w:val="1"/>
          <w:bCs w:val="1"/>
          <w:color w:val="171717"/>
          <w:sz w:val="24"/>
          <w:szCs w:val="24"/>
          <w:highlight w:val="white"/>
          <w:rtl w:val="0"/>
        </w:rPr>
        <w:t xml:space="preserve">4.1 Architecture Block Diagram</w:t>
      </w:r>
    </w:p>
    <w:p w:rsidR="00000000" w:rsidDel="00000000" w:rsidP="00000000" w:rsidRDefault="00000000" w:rsidRPr="00000000" w14:paraId="000000DE">
      <w:pPr>
        <w:spacing w:after="120" w:before="120" w:line="360" w:lineRule="auto"/>
        <w:ind w:left="-141.73228346456688" w:firstLine="0"/>
        <w:jc w:val="both"/>
        <w:rPr>
          <w:rFonts w:ascii="Times New Roman" w:cs="Times New Roman" w:eastAsia="Times New Roman" w:hAnsi="Times New Roman"/>
          <w:color w:val="171717"/>
          <w:sz w:val="24"/>
          <w:szCs w:val="24"/>
          <w:highlight w:val="white"/>
        </w:rPr>
      </w:pPr>
      <w:r w:rsidDel="00000000" w:rsidR="00000000" w:rsidRPr="00000000">
        <w:rPr>
          <w:rFonts w:ascii="Times New Roman" w:cs="Times New Roman" w:eastAsia="Times New Roman" w:hAnsi="Times New Roman"/>
          <w:color w:val="171717"/>
          <w:sz w:val="24"/>
          <w:szCs w:val="24"/>
          <w:highlight w:val="white"/>
          <w:rtl w:val="0"/>
        </w:rPr>
        <w:t xml:space="preserve">The system has four main steps: gathering raw input, preprocessing and filtering that input, extracting salient features, and producing the final output.</w:t>
      </w:r>
    </w:p>
    <w:p w:rsidR="00000000" w:rsidDel="00000000" w:rsidP="00000000" w:rsidRDefault="00000000" w:rsidRPr="00000000" w14:paraId="000000DF">
      <w:pPr>
        <w:spacing w:after="120" w:before="120" w:line="360" w:lineRule="auto"/>
        <w:ind w:left="-141.73228346456688" w:firstLine="0"/>
        <w:jc w:val="both"/>
        <w:rPr>
          <w:rFonts w:ascii="Times New Roman" w:cs="Times New Roman" w:eastAsia="Times New Roman" w:hAnsi="Times New Roman"/>
          <w:color w:val="171717"/>
          <w:sz w:val="24"/>
          <w:szCs w:val="24"/>
          <w:highlight w:val="white"/>
        </w:rPr>
      </w:pPr>
      <w:r w:rsidDel="00000000" w:rsidR="00000000" w:rsidRPr="00000000">
        <w:rPr>
          <w:rFonts w:ascii="Times New Roman" w:cs="Times New Roman" w:eastAsia="Times New Roman" w:hAnsi="Times New Roman"/>
          <w:color w:val="171717"/>
          <w:sz w:val="24"/>
          <w:szCs w:val="24"/>
          <w:highlight w:val="white"/>
          <w:rtl w:val="0"/>
        </w:rPr>
        <w:t xml:space="preserve">(1) input datasets,</w:t>
      </w:r>
    </w:p>
    <w:p w:rsidR="00000000" w:rsidDel="00000000" w:rsidP="00000000" w:rsidRDefault="00000000" w:rsidRPr="00000000" w14:paraId="000000E0">
      <w:pPr>
        <w:spacing w:after="120" w:before="120" w:line="360" w:lineRule="auto"/>
        <w:ind w:left="-141.73228346456688" w:firstLine="0"/>
        <w:jc w:val="both"/>
        <w:rPr>
          <w:rFonts w:ascii="Times New Roman" w:cs="Times New Roman" w:eastAsia="Times New Roman" w:hAnsi="Times New Roman"/>
          <w:color w:val="171717"/>
          <w:sz w:val="24"/>
          <w:szCs w:val="24"/>
          <w:highlight w:val="white"/>
        </w:rPr>
      </w:pPr>
      <w:r w:rsidDel="00000000" w:rsidR="00000000" w:rsidRPr="00000000">
        <w:rPr>
          <w:rFonts w:ascii="Times New Roman" w:cs="Times New Roman" w:eastAsia="Times New Roman" w:hAnsi="Times New Roman"/>
          <w:color w:val="171717"/>
          <w:sz w:val="24"/>
          <w:szCs w:val="24"/>
          <w:highlight w:val="white"/>
          <w:rtl w:val="0"/>
        </w:rPr>
        <w:t xml:space="preserve">(2) data processing and feature extraction,</w:t>
      </w:r>
    </w:p>
    <w:p w:rsidR="00000000" w:rsidDel="00000000" w:rsidP="00000000" w:rsidRDefault="00000000" w:rsidRPr="00000000" w14:paraId="000000E1">
      <w:pPr>
        <w:spacing w:after="120" w:before="120" w:line="360" w:lineRule="auto"/>
        <w:ind w:left="-141.73228346456688" w:firstLine="0"/>
        <w:jc w:val="both"/>
        <w:rPr>
          <w:rFonts w:ascii="Times New Roman" w:cs="Times New Roman" w:eastAsia="Times New Roman" w:hAnsi="Times New Roman"/>
          <w:color w:val="171717"/>
          <w:sz w:val="24"/>
          <w:szCs w:val="24"/>
          <w:highlight w:val="white"/>
        </w:rPr>
      </w:pPr>
      <w:r w:rsidDel="00000000" w:rsidR="00000000" w:rsidRPr="00000000">
        <w:rPr>
          <w:rFonts w:ascii="Times New Roman" w:cs="Times New Roman" w:eastAsia="Times New Roman" w:hAnsi="Times New Roman"/>
          <w:color w:val="171717"/>
          <w:sz w:val="24"/>
          <w:szCs w:val="24"/>
          <w:highlight w:val="white"/>
          <w:rtl w:val="0"/>
        </w:rPr>
        <w:t xml:space="preserve">(3) hybrid model design, and</w:t>
      </w:r>
    </w:p>
    <w:p w:rsidR="00000000" w:rsidDel="00000000" w:rsidP="00000000" w:rsidRDefault="00000000" w:rsidRPr="00000000" w14:paraId="000000E2">
      <w:pPr>
        <w:spacing w:after="120" w:before="120" w:line="360" w:lineRule="auto"/>
        <w:ind w:left="-141.73228346456688" w:firstLine="0"/>
        <w:jc w:val="both"/>
        <w:rPr>
          <w:rFonts w:ascii="Times New Roman" w:cs="Times New Roman" w:eastAsia="Times New Roman" w:hAnsi="Times New Roman"/>
          <w:color w:val="171717"/>
          <w:sz w:val="24"/>
          <w:szCs w:val="24"/>
          <w:highlight w:val="white"/>
        </w:rPr>
      </w:pPr>
      <w:r w:rsidDel="00000000" w:rsidR="00000000" w:rsidRPr="00000000">
        <w:rPr>
          <w:rFonts w:ascii="Times New Roman" w:cs="Times New Roman" w:eastAsia="Times New Roman" w:hAnsi="Times New Roman"/>
          <w:color w:val="171717"/>
          <w:sz w:val="24"/>
          <w:szCs w:val="24"/>
          <w:highlight w:val="white"/>
          <w:rtl w:val="0"/>
        </w:rPr>
        <w:t xml:space="preserve">(4) Output generation is supervised by evaluators and humans</w:t>
      </w:r>
    </w:p>
    <w:p w:rsidR="00000000" w:rsidDel="00000000" w:rsidP="00000000" w:rsidRDefault="00000000" w:rsidRPr="00000000" w14:paraId="000000E3">
      <w:pPr>
        <w:spacing w:after="120" w:before="120" w:line="360" w:lineRule="auto"/>
        <w:ind w:left="-141.73228346456688" w:firstLine="0"/>
        <w:jc w:val="both"/>
        <w:rPr>
          <w:rFonts w:ascii="Times New Roman" w:cs="Times New Roman" w:eastAsia="Times New Roman" w:hAnsi="Times New Roman"/>
          <w:color w:val="1a1c1e"/>
          <w:sz w:val="24"/>
          <w:szCs w:val="24"/>
          <w:highlight w:val="white"/>
        </w:rPr>
      </w:pPr>
      <w:r w:rsidDel="00000000" w:rsidR="00000000" w:rsidRPr="00000000">
        <w:rPr>
          <w:rFonts w:ascii="Times New Roman" w:cs="Times New Roman" w:eastAsia="Times New Roman" w:hAnsi="Times New Roman"/>
          <w:color w:val="171717"/>
          <w:sz w:val="24"/>
          <w:szCs w:val="24"/>
          <w:highlight w:val="white"/>
          <w:rtl w:val="0"/>
        </w:rPr>
        <w:t xml:space="preserve">The modular design of the system also mimics real emergency department workflow, and each stage can be independently audited, updated, and validated, making maintaining regulatory compliance and clinical safety manageable.</w:t>
      </w:r>
      <w:r w:rsidDel="00000000" w:rsidR="00000000" w:rsidRPr="00000000">
        <w:rPr>
          <w:rtl w:val="0"/>
        </w:rPr>
      </w:r>
    </w:p>
    <w:p w:rsidR="00000000" w:rsidDel="00000000" w:rsidP="00000000" w:rsidRDefault="00000000" w:rsidRPr="00000000" w14:paraId="000000E4">
      <w:pPr>
        <w:spacing w:after="120" w:before="120" w:line="360" w:lineRule="auto"/>
        <w:ind w:left="-141.73228346456688" w:firstLine="0"/>
        <w:jc w:val="both"/>
        <w:rPr>
          <w:rFonts w:ascii="Times New Roman" w:cs="Times New Roman" w:eastAsia="Times New Roman" w:hAnsi="Times New Roman"/>
          <w:b w:val="1"/>
          <w:bCs w:val="1"/>
          <w:color w:val="1a1c1e"/>
          <w:sz w:val="24"/>
          <w:szCs w:val="24"/>
          <w:highlight w:val="white"/>
        </w:rPr>
      </w:pPr>
      <w:r w:rsidDel="00000000" w:rsidR="00000000" w:rsidRPr="00000000">
        <w:rPr>
          <w:rtl w:val="0"/>
        </w:rPr>
      </w:r>
    </w:p>
    <w:p w:rsidR="00000000" w:rsidDel="00000000" w:rsidP="00000000" w:rsidRDefault="00000000" w:rsidRPr="00000000" w14:paraId="000000E5">
      <w:pPr>
        <w:spacing w:after="240" w:before="240" w:line="360" w:lineRule="auto"/>
        <w:ind w:left="-141.73228346456688" w:firstLine="0"/>
        <w:jc w:val="center"/>
        <w:rPr>
          <w:rFonts w:ascii="Times New Roman" w:cs="Times New Roman" w:eastAsia="Times New Roman" w:hAnsi="Times New Roman"/>
          <w:b w:val="1"/>
          <w:b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Pr>
        <w:drawing>
          <wp:inline distB="114300" distT="114300" distL="114300" distR="114300">
            <wp:extent cx="3220875" cy="7938776"/>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220875" cy="7938776"/>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240" w:line="360" w:lineRule="auto"/>
        <w:ind w:left="-141.73228346456688" w:firstLine="0"/>
        <w:jc w:val="both"/>
        <w:rPr>
          <w:rFonts w:ascii="Times New Roman" w:cs="Times New Roman" w:eastAsia="Times New Roman" w:hAnsi="Times New Roman"/>
          <w:i w:val="1"/>
          <w:iCs w:val="1"/>
          <w:color w:val="1a1c1e"/>
          <w:sz w:val="24"/>
          <w:szCs w:val="24"/>
          <w:highlight w:val="white"/>
        </w:rPr>
      </w:pPr>
      <w:r w:rsidDel="00000000" w:rsidR="00000000" w:rsidRPr="00000000">
        <w:rPr>
          <w:rFonts w:ascii="Times New Roman" w:cs="Times New Roman" w:eastAsia="Times New Roman" w:hAnsi="Times New Roman"/>
          <w:b w:val="1"/>
          <w:bCs w:val="1"/>
          <w:color w:val="1a1c1e"/>
          <w:sz w:val="24"/>
          <w:szCs w:val="24"/>
          <w:highlight w:val="white"/>
          <w:rtl w:val="0"/>
        </w:rPr>
        <w:t xml:space="preserve">Figure 4.1: Multimodal ED triage AI—Hybrid explainable architecture from patient input to clinician alert. </w:t>
      </w:r>
      <w:r w:rsidDel="00000000" w:rsidR="00000000" w:rsidRPr="00000000">
        <w:rPr>
          <w:rFonts w:ascii="Times New Roman" w:cs="Times New Roman" w:eastAsia="Times New Roman" w:hAnsi="Times New Roman"/>
          <w:i w:val="1"/>
          <w:iCs w:val="1"/>
          <w:color w:val="1a1c1e"/>
          <w:sz w:val="24"/>
          <w:szCs w:val="24"/>
          <w:highlight w:val="white"/>
          <w:rtl w:val="0"/>
        </w:rPr>
        <w:t xml:space="preserve">The architecture consists of three layers: input data </w:t>
      </w:r>
    </w:p>
    <w:p w:rsidR="00000000" w:rsidDel="00000000" w:rsidP="00000000" w:rsidRDefault="00000000" w:rsidRPr="00000000" w14:paraId="000000E7">
      <w:pPr>
        <w:spacing w:after="240" w:before="240"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color w:val="1a1c1e"/>
          <w:sz w:val="24"/>
          <w:szCs w:val="24"/>
          <w:highlight w:val="white"/>
          <w:rtl w:val="0"/>
        </w:rPr>
        <w:t xml:space="preserve">sources (blue), AI processing and decision layer (green), and output triage recommendations (orange)</w:t>
      </w:r>
      <w:r w:rsidDel="00000000" w:rsidR="00000000" w:rsidRPr="00000000">
        <w:rPr>
          <w:rtl w:val="0"/>
        </w:rPr>
      </w:r>
    </w:p>
    <w:p w:rsidR="00000000" w:rsidDel="00000000" w:rsidP="00000000" w:rsidRDefault="00000000" w:rsidRPr="00000000" w14:paraId="000000E8">
      <w:pPr>
        <w:pStyle w:val="Heading2"/>
        <w:keepNext w:val="0"/>
        <w:keepLines w:val="0"/>
        <w:spacing w:after="80" w:line="360" w:lineRule="auto"/>
        <w:ind w:left="-141.73228346456688" w:firstLine="0"/>
        <w:jc w:val="both"/>
        <w:rPr>
          <w:rFonts w:ascii="Times New Roman" w:cs="Times New Roman" w:eastAsia="Times New Roman" w:hAnsi="Times New Roman"/>
          <w:b w:val="1"/>
          <w:bCs w:val="1"/>
          <w:sz w:val="24"/>
          <w:szCs w:val="24"/>
        </w:rPr>
      </w:pPr>
      <w:bookmarkStart w:colFirst="0" w:colLast="0" w:name="_7blm15cy1ayl" w:id="31"/>
      <w:bookmarkEnd w:id="31"/>
      <w:r w:rsidDel="00000000" w:rsidR="00000000" w:rsidRPr="00000000">
        <w:rPr>
          <w:rFonts w:ascii="Times New Roman" w:cs="Times New Roman" w:eastAsia="Times New Roman" w:hAnsi="Times New Roman"/>
          <w:b w:val="1"/>
          <w:bCs w:val="1"/>
          <w:sz w:val="24"/>
          <w:szCs w:val="24"/>
          <w:rtl w:val="0"/>
        </w:rPr>
        <w:t xml:space="preserve">4.2 Input Datasets and Key Attributes</w:t>
      </w:r>
    </w:p>
    <w:p w:rsidR="00000000" w:rsidDel="00000000" w:rsidP="00000000" w:rsidRDefault="00000000" w:rsidRPr="00000000" w14:paraId="000000E9">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first stage, the system ingests multimodal data, both structured and unstructured inputs, during triage. Structured inputs include vital signs (HR, BP, SpO_2, Temp) and mode of arrival. Triage datasets (MIMIC-IV-ED) use these features to indicate a patient's severity and condition [8].</w:t>
      </w:r>
    </w:p>
    <w:p w:rsidR="00000000" w:rsidDel="00000000" w:rsidP="00000000" w:rsidRDefault="00000000" w:rsidRPr="00000000" w14:paraId="000000EA">
      <w:pPr>
        <w:spacing w:after="240" w:before="240"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On the other hand, the system also processes unstructured clinical text, which includes the patient's complaint and the triage nurse's notes. Prior studies indicate that these short narratives often capture early warning signs and provide contextual details and symptom severity that are not fully captured in numerical data alone [3]. Combining these two data types allow the system to approximate the whole assessment made by the experienced clinicians.</w:t>
      </w:r>
      <w:r w:rsidDel="00000000" w:rsidR="00000000" w:rsidRPr="00000000">
        <w:rPr>
          <w:rtl w:val="0"/>
        </w:rPr>
      </w:r>
    </w:p>
    <w:p w:rsidR="00000000" w:rsidDel="00000000" w:rsidP="00000000" w:rsidRDefault="00000000" w:rsidRPr="00000000" w14:paraId="000000EB">
      <w:pPr>
        <w:pStyle w:val="Heading2"/>
        <w:keepNext w:val="0"/>
        <w:keepLines w:val="0"/>
        <w:spacing w:after="80" w:line="360" w:lineRule="auto"/>
        <w:ind w:left="-141.73228346456688" w:firstLine="0"/>
        <w:jc w:val="both"/>
        <w:rPr>
          <w:rFonts w:ascii="Times New Roman" w:cs="Times New Roman" w:eastAsia="Times New Roman" w:hAnsi="Times New Roman"/>
          <w:b w:val="1"/>
          <w:bCs w:val="1"/>
          <w:sz w:val="24"/>
          <w:szCs w:val="24"/>
        </w:rPr>
      </w:pPr>
      <w:bookmarkStart w:colFirst="0" w:colLast="0" w:name="_650281o9nsmx" w:id="32"/>
      <w:bookmarkEnd w:id="32"/>
      <w:r w:rsidDel="00000000" w:rsidR="00000000" w:rsidRPr="00000000">
        <w:rPr>
          <w:rFonts w:ascii="Times New Roman" w:cs="Times New Roman" w:eastAsia="Times New Roman" w:hAnsi="Times New Roman"/>
          <w:b w:val="1"/>
          <w:bCs w:val="1"/>
          <w:sz w:val="24"/>
          <w:szCs w:val="24"/>
          <w:rtl w:val="0"/>
        </w:rPr>
        <w:t xml:space="preserve">4.3 Data Processing and Feature Extraction</w:t>
      </w:r>
    </w:p>
    <w:p w:rsidR="00000000" w:rsidDel="00000000" w:rsidP="00000000" w:rsidRDefault="00000000" w:rsidRPr="00000000" w14:paraId="000000EC">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emergency department’s data is usually noisy and incomplete in nature, the pipeline includes data cleaning, using clinically informed imputation to handle missing values, and standardizing the formats of the input. Unrealistic physiological values are flagged to prevent inaccurate predictions.</w:t>
      </w:r>
    </w:p>
    <w:p w:rsidR="00000000" w:rsidDel="00000000" w:rsidP="00000000" w:rsidRDefault="00000000" w:rsidRPr="00000000" w14:paraId="000000ED">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fairness-aware preprocessing step is included to address the known risk of demographic bias. The procedure involved using the stratified sampling technique and data re-weighting to reduce under-representation of specific patient groups, as recommended in recent bias-mitigation studies [4], [15]. All the preprocessing steps taken are logged to support traceability and audit requirements under the Article 12 EU AI Act.</w:t>
      </w:r>
    </w:p>
    <w:p w:rsidR="00000000" w:rsidDel="00000000" w:rsidP="00000000" w:rsidRDefault="00000000" w:rsidRPr="00000000" w14:paraId="000000EE">
      <w:pPr>
        <w:spacing w:after="240" w:before="240"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Model Design and Hybrid Architecture</w:t>
      </w:r>
    </w:p>
    <w:p w:rsidR="00000000" w:rsidDel="00000000" w:rsidP="00000000" w:rsidRDefault="00000000" w:rsidRPr="00000000" w14:paraId="000000EF">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stage represents the </w:t>
      </w:r>
      <w:r w:rsidDel="00000000" w:rsidR="00000000" w:rsidRPr="00000000">
        <w:rPr>
          <w:rFonts w:ascii="Times New Roman" w:cs="Times New Roman" w:eastAsia="Times New Roman" w:hAnsi="Times New Roman"/>
          <w:b w:val="1"/>
          <w:bCs w:val="1"/>
          <w:sz w:val="24"/>
          <w:szCs w:val="24"/>
          <w:rtl w:val="0"/>
        </w:rPr>
        <w:t xml:space="preserve">main AI modelling component</w:t>
      </w:r>
      <w:r w:rsidDel="00000000" w:rsidR="00000000" w:rsidRPr="00000000">
        <w:rPr>
          <w:rFonts w:ascii="Times New Roman" w:cs="Times New Roman" w:eastAsia="Times New Roman" w:hAnsi="Times New Roman"/>
          <w:sz w:val="24"/>
          <w:szCs w:val="24"/>
          <w:rtl w:val="0"/>
        </w:rPr>
        <w:t xml:space="preserve">. The hybrid architecture is designed to be able to handle the different data modalities effectively. A domain-specific language model, pretrained on clinical and medical text such as ClinicalBERT, is used to extract the semantic features from unstructured clinical text, capturing symptom descriptions and contextual cues [3]. At the same time, a gradient-boosted decision tree model works with the structured physiological and demographic data. These kinds of models are suitable for tabular clinical data and non-linear relationships.</w:t>
      </w:r>
    </w:p>
    <w:p w:rsidR="00000000" w:rsidDel="00000000" w:rsidP="00000000" w:rsidRDefault="00000000" w:rsidRPr="00000000" w14:paraId="000000F0">
      <w:pPr>
        <w:spacing w:after="240" w:before="240"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feature representations from both models are combined in a fusion layer, which is then fed to a calibrated classifier that predicts the patient’s Emergency Severity Index (ESI) level. To promote transparency under the Article 13 requirements, the model integrates explainable AI techniques, like SHAP-based feature analysis, which allows clinicians to see and understand which input variables most influenced the model’s prediction [5].</w:t>
      </w:r>
      <w:r w:rsidDel="00000000" w:rsidR="00000000" w:rsidRPr="00000000">
        <w:rPr>
          <w:rtl w:val="0"/>
        </w:rPr>
      </w:r>
    </w:p>
    <w:p w:rsidR="00000000" w:rsidDel="00000000" w:rsidP="00000000" w:rsidRDefault="00000000" w:rsidRPr="00000000" w14:paraId="000000F1">
      <w:pPr>
        <w:pStyle w:val="Heading2"/>
        <w:keepNext w:val="0"/>
        <w:keepLines w:val="0"/>
        <w:spacing w:after="80" w:line="360" w:lineRule="auto"/>
        <w:ind w:left="-141.73228346456688" w:firstLine="0"/>
        <w:jc w:val="both"/>
        <w:rPr>
          <w:rFonts w:ascii="Times New Roman" w:cs="Times New Roman" w:eastAsia="Times New Roman" w:hAnsi="Times New Roman"/>
          <w:b w:val="1"/>
          <w:bCs w:val="1"/>
          <w:sz w:val="24"/>
          <w:szCs w:val="24"/>
        </w:rPr>
      </w:pPr>
      <w:bookmarkStart w:colFirst="0" w:colLast="0" w:name="_wwk8aihajctg" w:id="33"/>
      <w:bookmarkEnd w:id="33"/>
      <w:r w:rsidDel="00000000" w:rsidR="00000000" w:rsidRPr="00000000">
        <w:rPr>
          <w:rFonts w:ascii="Times New Roman" w:cs="Times New Roman" w:eastAsia="Times New Roman" w:hAnsi="Times New Roman"/>
          <w:b w:val="1"/>
          <w:bCs w:val="1"/>
          <w:sz w:val="24"/>
          <w:szCs w:val="24"/>
          <w:rtl w:val="0"/>
        </w:rPr>
        <w:t xml:space="preserve">4.5 Output, Evaluation, and Human Oversight</w:t>
      </w:r>
    </w:p>
    <w:p w:rsidR="00000000" w:rsidDel="00000000" w:rsidP="00000000" w:rsidRDefault="00000000" w:rsidRPr="00000000" w14:paraId="000000F2">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system’s output is a recommended E.S.I. level and a 1-5 confidence score, along with a short explanation highlighting the key features that drove that result. We designed the output to be clinical decision support, rather than an automated or definitive decision, to ensure that clinicians make the final call if they use it in practice. All recommendations for each case remain the purview of the triage nurse, who either follows or overrides the system’s recommendation—a key requirement for Article 14 high-risk AI systems (7). </w:t>
      </w:r>
    </w:p>
    <w:p w:rsidR="00000000" w:rsidDel="00000000" w:rsidP="00000000" w:rsidRDefault="00000000" w:rsidRPr="00000000" w14:paraId="000000F3">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system’s performance is measured using clinically relevant metrics, with particular focus on sensitivity (or recall) for high-acuity cases (ESI 1–2). Automated systems must document all decisions, as well as any manual overrides that occur, so that the organizations can engage in continuous surveillance and risk management.</w:t>
      </w:r>
    </w:p>
    <w:p w:rsidR="00000000" w:rsidDel="00000000" w:rsidP="00000000" w:rsidRDefault="00000000" w:rsidRPr="00000000" w14:paraId="000000F4">
      <w:pPr>
        <w:spacing w:after="120" w:before="240"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spacing w:after="120" w:before="120"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1"/>
        <w:keepNext w:val="0"/>
        <w:keepLines w:val="0"/>
        <w:spacing w:before="480" w:line="360" w:lineRule="auto"/>
        <w:ind w:left="-141.73228346456688" w:firstLine="0"/>
        <w:jc w:val="left"/>
        <w:rPr>
          <w:rFonts w:ascii="Times New Roman" w:cs="Times New Roman" w:eastAsia="Times New Roman" w:hAnsi="Times New Roman"/>
          <w:b w:val="1"/>
          <w:bCs w:val="1"/>
          <w:sz w:val="24"/>
          <w:szCs w:val="24"/>
        </w:rPr>
      </w:pPr>
      <w:bookmarkStart w:colFirst="0" w:colLast="0" w:name="_5ikikld5s3rt" w:id="34"/>
      <w:bookmarkEnd w:id="34"/>
      <w:r w:rsidDel="00000000" w:rsidR="00000000" w:rsidRPr="00000000">
        <w:rPr>
          <w:rtl w:val="0"/>
        </w:rPr>
      </w:r>
    </w:p>
    <w:p w:rsidR="00000000" w:rsidDel="00000000" w:rsidP="00000000" w:rsidRDefault="00000000" w:rsidRPr="00000000" w14:paraId="000000FC">
      <w:pPr>
        <w:pStyle w:val="Heading1"/>
        <w:keepNext w:val="0"/>
        <w:keepLines w:val="0"/>
        <w:spacing w:before="480" w:line="360" w:lineRule="auto"/>
        <w:ind w:left="-141.73228346456688" w:firstLine="0"/>
        <w:jc w:val="center"/>
        <w:rPr>
          <w:rFonts w:ascii="Times New Roman" w:cs="Times New Roman" w:eastAsia="Times New Roman" w:hAnsi="Times New Roman"/>
          <w:b w:val="1"/>
          <w:bCs w:val="1"/>
          <w:sz w:val="24"/>
          <w:szCs w:val="24"/>
        </w:rPr>
      </w:pPr>
      <w:bookmarkStart w:colFirst="0" w:colLast="0" w:name="_nfu5dfar5gx0" w:id="35"/>
      <w:bookmarkEnd w:id="35"/>
      <w:r w:rsidDel="00000000" w:rsidR="00000000" w:rsidRPr="00000000">
        <w:rPr>
          <w:rFonts w:ascii="Times New Roman" w:cs="Times New Roman" w:eastAsia="Times New Roman" w:hAnsi="Times New Roman"/>
          <w:b w:val="1"/>
          <w:bCs w:val="1"/>
          <w:sz w:val="24"/>
          <w:szCs w:val="24"/>
          <w:rtl w:val="0"/>
        </w:rPr>
        <w:t xml:space="preserve">SECTION 5</w:t>
      </w:r>
    </w:p>
    <w:p w:rsidR="00000000" w:rsidDel="00000000" w:rsidP="00000000" w:rsidRDefault="00000000" w:rsidRPr="00000000" w14:paraId="000000FD">
      <w:pPr>
        <w:pStyle w:val="Heading1"/>
        <w:keepNext w:val="0"/>
        <w:keepLines w:val="0"/>
        <w:spacing w:before="480" w:line="360" w:lineRule="auto"/>
        <w:ind w:left="-141.73228346456688" w:firstLine="0"/>
        <w:jc w:val="center"/>
        <w:rPr>
          <w:rFonts w:ascii="Times New Roman" w:cs="Times New Roman" w:eastAsia="Times New Roman" w:hAnsi="Times New Roman"/>
          <w:sz w:val="24"/>
          <w:szCs w:val="24"/>
        </w:rPr>
      </w:pPr>
      <w:bookmarkStart w:colFirst="0" w:colLast="0" w:name="_dp5lpiov9kgl" w:id="36"/>
      <w:bookmarkEnd w:id="36"/>
      <w:r w:rsidDel="00000000" w:rsidR="00000000" w:rsidRPr="00000000">
        <w:rPr>
          <w:rFonts w:ascii="Times New Roman" w:cs="Times New Roman" w:eastAsia="Times New Roman" w:hAnsi="Times New Roman"/>
          <w:b w:val="1"/>
          <w:bCs w:val="1"/>
          <w:sz w:val="24"/>
          <w:szCs w:val="24"/>
          <w:rtl w:val="0"/>
        </w:rPr>
        <w:t xml:space="preserve">ETHICAL, LEGAL, SOCIETAL &amp; ALGORITHMIC DISCUSSION </w:t>
      </w:r>
      <w:r w:rsidDel="00000000" w:rsidR="00000000" w:rsidRPr="00000000">
        <w:rPr>
          <w:rtl w:val="0"/>
        </w:rPr>
      </w:r>
    </w:p>
    <w:p w:rsidR="00000000" w:rsidDel="00000000" w:rsidP="00000000" w:rsidRDefault="00000000" w:rsidRPr="00000000" w14:paraId="000000FE">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Ethical considerations</w:t>
      </w:r>
    </w:p>
    <w:p w:rsidR="00000000" w:rsidDel="00000000" w:rsidP="00000000" w:rsidRDefault="00000000" w:rsidRPr="00000000" w14:paraId="000000FF">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Potential harms</w:t>
      </w:r>
    </w:p>
    <w:p w:rsidR="00000000" w:rsidDel="00000000" w:rsidP="00000000" w:rsidRDefault="00000000" w:rsidRPr="00000000" w14:paraId="00000100">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triage systems process extremely sensitive health data and therefore present multiple ethically salient harms. First, privacy breaches and re-identification risks arise where telemetry, EHR extracts, and metadata are aggregated or insufficiently protected; such incidents would have severe individual and institutional consequences and can occur across data sharing or cloud computing boundaries. Regulatory guidance and DPIA practice identify health-data processing as a canonical high-risk operation. </w:t>
      </w:r>
    </w:p>
    <w:p w:rsidR="00000000" w:rsidDel="00000000" w:rsidP="00000000" w:rsidRDefault="00000000" w:rsidRPr="00000000" w14:paraId="00000101">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strategies</w:t>
      </w:r>
    </w:p>
    <w:p w:rsidR="00000000" w:rsidDel="00000000" w:rsidP="00000000" w:rsidRDefault="00000000" w:rsidRPr="00000000" w14:paraId="00000103">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Mitigation must be multi-layered and evidence-driven. Implement privacy-by-design (strong pseudonymization, access controls, encrypted storage, and limited retention), conduct DPIAs before deployment, and prefer privacy-preserving architectures (federated learning, secure multiparty computation) where feasible. To reduce bias, organizations must require dataset documentation (datasheets) and model reporting (model cards) that disclose provenance, demographics, missingness, and subgroup performance; they should also enforce stratified validation on external, geographically diverse cohorts. Integrate bias-mitigation techniques (pre-, in-, and post-processing) and publish subgroup metrics so that residual harms are visible to clinicians and regulators. .0</w:t>
      </w:r>
    </w:p>
    <w:p w:rsidR="00000000" w:rsidDel="00000000" w:rsidP="00000000" w:rsidRDefault="00000000" w:rsidRPr="00000000" w14:paraId="00000104">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 opacity with tiered explainability: deploy local, concise explanations (feature contribution, confidence intervals, counterfactuals) designed for clinicians’ heuristics rather than technical audiences. Coupled with human-in-the-loop (HITL) policies that require clinician confirmation for high-impact decisions and log overrides, these measures preserve clinician authority and create audit trails.</w:t>
      </w:r>
    </w:p>
    <w:p w:rsidR="00000000" w:rsidDel="00000000" w:rsidP="00000000" w:rsidRDefault="00000000" w:rsidRPr="00000000" w14:paraId="00000106">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Trade-offs</w:t>
      </w:r>
    </w:p>
    <w:p w:rsidR="00000000" w:rsidDel="00000000" w:rsidP="00000000" w:rsidRDefault="00000000" w:rsidRPr="00000000" w14:paraId="00000108">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choices force trade-offs. Increasing privacy (e.g., aggressive de-identification or differential privacy) may degrade model performance and reduce sensitivity for rare but critical cases. Greater transparency may expose proprietary model internals or risk “gaming” of the system. Strong human oversight increases safety but reduces automation gains in throughput. The dissertation argues for balanced governance settings and KPIs chosen through sandbox experiments rather than ad hoc deployment.</w:t>
      </w:r>
    </w:p>
    <w:p w:rsidR="00000000" w:rsidDel="00000000" w:rsidP="00000000" w:rsidRDefault="00000000" w:rsidRPr="00000000" w14:paraId="00000109">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Legal considerations</w:t>
      </w:r>
    </w:p>
    <w:p w:rsidR="00000000" w:rsidDel="00000000" w:rsidP="00000000" w:rsidRDefault="00000000" w:rsidRPr="00000000" w14:paraId="0000010B">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licensing and GDPR compliance</w:t>
      </w:r>
    </w:p>
    <w:p w:rsidR="00000000" w:rsidDel="00000000" w:rsidP="00000000" w:rsidRDefault="00000000" w:rsidRPr="00000000" w14:paraId="0000010C">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DPIAs are mandated where processing is likely to produce high risks to rights and freedoms. Cross-border data transfers and third-party cloud providers require explicit contractual safeguards (SCCs/adequacy) and provenance records in the technical file. Failure to comply risks both substantial fines and operational injunctions.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Intellectual property issues arise from training on licensed EHR datasets or third-party pretrained models. Licensing audits and contractual clauses (indemnities, audit rights) should form part of the conformity documentation.</w:t>
      </w:r>
    </w:p>
    <w:p w:rsidR="00000000" w:rsidDel="00000000" w:rsidP="00000000" w:rsidRDefault="00000000" w:rsidRPr="00000000" w14:paraId="0000010D">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Compliance planning and ethical review procedures</w:t>
      </w:r>
    </w:p>
    <w:p w:rsidR="00000000" w:rsidDel="00000000" w:rsidP="00000000" w:rsidRDefault="00000000" w:rsidRPr="00000000" w14:paraId="0000010F">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AI Act, high-risk medical triage systems must maintain a comprehensive technical file, implement a lifecycle risk-management system, provide logs for traceability, and run post-market monitoring (PMS). Institutional ethical review (IRB/REC) and early regulator engagement, preferably via a sandbox, are necessary to generate controlled real-world evidence and to reduce regulatory uncertainty.</w:t>
      </w:r>
    </w:p>
    <w:p w:rsidR="00000000" w:rsidDel="00000000" w:rsidP="00000000" w:rsidRDefault="00000000" w:rsidRPr="00000000" w14:paraId="00000110">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Societal considerations</w:t>
      </w:r>
      <w:r w:rsidDel="00000000" w:rsidR="00000000" w:rsidRPr="00000000">
        <w:rPr>
          <w:rtl w:val="0"/>
        </w:rPr>
      </w:r>
    </w:p>
    <w:p w:rsidR="00000000" w:rsidDel="00000000" w:rsidP="00000000" w:rsidRDefault="00000000" w:rsidRPr="00000000" w14:paraId="00000112">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Widespread deployment affects public trust, health equity, and workforce composition. Systemic failures (mis-triage, opaque errors) risk reputational harm for health systems and may fuel mistrust or misinformation. Conversely, successful, well-governed systems can reduce crowding and improve access. The social value depends heavily on distributional outcomes and transparent governance. </w:t>
      </w:r>
    </w:p>
    <w:p w:rsidR="00000000" w:rsidDel="00000000" w:rsidP="00000000" w:rsidRDefault="00000000" w:rsidRPr="00000000" w14:paraId="00000113">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Accessibility and equitable user experience</w:t>
      </w:r>
    </w:p>
    <w:p w:rsidR="00000000" w:rsidDel="00000000" w:rsidP="00000000" w:rsidRDefault="00000000" w:rsidRPr="00000000" w14:paraId="00000115">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must accommodate multilingual inputs, low-literacy users, and assistive technologies. Interfaces and explanations must be usable by clinicians of varying digital literacy. Deployment strategies should address the digital divide ensuring low-resource hospitals can validate or tune models locally rather than being forced into unsuitable default settings. </w:t>
      </w:r>
    </w:p>
    <w:p w:rsidR="00000000" w:rsidDel="00000000" w:rsidP="00000000" w:rsidRDefault="00000000" w:rsidRPr="00000000" w14:paraId="00000116">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 impact assessment</w:t>
      </w:r>
    </w:p>
    <w:p w:rsidR="00000000" w:rsidDel="00000000" w:rsidP="00000000" w:rsidRDefault="00000000" w:rsidRPr="00000000" w14:paraId="00000118">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formal stakeholder mapping identifies direct beneficiaries (patients with earlier detection, clinicians with workload relief, and health systems with improved flow) and potentially disadvantaged groups (underrepresented populations, staff at risk of role displacement, and those lacking digital access). The project should mandate participatory design workshops and periodic equity audits as part of PMS. </w:t>
      </w:r>
    </w:p>
    <w:p w:rsidR="00000000" w:rsidDel="00000000" w:rsidP="00000000" w:rsidRDefault="00000000" w:rsidRPr="00000000" w14:paraId="00000119">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risks</w:t>
      </w:r>
    </w:p>
    <w:p w:rsidR="00000000" w:rsidDel="00000000" w:rsidP="00000000" w:rsidRDefault="00000000" w:rsidRPr="00000000" w14:paraId="0000011A">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technical risks include model drift due to changing case mix, adversarial manipulation or data poisoning of triage inputs, and interoperability failures with heterogeneous EHRs. Robust TEVV (testing, evaluation, verification, validation) processes, versioned model registries, and signed artifacts mitigate these risks. </w:t>
      </w:r>
    </w:p>
    <w:p w:rsidR="00000000" w:rsidDel="00000000" w:rsidP="00000000" w:rsidRDefault="00000000" w:rsidRPr="00000000" w14:paraId="0000011B">
      <w:pPr>
        <w:spacing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Operational mitigation &amp; sandbox validation</w:t>
      </w:r>
    </w:p>
    <w:p w:rsidR="00000000" w:rsidDel="00000000" w:rsidP="00000000" w:rsidRDefault="00000000" w:rsidRPr="00000000" w14:paraId="0000011D">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Regulatory sandboxes provide supervised, iterative deployment opportunities where developers and regulators co-design test protocols, define entry/exit criteria, and collect real-world evidence under constrained exposure. Sandbox pilots should require pre-specified KPIs (sensitivity/specificity, calibration, override rate, subgroup fairness), safety stop criteria, and a data governance plan. Results from sandbox testing feed the technical file and inform the conformity assessment under the AI Act. </w:t>
      </w:r>
      <w:r w:rsidDel="00000000" w:rsidR="00000000" w:rsidRPr="00000000">
        <w:rPr>
          <w:rtl w:val="0"/>
        </w:rPr>
      </w:r>
    </w:p>
    <w:p w:rsidR="00000000" w:rsidDel="00000000" w:rsidP="00000000" w:rsidRDefault="00000000" w:rsidRPr="00000000" w14:paraId="0000011E">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spacing w:line="360" w:lineRule="auto"/>
        <w:ind w:left="-141.73228346456688"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pStyle w:val="Heading1"/>
        <w:keepNext w:val="0"/>
        <w:keepLines w:val="0"/>
        <w:spacing w:before="480" w:line="360" w:lineRule="auto"/>
        <w:ind w:left="-141.73228346456688" w:firstLine="0"/>
        <w:jc w:val="left"/>
        <w:rPr>
          <w:rFonts w:ascii="Times New Roman" w:cs="Times New Roman" w:eastAsia="Times New Roman" w:hAnsi="Times New Roman"/>
          <w:b w:val="1"/>
          <w:bCs w:val="1"/>
          <w:sz w:val="24"/>
          <w:szCs w:val="24"/>
        </w:rPr>
      </w:pPr>
      <w:bookmarkStart w:colFirst="0" w:colLast="0" w:name="_rznr9d35rtu5" w:id="37"/>
      <w:bookmarkEnd w:id="37"/>
      <w:r w:rsidDel="00000000" w:rsidR="00000000" w:rsidRPr="00000000">
        <w:rPr>
          <w:rtl w:val="0"/>
        </w:rPr>
      </w:r>
    </w:p>
    <w:p w:rsidR="00000000" w:rsidDel="00000000" w:rsidP="00000000" w:rsidRDefault="00000000" w:rsidRPr="00000000" w14:paraId="00000129">
      <w:pPr>
        <w:pStyle w:val="Heading1"/>
        <w:keepNext w:val="0"/>
        <w:keepLines w:val="0"/>
        <w:spacing w:before="480" w:line="360" w:lineRule="auto"/>
        <w:ind w:left="-141.73228346456688" w:firstLine="0"/>
        <w:jc w:val="center"/>
        <w:rPr>
          <w:rFonts w:ascii="Times New Roman" w:cs="Times New Roman" w:eastAsia="Times New Roman" w:hAnsi="Times New Roman"/>
          <w:b w:val="1"/>
          <w:bCs w:val="1"/>
          <w:sz w:val="24"/>
          <w:szCs w:val="24"/>
        </w:rPr>
      </w:pPr>
      <w:bookmarkStart w:colFirst="0" w:colLast="0" w:name="_km51wnl0jeul" w:id="38"/>
      <w:bookmarkEnd w:id="38"/>
      <w:r w:rsidDel="00000000" w:rsidR="00000000" w:rsidRPr="00000000">
        <w:rPr>
          <w:rFonts w:ascii="Times New Roman" w:cs="Times New Roman" w:eastAsia="Times New Roman" w:hAnsi="Times New Roman"/>
          <w:b w:val="1"/>
          <w:bCs w:val="1"/>
          <w:sz w:val="24"/>
          <w:szCs w:val="24"/>
          <w:rtl w:val="0"/>
        </w:rPr>
        <w:t xml:space="preserve">SECTION 6</w:t>
      </w:r>
    </w:p>
    <w:p w:rsidR="00000000" w:rsidDel="00000000" w:rsidP="00000000" w:rsidRDefault="00000000" w:rsidRPr="00000000" w14:paraId="0000012A">
      <w:pPr>
        <w:pStyle w:val="Heading1"/>
        <w:keepNext w:val="0"/>
        <w:keepLines w:val="0"/>
        <w:spacing w:before="480" w:line="360" w:lineRule="auto"/>
        <w:ind w:left="-141.73228346456688" w:firstLine="0"/>
        <w:jc w:val="center"/>
        <w:rPr>
          <w:rFonts w:ascii="Times New Roman" w:cs="Times New Roman" w:eastAsia="Times New Roman" w:hAnsi="Times New Roman"/>
          <w:b w:val="1"/>
          <w:bCs w:val="1"/>
          <w:sz w:val="24"/>
          <w:szCs w:val="24"/>
        </w:rPr>
      </w:pPr>
      <w:bookmarkStart w:colFirst="0" w:colLast="0" w:name="_duafcc4xme7q" w:id="39"/>
      <w:bookmarkEnd w:id="39"/>
      <w:r w:rsidDel="00000000" w:rsidR="00000000" w:rsidRPr="00000000">
        <w:rPr>
          <w:rFonts w:ascii="Times New Roman" w:cs="Times New Roman" w:eastAsia="Times New Roman" w:hAnsi="Times New Roman"/>
          <w:b w:val="1"/>
          <w:bCs w:val="1"/>
          <w:sz w:val="24"/>
          <w:szCs w:val="24"/>
          <w:rtl w:val="0"/>
        </w:rPr>
        <w:t xml:space="preserve">CONCLUSION &amp; LIMITATIONS </w:t>
      </w:r>
    </w:p>
    <w:p w:rsidR="00000000" w:rsidDel="00000000" w:rsidP="00000000" w:rsidRDefault="00000000" w:rsidRPr="00000000" w14:paraId="0000012B">
      <w:pPr>
        <w:pStyle w:val="Heading2"/>
        <w:keepNext w:val="0"/>
        <w:keepLines w:val="0"/>
        <w:spacing w:after="80" w:line="360" w:lineRule="auto"/>
        <w:ind w:left="-141.73228346456688" w:firstLine="0"/>
        <w:jc w:val="both"/>
        <w:rPr>
          <w:rFonts w:ascii="Times New Roman" w:cs="Times New Roman" w:eastAsia="Times New Roman" w:hAnsi="Times New Roman"/>
          <w:b w:val="1"/>
          <w:bCs w:val="1"/>
          <w:sz w:val="24"/>
          <w:szCs w:val="24"/>
        </w:rPr>
      </w:pPr>
      <w:bookmarkStart w:colFirst="0" w:colLast="0" w:name="_gkfipwxb5du4" w:id="40"/>
      <w:bookmarkEnd w:id="40"/>
      <w:r w:rsidDel="00000000" w:rsidR="00000000" w:rsidRPr="00000000">
        <w:rPr>
          <w:rFonts w:ascii="Times New Roman" w:cs="Times New Roman" w:eastAsia="Times New Roman" w:hAnsi="Times New Roman"/>
          <w:b w:val="1"/>
          <w:bCs w:val="1"/>
          <w:sz w:val="24"/>
          <w:szCs w:val="24"/>
          <w:rtl w:val="0"/>
        </w:rPr>
        <w:t xml:space="preserve">Conclusion and Future Directions</w:t>
      </w:r>
    </w:p>
    <w:p w:rsidR="00000000" w:rsidDel="00000000" w:rsidP="00000000" w:rsidRDefault="00000000" w:rsidRPr="00000000" w14:paraId="0000012C">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has explored the development of an AI-enabled medical triage system that adheres to regulatory standards and aids emergency department personnel in making safer decisions in alignment with the high-risk provisions of the EU Artificial Intelligence Act.  Based on a careful analysis of recent academic and regulatory studies, the findings show that while AI models can improve the consistency and accuracy of triage decisions, their real-world value depends heavily on how explainable and fair they are and how well supervised they are by humans (effective human oversight). A key contribution of this work is the proposed multimodal, human-in-the-loop system design, which combines structured vital signs and unstructured clinical text while embedding governance requirements such as auditability, bias mitigation, and transparency directly into system design rather than adding them as afterthoughts.</w:t>
      </w:r>
    </w:p>
    <w:p w:rsidR="00000000" w:rsidDel="00000000" w:rsidP="00000000" w:rsidRDefault="00000000" w:rsidRPr="00000000" w14:paraId="0000012D">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emphasizes that clinicians should remain responsible and accountable and only deploy AI-assisted triage systems as clinical decision support tools rather than replacements for clinical judgment. It also recommends the use of regulatory sandboxes as a practical way to test for safety, performance, and equity under controlled conditions before wider deployment. From a theoretical perspective, the study contributes to the ongoing discussion on reliable medical AI by showing the practical application of regulatory principles at the system-design level.</w:t>
      </w:r>
    </w:p>
    <w:p w:rsidR="00000000" w:rsidDel="00000000" w:rsidP="00000000" w:rsidRDefault="00000000" w:rsidRPr="00000000" w14:paraId="0000012E">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because the project is conceptual, it does not include real-world testing or clinical evaluation. As a result, we have not tested challenges like data quality, variation in clinical practice, clinician acceptance, and long-term system performance. Future work should focus on prototyping the system in partnership with healthcare providers and assessing it through staged sandbox trials that assess clinical outcomes, equity, and the impact on clinical workflows.</w:t>
      </w:r>
    </w:p>
    <w:p w:rsidR="00000000" w:rsidDel="00000000" w:rsidP="00000000" w:rsidRDefault="00000000" w:rsidRPr="00000000" w14:paraId="0000012F">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broadly, the findings highlight that AI-supported triage has the potential to improve patient safety and the use of healthcare resources, but only if deployed within strong ethical, legal, and professional boundaries that maintain trust in clinical care.</w:t>
      </w:r>
    </w:p>
    <w:p w:rsidR="00000000" w:rsidDel="00000000" w:rsidP="00000000" w:rsidRDefault="00000000" w:rsidRPr="00000000" w14:paraId="00000130">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4">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spacing w:after="240" w:before="240" w:line="360" w:lineRule="auto"/>
        <w:ind w:left="-141.73228346456688"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spacing w:after="240" w:before="240" w:line="360" w:lineRule="auto"/>
        <w:ind w:left="-141.73228346456688"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SECTION 7</w:t>
      </w:r>
    </w:p>
    <w:p w:rsidR="00000000" w:rsidDel="00000000" w:rsidP="00000000" w:rsidRDefault="00000000" w:rsidRPr="00000000" w14:paraId="00000144">
      <w:pPr>
        <w:spacing w:after="240" w:before="240" w:line="360" w:lineRule="auto"/>
        <w:ind w:left="-141.732283464566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45">
      <w:pPr>
        <w:pStyle w:val="Heading1"/>
        <w:keepNext w:val="0"/>
        <w:keepLines w:val="0"/>
        <w:spacing w:before="480" w:line="360" w:lineRule="auto"/>
        <w:ind w:left="-141.73228346456688" w:firstLine="0"/>
        <w:jc w:val="both"/>
        <w:rPr>
          <w:rFonts w:ascii="Times New Roman" w:cs="Times New Roman" w:eastAsia="Times New Roman" w:hAnsi="Times New Roman"/>
          <w:b w:val="1"/>
          <w:bCs w:val="1"/>
          <w:color w:val="1a1c1e"/>
          <w:sz w:val="24"/>
          <w:szCs w:val="24"/>
        </w:rPr>
      </w:pPr>
      <w:bookmarkStart w:colFirst="0" w:colLast="0" w:name="_f4b2mz1fvegd" w:id="41"/>
      <w:bookmarkEnd w:id="41"/>
      <w:r w:rsidDel="00000000" w:rsidR="00000000" w:rsidRPr="00000000">
        <w:rPr>
          <w:rFonts w:ascii="Times New Roman" w:cs="Times New Roman" w:eastAsia="Times New Roman" w:hAnsi="Times New Roman"/>
          <w:b w:val="1"/>
          <w:bCs w:val="1"/>
          <w:color w:val="1a1c1e"/>
          <w:sz w:val="24"/>
          <w:szCs w:val="24"/>
          <w:rtl w:val="0"/>
        </w:rPr>
        <w:t xml:space="preserve">References</w:t>
      </w:r>
    </w:p>
    <w:p w:rsidR="00000000" w:rsidDel="00000000" w:rsidP="00000000" w:rsidRDefault="00000000" w:rsidRPr="00000000" w14:paraId="00000146">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[1] A. Da’Costa, L. Chen, and M. Patel, “Artificial intelligence–driven triage systems in emergency departments: A systematic review,” </w:t>
      </w:r>
      <w:r w:rsidDel="00000000" w:rsidR="00000000" w:rsidRPr="00000000">
        <w:rPr>
          <w:rFonts w:ascii="Times New Roman" w:cs="Times New Roman" w:eastAsia="Times New Roman" w:hAnsi="Times New Roman"/>
          <w:i w:val="1"/>
          <w:iCs w:val="1"/>
          <w:color w:val="1a1c1e"/>
          <w:sz w:val="24"/>
          <w:szCs w:val="24"/>
          <w:rtl w:val="0"/>
        </w:rPr>
        <w:t xml:space="preserve">NPJ Digital Medicine</w:t>
      </w:r>
      <w:r w:rsidDel="00000000" w:rsidR="00000000" w:rsidRPr="00000000">
        <w:rPr>
          <w:rFonts w:ascii="Times New Roman" w:cs="Times New Roman" w:eastAsia="Times New Roman" w:hAnsi="Times New Roman"/>
          <w:color w:val="1a1c1e"/>
          <w:sz w:val="24"/>
          <w:szCs w:val="24"/>
          <w:rtl w:val="0"/>
        </w:rPr>
        <w:t xml:space="preserve">, vol. 8, no. 1, pp. 1–12, 2025.</w:t>
      </w:r>
    </w:p>
    <w:p w:rsidR="00000000" w:rsidDel="00000000" w:rsidP="00000000" w:rsidRDefault="00000000" w:rsidRPr="00000000" w14:paraId="00000147">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[2] A. Aleksandra, M. Kowalski, and T. Novak, “Artificial intelligence in optimizing emergency department functioning: A systematic review,” </w:t>
      </w:r>
      <w:r w:rsidDel="00000000" w:rsidR="00000000" w:rsidRPr="00000000">
        <w:rPr>
          <w:rFonts w:ascii="Times New Roman" w:cs="Times New Roman" w:eastAsia="Times New Roman" w:hAnsi="Times New Roman"/>
          <w:i w:val="1"/>
          <w:iCs w:val="1"/>
          <w:color w:val="1a1c1e"/>
          <w:sz w:val="24"/>
          <w:szCs w:val="24"/>
          <w:rtl w:val="0"/>
        </w:rPr>
        <w:t xml:space="preserve">Journal of Emergency Medicine</w:t>
      </w:r>
      <w:r w:rsidDel="00000000" w:rsidR="00000000" w:rsidRPr="00000000">
        <w:rPr>
          <w:rFonts w:ascii="Times New Roman" w:cs="Times New Roman" w:eastAsia="Times New Roman" w:hAnsi="Times New Roman"/>
          <w:color w:val="1a1c1e"/>
          <w:sz w:val="24"/>
          <w:szCs w:val="24"/>
          <w:rtl w:val="0"/>
        </w:rPr>
        <w:t xml:space="preserve">, vol. 66, no. 2, pp. 145–156, 2024.</w:t>
      </w:r>
    </w:p>
    <w:p w:rsidR="00000000" w:rsidDel="00000000" w:rsidP="00000000" w:rsidRDefault="00000000" w:rsidRPr="00000000" w14:paraId="00000148">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[3] J. Williams, R. Gupta, and S. Lee, “Evaluating large language models for emergency care triage,” </w:t>
      </w:r>
      <w:r w:rsidDel="00000000" w:rsidR="00000000" w:rsidRPr="00000000">
        <w:rPr>
          <w:rFonts w:ascii="Times New Roman" w:cs="Times New Roman" w:eastAsia="Times New Roman" w:hAnsi="Times New Roman"/>
          <w:i w:val="1"/>
          <w:iCs w:val="1"/>
          <w:color w:val="1a1c1e"/>
          <w:sz w:val="24"/>
          <w:szCs w:val="24"/>
          <w:rtl w:val="0"/>
        </w:rPr>
        <w:t xml:space="preserve">NPJ Digital Medicine</w:t>
      </w:r>
      <w:r w:rsidDel="00000000" w:rsidR="00000000" w:rsidRPr="00000000">
        <w:rPr>
          <w:rFonts w:ascii="Times New Roman" w:cs="Times New Roman" w:eastAsia="Times New Roman" w:hAnsi="Times New Roman"/>
          <w:color w:val="1a1c1e"/>
          <w:sz w:val="24"/>
          <w:szCs w:val="24"/>
          <w:rtl w:val="0"/>
        </w:rPr>
        <w:t xml:space="preserve">, vol. 7, no. 1, pp. 1–10, 2024.</w:t>
      </w:r>
    </w:p>
    <w:p w:rsidR="00000000" w:rsidDel="00000000" w:rsidP="00000000" w:rsidRDefault="00000000" w:rsidRPr="00000000" w14:paraId="00000149">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[4] M. Mittermaier, J. Huang, and E. Brooks, “Bias detection and mitigation in medical artificial intelligence,” </w:t>
      </w:r>
      <w:r w:rsidDel="00000000" w:rsidR="00000000" w:rsidRPr="00000000">
        <w:rPr>
          <w:rFonts w:ascii="Times New Roman" w:cs="Times New Roman" w:eastAsia="Times New Roman" w:hAnsi="Times New Roman"/>
          <w:i w:val="1"/>
          <w:iCs w:val="1"/>
          <w:color w:val="1a1c1e"/>
          <w:sz w:val="24"/>
          <w:szCs w:val="24"/>
          <w:rtl w:val="0"/>
        </w:rPr>
        <w:t xml:space="preserve">NPJ Digital Medicine</w:t>
      </w:r>
      <w:r w:rsidDel="00000000" w:rsidR="00000000" w:rsidRPr="00000000">
        <w:rPr>
          <w:rFonts w:ascii="Times New Roman" w:cs="Times New Roman" w:eastAsia="Times New Roman" w:hAnsi="Times New Roman"/>
          <w:color w:val="1a1c1e"/>
          <w:sz w:val="24"/>
          <w:szCs w:val="24"/>
          <w:rtl w:val="0"/>
        </w:rPr>
        <w:t xml:space="preserve">, vol. 6, no. 1, pp. 1–9, 2023.</w:t>
      </w:r>
    </w:p>
    <w:p w:rsidR="00000000" w:rsidDel="00000000" w:rsidP="00000000" w:rsidRDefault="00000000" w:rsidRPr="00000000" w14:paraId="0000014A">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[5] S. Labkoff, M. W. Lee, and E. Johnson, “Recommendations for safe and effective AI-enabled clinical decision support,” </w:t>
      </w:r>
      <w:r w:rsidDel="00000000" w:rsidR="00000000" w:rsidRPr="00000000">
        <w:rPr>
          <w:rFonts w:ascii="Times New Roman" w:cs="Times New Roman" w:eastAsia="Times New Roman" w:hAnsi="Times New Roman"/>
          <w:i w:val="1"/>
          <w:iCs w:val="1"/>
          <w:color w:val="1a1c1e"/>
          <w:sz w:val="24"/>
          <w:szCs w:val="24"/>
          <w:rtl w:val="0"/>
        </w:rPr>
        <w:t xml:space="preserve">Journal of the American Medical Informatics Association</w:t>
      </w:r>
      <w:r w:rsidDel="00000000" w:rsidR="00000000" w:rsidRPr="00000000">
        <w:rPr>
          <w:rFonts w:ascii="Times New Roman" w:cs="Times New Roman" w:eastAsia="Times New Roman" w:hAnsi="Times New Roman"/>
          <w:color w:val="1a1c1e"/>
          <w:sz w:val="24"/>
          <w:szCs w:val="24"/>
          <w:rtl w:val="0"/>
        </w:rPr>
        <w:t xml:space="preserve">, vol. 31, no. 11, pp. 2730–2745, 2024.</w:t>
      </w:r>
    </w:p>
    <w:p w:rsidR="00000000" w:rsidDel="00000000" w:rsidP="00000000" w:rsidRDefault="00000000" w:rsidRPr="00000000" w14:paraId="0000014B">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[6] Z. L. Teo and F. Huang, “Federated learning in healthcare: A systematic review,” </w:t>
      </w:r>
      <w:r w:rsidDel="00000000" w:rsidR="00000000" w:rsidRPr="00000000">
        <w:rPr>
          <w:rFonts w:ascii="Times New Roman" w:cs="Times New Roman" w:eastAsia="Times New Roman" w:hAnsi="Times New Roman"/>
          <w:i w:val="1"/>
          <w:iCs w:val="1"/>
          <w:color w:val="1a1c1e"/>
          <w:sz w:val="24"/>
          <w:szCs w:val="24"/>
          <w:rtl w:val="0"/>
        </w:rPr>
        <w:t xml:space="preserve">Digital Health</w:t>
      </w:r>
      <w:r w:rsidDel="00000000" w:rsidR="00000000" w:rsidRPr="00000000">
        <w:rPr>
          <w:rFonts w:ascii="Times New Roman" w:cs="Times New Roman" w:eastAsia="Times New Roman" w:hAnsi="Times New Roman"/>
          <w:color w:val="1a1c1e"/>
          <w:sz w:val="24"/>
          <w:szCs w:val="24"/>
          <w:rtl w:val="0"/>
        </w:rPr>
        <w:t xml:space="preserve">, vol. 10, pp. 1–18, 2024.</w:t>
      </w:r>
    </w:p>
    <w:p w:rsidR="00000000" w:rsidDel="00000000" w:rsidP="00000000" w:rsidRDefault="00000000" w:rsidRPr="00000000" w14:paraId="0000014C">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[7] M. Aboy, R. Purtova, and L. Edwards, “Navigating the EU Artificial Intelligence Act for medical software,” </w:t>
      </w:r>
      <w:r w:rsidDel="00000000" w:rsidR="00000000" w:rsidRPr="00000000">
        <w:rPr>
          <w:rFonts w:ascii="Times New Roman" w:cs="Times New Roman" w:eastAsia="Times New Roman" w:hAnsi="Times New Roman"/>
          <w:i w:val="1"/>
          <w:iCs w:val="1"/>
          <w:color w:val="1a1c1e"/>
          <w:sz w:val="24"/>
          <w:szCs w:val="24"/>
          <w:rtl w:val="0"/>
        </w:rPr>
        <w:t xml:space="preserve">Computer Law &amp; Security Review</w:t>
      </w:r>
      <w:r w:rsidDel="00000000" w:rsidR="00000000" w:rsidRPr="00000000">
        <w:rPr>
          <w:rFonts w:ascii="Times New Roman" w:cs="Times New Roman" w:eastAsia="Times New Roman" w:hAnsi="Times New Roman"/>
          <w:color w:val="1a1c1e"/>
          <w:sz w:val="24"/>
          <w:szCs w:val="24"/>
          <w:rtl w:val="0"/>
        </w:rPr>
        <w:t xml:space="preserve">, vol. 49, p. 105760, 2024.</w:t>
      </w:r>
    </w:p>
    <w:p w:rsidR="00000000" w:rsidDel="00000000" w:rsidP="00000000" w:rsidRDefault="00000000" w:rsidRPr="00000000" w14:paraId="0000014D">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[8] A. Johnson </w:t>
      </w:r>
      <w:r w:rsidDel="00000000" w:rsidR="00000000" w:rsidRPr="00000000">
        <w:rPr>
          <w:rFonts w:ascii="Times New Roman" w:cs="Times New Roman" w:eastAsia="Times New Roman" w:hAnsi="Times New Roman"/>
          <w:i w:val="1"/>
          <w:iCs w:val="1"/>
          <w:color w:val="1a1c1e"/>
          <w:sz w:val="24"/>
          <w:szCs w:val="24"/>
          <w:rtl w:val="0"/>
        </w:rPr>
        <w:t xml:space="preserve">et al.</w:t>
      </w:r>
      <w:r w:rsidDel="00000000" w:rsidR="00000000" w:rsidRPr="00000000">
        <w:rPr>
          <w:rFonts w:ascii="Times New Roman" w:cs="Times New Roman" w:eastAsia="Times New Roman" w:hAnsi="Times New Roman"/>
          <w:color w:val="1a1c1e"/>
          <w:sz w:val="24"/>
          <w:szCs w:val="24"/>
          <w:rtl w:val="0"/>
        </w:rPr>
        <w:t xml:space="preserve">, “MIMIC-IV-ED: A freely accessible emergency department database,” </w:t>
      </w:r>
      <w:r w:rsidDel="00000000" w:rsidR="00000000" w:rsidRPr="00000000">
        <w:rPr>
          <w:rFonts w:ascii="Times New Roman" w:cs="Times New Roman" w:eastAsia="Times New Roman" w:hAnsi="Times New Roman"/>
          <w:i w:val="1"/>
          <w:iCs w:val="1"/>
          <w:color w:val="1a1c1e"/>
          <w:sz w:val="24"/>
          <w:szCs w:val="24"/>
          <w:rtl w:val="0"/>
        </w:rPr>
        <w:t xml:space="preserve">Scientific Data</w:t>
      </w:r>
      <w:r w:rsidDel="00000000" w:rsidR="00000000" w:rsidRPr="00000000">
        <w:rPr>
          <w:rFonts w:ascii="Times New Roman" w:cs="Times New Roman" w:eastAsia="Times New Roman" w:hAnsi="Times New Roman"/>
          <w:color w:val="1a1c1e"/>
          <w:sz w:val="24"/>
          <w:szCs w:val="24"/>
          <w:rtl w:val="0"/>
        </w:rPr>
        <w:t xml:space="preserve">, vol. 10, no. 1, pp. 1–8, 2023.</w:t>
      </w:r>
    </w:p>
    <w:p w:rsidR="00000000" w:rsidDel="00000000" w:rsidP="00000000" w:rsidRDefault="00000000" w:rsidRPr="00000000" w14:paraId="0000014E">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[9] National Institute of Standards and Technology (NIST), </w:t>
      </w:r>
      <w:r w:rsidDel="00000000" w:rsidR="00000000" w:rsidRPr="00000000">
        <w:rPr>
          <w:rFonts w:ascii="Times New Roman" w:cs="Times New Roman" w:eastAsia="Times New Roman" w:hAnsi="Times New Roman"/>
          <w:i w:val="1"/>
          <w:iCs w:val="1"/>
          <w:color w:val="1a1c1e"/>
          <w:sz w:val="24"/>
          <w:szCs w:val="24"/>
          <w:rtl w:val="0"/>
        </w:rPr>
        <w:t xml:space="preserve">AI Risk Management Framework (AI RMF 1.0)</w:t>
      </w:r>
      <w:r w:rsidDel="00000000" w:rsidR="00000000" w:rsidRPr="00000000">
        <w:rPr>
          <w:rFonts w:ascii="Times New Roman" w:cs="Times New Roman" w:eastAsia="Times New Roman" w:hAnsi="Times New Roman"/>
          <w:color w:val="1a1c1e"/>
          <w:sz w:val="24"/>
          <w:szCs w:val="24"/>
          <w:rtl w:val="0"/>
        </w:rPr>
        <w:t xml:space="preserve">, Gaithersburg, MD, USA, Jan. 2023.</w:t>
      </w:r>
    </w:p>
    <w:p w:rsidR="00000000" w:rsidDel="00000000" w:rsidP="00000000" w:rsidRDefault="00000000" w:rsidRPr="00000000" w14:paraId="0000014F">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[10] I. Jeník </w:t>
      </w:r>
      <w:r w:rsidDel="00000000" w:rsidR="00000000" w:rsidRPr="00000000">
        <w:rPr>
          <w:rFonts w:ascii="Times New Roman" w:cs="Times New Roman" w:eastAsia="Times New Roman" w:hAnsi="Times New Roman"/>
          <w:i w:val="1"/>
          <w:iCs w:val="1"/>
          <w:color w:val="1a1c1e"/>
          <w:sz w:val="24"/>
          <w:szCs w:val="24"/>
          <w:rtl w:val="0"/>
        </w:rPr>
        <w:t xml:space="preserve">et al.</w:t>
      </w:r>
      <w:r w:rsidDel="00000000" w:rsidR="00000000" w:rsidRPr="00000000">
        <w:rPr>
          <w:rFonts w:ascii="Times New Roman" w:cs="Times New Roman" w:eastAsia="Times New Roman" w:hAnsi="Times New Roman"/>
          <w:color w:val="1a1c1e"/>
          <w:sz w:val="24"/>
          <w:szCs w:val="24"/>
          <w:rtl w:val="0"/>
        </w:rPr>
        <w:t xml:space="preserve">, </w:t>
      </w:r>
      <w:r w:rsidDel="00000000" w:rsidR="00000000" w:rsidRPr="00000000">
        <w:rPr>
          <w:rFonts w:ascii="Times New Roman" w:cs="Times New Roman" w:eastAsia="Times New Roman" w:hAnsi="Times New Roman"/>
          <w:i w:val="1"/>
          <w:iCs w:val="1"/>
          <w:color w:val="1a1c1e"/>
          <w:sz w:val="24"/>
          <w:szCs w:val="24"/>
          <w:rtl w:val="0"/>
        </w:rPr>
        <w:t xml:space="preserve">How to Build a Regulatory Sandbox: A Practical Guide for Policymakers</w:t>
      </w:r>
      <w:r w:rsidDel="00000000" w:rsidR="00000000" w:rsidRPr="00000000">
        <w:rPr>
          <w:rFonts w:ascii="Times New Roman" w:cs="Times New Roman" w:eastAsia="Times New Roman" w:hAnsi="Times New Roman"/>
          <w:color w:val="1a1c1e"/>
          <w:sz w:val="24"/>
          <w:szCs w:val="24"/>
          <w:rtl w:val="0"/>
        </w:rPr>
        <w:t xml:space="preserve">, World Bank, Washington, DC, USA, 2022.</w:t>
      </w:r>
    </w:p>
    <w:p w:rsidR="00000000" w:rsidDel="00000000" w:rsidP="00000000" w:rsidRDefault="00000000" w:rsidRPr="00000000" w14:paraId="00000150">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[11] U.S. Food and Drug Administration, </w:t>
      </w:r>
      <w:r w:rsidDel="00000000" w:rsidR="00000000" w:rsidRPr="00000000">
        <w:rPr>
          <w:rFonts w:ascii="Times New Roman" w:cs="Times New Roman" w:eastAsia="Times New Roman" w:hAnsi="Times New Roman"/>
          <w:i w:val="1"/>
          <w:iCs w:val="1"/>
          <w:color w:val="1a1c1e"/>
          <w:sz w:val="24"/>
          <w:szCs w:val="24"/>
          <w:rtl w:val="0"/>
        </w:rPr>
        <w:t xml:space="preserve">Artificial Intelligence/Machine Learning-Based Software as a Medical Device Action Plan</w:t>
      </w:r>
      <w:r w:rsidDel="00000000" w:rsidR="00000000" w:rsidRPr="00000000">
        <w:rPr>
          <w:rFonts w:ascii="Times New Roman" w:cs="Times New Roman" w:eastAsia="Times New Roman" w:hAnsi="Times New Roman"/>
          <w:color w:val="1a1c1e"/>
          <w:sz w:val="24"/>
          <w:szCs w:val="24"/>
          <w:rtl w:val="0"/>
        </w:rPr>
        <w:t xml:space="preserve">, Silver Spring, MD, USA, Nov. 2021.</w:t>
      </w:r>
    </w:p>
    <w:p w:rsidR="00000000" w:rsidDel="00000000" w:rsidP="00000000" w:rsidRDefault="00000000" w:rsidRPr="00000000" w14:paraId="00000151">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[12] World Health Organization, </w:t>
      </w:r>
      <w:r w:rsidDel="00000000" w:rsidR="00000000" w:rsidRPr="00000000">
        <w:rPr>
          <w:rFonts w:ascii="Times New Roman" w:cs="Times New Roman" w:eastAsia="Times New Roman" w:hAnsi="Times New Roman"/>
          <w:i w:val="1"/>
          <w:iCs w:val="1"/>
          <w:color w:val="1a1c1e"/>
          <w:sz w:val="24"/>
          <w:szCs w:val="24"/>
          <w:rtl w:val="0"/>
        </w:rPr>
        <w:t xml:space="preserve">Ethics and Governance of Artificial Intelligence for Health</w:t>
      </w:r>
      <w:r w:rsidDel="00000000" w:rsidR="00000000" w:rsidRPr="00000000">
        <w:rPr>
          <w:rFonts w:ascii="Times New Roman" w:cs="Times New Roman" w:eastAsia="Times New Roman" w:hAnsi="Times New Roman"/>
          <w:color w:val="1a1c1e"/>
          <w:sz w:val="24"/>
          <w:szCs w:val="24"/>
          <w:rtl w:val="0"/>
        </w:rPr>
        <w:t xml:space="preserve">, Geneva, Switzerland, 2021.</w:t>
      </w:r>
    </w:p>
    <w:p w:rsidR="00000000" w:rsidDel="00000000" w:rsidP="00000000" w:rsidRDefault="00000000" w:rsidRPr="00000000" w14:paraId="00000152">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[13] International Medical Device Regulators Forum (IMDRF), </w:t>
      </w:r>
      <w:r w:rsidDel="00000000" w:rsidR="00000000" w:rsidRPr="00000000">
        <w:rPr>
          <w:rFonts w:ascii="Times New Roman" w:cs="Times New Roman" w:eastAsia="Times New Roman" w:hAnsi="Times New Roman"/>
          <w:i w:val="1"/>
          <w:iCs w:val="1"/>
          <w:color w:val="1a1c1e"/>
          <w:sz w:val="24"/>
          <w:szCs w:val="24"/>
          <w:rtl w:val="0"/>
        </w:rPr>
        <w:t xml:space="preserve">Good Machine Learning Practice for Medical Device Development</w:t>
      </w:r>
      <w:r w:rsidDel="00000000" w:rsidR="00000000" w:rsidRPr="00000000">
        <w:rPr>
          <w:rFonts w:ascii="Times New Roman" w:cs="Times New Roman" w:eastAsia="Times New Roman" w:hAnsi="Times New Roman"/>
          <w:color w:val="1a1c1e"/>
          <w:sz w:val="24"/>
          <w:szCs w:val="24"/>
          <w:rtl w:val="0"/>
        </w:rPr>
        <w:t xml:space="preserve">, Mar. 2023.</w:t>
      </w:r>
    </w:p>
    <w:p w:rsidR="00000000" w:rsidDel="00000000" w:rsidP="00000000" w:rsidRDefault="00000000" w:rsidRPr="00000000" w14:paraId="00000153">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[14] Financial Conduct Authority (FCA), </w:t>
      </w:r>
      <w:r w:rsidDel="00000000" w:rsidR="00000000" w:rsidRPr="00000000">
        <w:rPr>
          <w:rFonts w:ascii="Times New Roman" w:cs="Times New Roman" w:eastAsia="Times New Roman" w:hAnsi="Times New Roman"/>
          <w:i w:val="1"/>
          <w:iCs w:val="1"/>
          <w:color w:val="1a1c1e"/>
          <w:sz w:val="24"/>
          <w:szCs w:val="24"/>
          <w:rtl w:val="0"/>
        </w:rPr>
        <w:t xml:space="preserve">Regulatory Sandbox Lessons Learned Report</w:t>
      </w:r>
      <w:r w:rsidDel="00000000" w:rsidR="00000000" w:rsidRPr="00000000">
        <w:rPr>
          <w:rFonts w:ascii="Times New Roman" w:cs="Times New Roman" w:eastAsia="Times New Roman" w:hAnsi="Times New Roman"/>
          <w:color w:val="1a1c1e"/>
          <w:sz w:val="24"/>
          <w:szCs w:val="24"/>
          <w:rtl w:val="0"/>
        </w:rPr>
        <w:t xml:space="preserve">, London, U.K., 2022.</w:t>
      </w:r>
    </w:p>
    <w:p w:rsidR="00000000" w:rsidDel="00000000" w:rsidP="00000000" w:rsidRDefault="00000000" w:rsidRPr="00000000" w14:paraId="00000154">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[15] M. Hasanzadeh, S. Rahimi, and A. Banerjee, “Bias recognition and mitigation strategies in healthcare AI,” </w:t>
      </w:r>
      <w:r w:rsidDel="00000000" w:rsidR="00000000" w:rsidRPr="00000000">
        <w:rPr>
          <w:rFonts w:ascii="Times New Roman" w:cs="Times New Roman" w:eastAsia="Times New Roman" w:hAnsi="Times New Roman"/>
          <w:i w:val="1"/>
          <w:iCs w:val="1"/>
          <w:color w:val="1a1c1e"/>
          <w:sz w:val="24"/>
          <w:szCs w:val="24"/>
          <w:rtl w:val="0"/>
        </w:rPr>
        <w:t xml:space="preserve">BMC Medical Ethics</w:t>
      </w:r>
      <w:r w:rsidDel="00000000" w:rsidR="00000000" w:rsidRPr="00000000">
        <w:rPr>
          <w:rFonts w:ascii="Times New Roman" w:cs="Times New Roman" w:eastAsia="Times New Roman" w:hAnsi="Times New Roman"/>
          <w:color w:val="1a1c1e"/>
          <w:sz w:val="24"/>
          <w:szCs w:val="24"/>
          <w:rtl w:val="0"/>
        </w:rPr>
        <w:t xml:space="preserve">, vol. 26, no. 1, pp. 1–11, 2025.</w:t>
      </w:r>
    </w:p>
    <w:p w:rsidR="00000000" w:rsidDel="00000000" w:rsidP="00000000" w:rsidRDefault="00000000" w:rsidRPr="00000000" w14:paraId="00000155">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[16] European Commission, “Proposal for a Regulation laying down harmonised rules on artificial intelligence (Artificial Intelligence Act),” Brussels, Belgium, 2021.</w:t>
      </w:r>
    </w:p>
    <w:p w:rsidR="00000000" w:rsidDel="00000000" w:rsidP="00000000" w:rsidRDefault="00000000" w:rsidRPr="00000000" w14:paraId="00000156">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[17] M. Veale and F. Zuiderveen Borgesius, “Demystifying the draft EU Artificial Intelligence Act,” </w:t>
      </w:r>
      <w:r w:rsidDel="00000000" w:rsidR="00000000" w:rsidRPr="00000000">
        <w:rPr>
          <w:rFonts w:ascii="Times New Roman" w:cs="Times New Roman" w:eastAsia="Times New Roman" w:hAnsi="Times New Roman"/>
          <w:i w:val="1"/>
          <w:iCs w:val="1"/>
          <w:color w:val="1a1c1e"/>
          <w:sz w:val="24"/>
          <w:szCs w:val="24"/>
          <w:rtl w:val="0"/>
        </w:rPr>
        <w:t xml:space="preserve">Computer Law &amp; Security Review</w:t>
      </w:r>
      <w:r w:rsidDel="00000000" w:rsidR="00000000" w:rsidRPr="00000000">
        <w:rPr>
          <w:rFonts w:ascii="Times New Roman" w:cs="Times New Roman" w:eastAsia="Times New Roman" w:hAnsi="Times New Roman"/>
          <w:color w:val="1a1c1e"/>
          <w:sz w:val="24"/>
          <w:szCs w:val="24"/>
          <w:rtl w:val="0"/>
        </w:rPr>
        <w:t xml:space="preserve">, vol. 43, p. 105609, 2021.</w:t>
      </w:r>
    </w:p>
    <w:p w:rsidR="00000000" w:rsidDel="00000000" w:rsidP="00000000" w:rsidRDefault="00000000" w:rsidRPr="00000000" w14:paraId="00000157">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[18] European Data Protection Board, </w:t>
      </w:r>
      <w:r w:rsidDel="00000000" w:rsidR="00000000" w:rsidRPr="00000000">
        <w:rPr>
          <w:rFonts w:ascii="Times New Roman" w:cs="Times New Roman" w:eastAsia="Times New Roman" w:hAnsi="Times New Roman"/>
          <w:i w:val="1"/>
          <w:iCs w:val="1"/>
          <w:color w:val="1a1c1e"/>
          <w:sz w:val="24"/>
          <w:szCs w:val="24"/>
          <w:rtl w:val="0"/>
        </w:rPr>
        <w:t xml:space="preserve">Guidelines on Data Protection Impact Assessments (DPIA)</w:t>
      </w:r>
      <w:r w:rsidDel="00000000" w:rsidR="00000000" w:rsidRPr="00000000">
        <w:rPr>
          <w:rFonts w:ascii="Times New Roman" w:cs="Times New Roman" w:eastAsia="Times New Roman" w:hAnsi="Times New Roman"/>
          <w:color w:val="1a1c1e"/>
          <w:sz w:val="24"/>
          <w:szCs w:val="24"/>
          <w:rtl w:val="0"/>
        </w:rPr>
        <w:t xml:space="preserve">, 2023.</w:t>
      </w:r>
    </w:p>
    <w:p w:rsidR="00000000" w:rsidDel="00000000" w:rsidP="00000000" w:rsidRDefault="00000000" w:rsidRPr="00000000" w14:paraId="00000158">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[19] S. M. Lundberg and S.-I. Lee, “A unified approach to interpreting model predictions,” in </w:t>
      </w:r>
      <w:r w:rsidDel="00000000" w:rsidR="00000000" w:rsidRPr="00000000">
        <w:rPr>
          <w:rFonts w:ascii="Times New Roman" w:cs="Times New Roman" w:eastAsia="Times New Roman" w:hAnsi="Times New Roman"/>
          <w:i w:val="1"/>
          <w:iCs w:val="1"/>
          <w:color w:val="1a1c1e"/>
          <w:sz w:val="24"/>
          <w:szCs w:val="24"/>
          <w:rtl w:val="0"/>
        </w:rPr>
        <w:t xml:space="preserve">Advances in Neural Information Processing Systems (NeurIPS)</w:t>
      </w:r>
      <w:r w:rsidDel="00000000" w:rsidR="00000000" w:rsidRPr="00000000">
        <w:rPr>
          <w:rFonts w:ascii="Times New Roman" w:cs="Times New Roman" w:eastAsia="Times New Roman" w:hAnsi="Times New Roman"/>
          <w:color w:val="1a1c1e"/>
          <w:sz w:val="24"/>
          <w:szCs w:val="24"/>
          <w:rtl w:val="0"/>
        </w:rPr>
        <w:t xml:space="preserve">, 2017, pp. 4765–4774.</w:t>
      </w:r>
    </w:p>
    <w:p w:rsidR="00000000" w:rsidDel="00000000" w:rsidP="00000000" w:rsidRDefault="00000000" w:rsidRPr="00000000" w14:paraId="00000159">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[20] T. Gebru </w:t>
      </w:r>
      <w:r w:rsidDel="00000000" w:rsidR="00000000" w:rsidRPr="00000000">
        <w:rPr>
          <w:rFonts w:ascii="Times New Roman" w:cs="Times New Roman" w:eastAsia="Times New Roman" w:hAnsi="Times New Roman"/>
          <w:i w:val="1"/>
          <w:iCs w:val="1"/>
          <w:color w:val="1a1c1e"/>
          <w:sz w:val="24"/>
          <w:szCs w:val="24"/>
          <w:rtl w:val="0"/>
        </w:rPr>
        <w:t xml:space="preserve">et al.</w:t>
      </w:r>
      <w:r w:rsidDel="00000000" w:rsidR="00000000" w:rsidRPr="00000000">
        <w:rPr>
          <w:rFonts w:ascii="Times New Roman" w:cs="Times New Roman" w:eastAsia="Times New Roman" w:hAnsi="Times New Roman"/>
          <w:color w:val="1a1c1e"/>
          <w:sz w:val="24"/>
          <w:szCs w:val="24"/>
          <w:rtl w:val="0"/>
        </w:rPr>
        <w:t xml:space="preserve">, “Datasheets for datasets,” </w:t>
      </w:r>
      <w:r w:rsidDel="00000000" w:rsidR="00000000" w:rsidRPr="00000000">
        <w:rPr>
          <w:rFonts w:ascii="Times New Roman" w:cs="Times New Roman" w:eastAsia="Times New Roman" w:hAnsi="Times New Roman"/>
          <w:i w:val="1"/>
          <w:iCs w:val="1"/>
          <w:color w:val="1a1c1e"/>
          <w:sz w:val="24"/>
          <w:szCs w:val="24"/>
          <w:rtl w:val="0"/>
        </w:rPr>
        <w:t xml:space="preserve">Communications of the ACM</w:t>
      </w:r>
      <w:r w:rsidDel="00000000" w:rsidR="00000000" w:rsidRPr="00000000">
        <w:rPr>
          <w:rFonts w:ascii="Times New Roman" w:cs="Times New Roman" w:eastAsia="Times New Roman" w:hAnsi="Times New Roman"/>
          <w:color w:val="1a1c1e"/>
          <w:sz w:val="24"/>
          <w:szCs w:val="24"/>
          <w:rtl w:val="0"/>
        </w:rPr>
        <w:t xml:space="preserve">, vol. 64, no. 12, pp. 86–92, 2021.</w:t>
      </w:r>
    </w:p>
    <w:p w:rsidR="00000000" w:rsidDel="00000000" w:rsidP="00000000" w:rsidRDefault="00000000" w:rsidRPr="00000000" w14:paraId="0000015A">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[21] M. Mitchell </w:t>
      </w:r>
      <w:r w:rsidDel="00000000" w:rsidR="00000000" w:rsidRPr="00000000">
        <w:rPr>
          <w:rFonts w:ascii="Times New Roman" w:cs="Times New Roman" w:eastAsia="Times New Roman" w:hAnsi="Times New Roman"/>
          <w:i w:val="1"/>
          <w:iCs w:val="1"/>
          <w:color w:val="1a1c1e"/>
          <w:sz w:val="24"/>
          <w:szCs w:val="24"/>
          <w:rtl w:val="0"/>
        </w:rPr>
        <w:t xml:space="preserve">et al.</w:t>
      </w:r>
      <w:r w:rsidDel="00000000" w:rsidR="00000000" w:rsidRPr="00000000">
        <w:rPr>
          <w:rFonts w:ascii="Times New Roman" w:cs="Times New Roman" w:eastAsia="Times New Roman" w:hAnsi="Times New Roman"/>
          <w:color w:val="1a1c1e"/>
          <w:sz w:val="24"/>
          <w:szCs w:val="24"/>
          <w:rtl w:val="0"/>
        </w:rPr>
        <w:t xml:space="preserve">, “Model cards for model reporting,” in </w:t>
      </w:r>
      <w:r w:rsidDel="00000000" w:rsidR="00000000" w:rsidRPr="00000000">
        <w:rPr>
          <w:rFonts w:ascii="Times New Roman" w:cs="Times New Roman" w:eastAsia="Times New Roman" w:hAnsi="Times New Roman"/>
          <w:i w:val="1"/>
          <w:iCs w:val="1"/>
          <w:color w:val="1a1c1e"/>
          <w:sz w:val="24"/>
          <w:szCs w:val="24"/>
          <w:rtl w:val="0"/>
        </w:rPr>
        <w:t xml:space="preserve">Proc. FAT</w:t>
      </w:r>
      <w:r w:rsidDel="00000000" w:rsidR="00000000" w:rsidRPr="00000000">
        <w:rPr>
          <w:rFonts w:ascii="Times New Roman" w:cs="Times New Roman" w:eastAsia="Times New Roman" w:hAnsi="Times New Roman"/>
          <w:color w:val="1a1c1e"/>
          <w:sz w:val="24"/>
          <w:szCs w:val="24"/>
          <w:rtl w:val="0"/>
        </w:rPr>
        <w:t xml:space="preserve">, New York, NY, USA, 2019, pp. 220–229.</w:t>
      </w:r>
    </w:p>
    <w:p w:rsidR="00000000" w:rsidDel="00000000" w:rsidP="00000000" w:rsidRDefault="00000000" w:rsidRPr="00000000" w14:paraId="0000015B">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[22] K. E. Henry </w:t>
      </w:r>
      <w:r w:rsidDel="00000000" w:rsidR="00000000" w:rsidRPr="00000000">
        <w:rPr>
          <w:rFonts w:ascii="Times New Roman" w:cs="Times New Roman" w:eastAsia="Times New Roman" w:hAnsi="Times New Roman"/>
          <w:i w:val="1"/>
          <w:iCs w:val="1"/>
          <w:color w:val="1a1c1e"/>
          <w:sz w:val="24"/>
          <w:szCs w:val="24"/>
          <w:rtl w:val="0"/>
        </w:rPr>
        <w:t xml:space="preserve">et al.</w:t>
      </w:r>
      <w:r w:rsidDel="00000000" w:rsidR="00000000" w:rsidRPr="00000000">
        <w:rPr>
          <w:rFonts w:ascii="Times New Roman" w:cs="Times New Roman" w:eastAsia="Times New Roman" w:hAnsi="Times New Roman"/>
          <w:color w:val="1a1c1e"/>
          <w:sz w:val="24"/>
          <w:szCs w:val="24"/>
          <w:rtl w:val="0"/>
        </w:rPr>
        <w:t xml:space="preserve">, “Human–machine teaming is key to AI adoption in healthcare,” </w:t>
      </w:r>
      <w:r w:rsidDel="00000000" w:rsidR="00000000" w:rsidRPr="00000000">
        <w:rPr>
          <w:rFonts w:ascii="Times New Roman" w:cs="Times New Roman" w:eastAsia="Times New Roman" w:hAnsi="Times New Roman"/>
          <w:i w:val="1"/>
          <w:iCs w:val="1"/>
          <w:color w:val="1a1c1e"/>
          <w:sz w:val="24"/>
          <w:szCs w:val="24"/>
          <w:rtl w:val="0"/>
        </w:rPr>
        <w:t xml:space="preserve">NPJ Digital Medicine</w:t>
      </w:r>
      <w:r w:rsidDel="00000000" w:rsidR="00000000" w:rsidRPr="00000000">
        <w:rPr>
          <w:rFonts w:ascii="Times New Roman" w:cs="Times New Roman" w:eastAsia="Times New Roman" w:hAnsi="Times New Roman"/>
          <w:color w:val="1a1c1e"/>
          <w:sz w:val="24"/>
          <w:szCs w:val="24"/>
          <w:rtl w:val="0"/>
        </w:rPr>
        <w:t xml:space="preserve">, vol. 5, pp. 1–7, 2022.</w:t>
      </w:r>
    </w:p>
    <w:p w:rsidR="00000000" w:rsidDel="00000000" w:rsidP="00000000" w:rsidRDefault="00000000" w:rsidRPr="00000000" w14:paraId="0000015C">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[23] S. Liu, T. Roberts, and H. Carter, “Explainable AI for clinical decision support,” </w:t>
      </w:r>
      <w:r w:rsidDel="00000000" w:rsidR="00000000" w:rsidRPr="00000000">
        <w:rPr>
          <w:rFonts w:ascii="Times New Roman" w:cs="Times New Roman" w:eastAsia="Times New Roman" w:hAnsi="Times New Roman"/>
          <w:i w:val="1"/>
          <w:iCs w:val="1"/>
          <w:color w:val="1a1c1e"/>
          <w:sz w:val="24"/>
          <w:szCs w:val="24"/>
          <w:rtl w:val="0"/>
        </w:rPr>
        <w:t xml:space="preserve">Journal of the American Medical Informatics Association</w:t>
      </w:r>
      <w:r w:rsidDel="00000000" w:rsidR="00000000" w:rsidRPr="00000000">
        <w:rPr>
          <w:rFonts w:ascii="Times New Roman" w:cs="Times New Roman" w:eastAsia="Times New Roman" w:hAnsi="Times New Roman"/>
          <w:color w:val="1a1c1e"/>
          <w:sz w:val="24"/>
          <w:szCs w:val="24"/>
          <w:rtl w:val="0"/>
        </w:rPr>
        <w:t xml:space="preserve">, vol. 31, no. 4, pp. 968–980, 2024.</w:t>
      </w:r>
    </w:p>
    <w:p w:rsidR="00000000" w:rsidDel="00000000" w:rsidP="00000000" w:rsidRDefault="00000000" w:rsidRPr="00000000" w14:paraId="0000015D">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[24] J. Amann, B. Blasimme, and S. Vayena, “Explainability for artificial intelligence in healthcare,” </w:t>
      </w:r>
      <w:r w:rsidDel="00000000" w:rsidR="00000000" w:rsidRPr="00000000">
        <w:rPr>
          <w:rFonts w:ascii="Times New Roman" w:cs="Times New Roman" w:eastAsia="Times New Roman" w:hAnsi="Times New Roman"/>
          <w:i w:val="1"/>
          <w:iCs w:val="1"/>
          <w:color w:val="1a1c1e"/>
          <w:sz w:val="24"/>
          <w:szCs w:val="24"/>
          <w:rtl w:val="0"/>
        </w:rPr>
        <w:t xml:space="preserve">PLOS Digital Health</w:t>
      </w:r>
      <w:r w:rsidDel="00000000" w:rsidR="00000000" w:rsidRPr="00000000">
        <w:rPr>
          <w:rFonts w:ascii="Times New Roman" w:cs="Times New Roman" w:eastAsia="Times New Roman" w:hAnsi="Times New Roman"/>
          <w:color w:val="1a1c1e"/>
          <w:sz w:val="24"/>
          <w:szCs w:val="24"/>
          <w:rtl w:val="0"/>
        </w:rPr>
        <w:t xml:space="preserve">, vol. 1, no. 2, 2022.</w:t>
      </w:r>
    </w:p>
    <w:p w:rsidR="00000000" w:rsidDel="00000000" w:rsidP="00000000" w:rsidRDefault="00000000" w:rsidRPr="00000000" w14:paraId="0000015E">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[25] Z. Obermeyer </w:t>
      </w:r>
      <w:r w:rsidDel="00000000" w:rsidR="00000000" w:rsidRPr="00000000">
        <w:rPr>
          <w:rFonts w:ascii="Times New Roman" w:cs="Times New Roman" w:eastAsia="Times New Roman" w:hAnsi="Times New Roman"/>
          <w:i w:val="1"/>
          <w:iCs w:val="1"/>
          <w:color w:val="1a1c1e"/>
          <w:sz w:val="24"/>
          <w:szCs w:val="24"/>
          <w:rtl w:val="0"/>
        </w:rPr>
        <w:t xml:space="preserve">et al.</w:t>
      </w:r>
      <w:r w:rsidDel="00000000" w:rsidR="00000000" w:rsidRPr="00000000">
        <w:rPr>
          <w:rFonts w:ascii="Times New Roman" w:cs="Times New Roman" w:eastAsia="Times New Roman" w:hAnsi="Times New Roman"/>
          <w:color w:val="1a1c1e"/>
          <w:sz w:val="24"/>
          <w:szCs w:val="24"/>
          <w:rtl w:val="0"/>
        </w:rPr>
        <w:t xml:space="preserve">, “Dissecting racial bias in an algorithm used to manage health populations,” </w:t>
      </w:r>
      <w:r w:rsidDel="00000000" w:rsidR="00000000" w:rsidRPr="00000000">
        <w:rPr>
          <w:rFonts w:ascii="Times New Roman" w:cs="Times New Roman" w:eastAsia="Times New Roman" w:hAnsi="Times New Roman"/>
          <w:i w:val="1"/>
          <w:iCs w:val="1"/>
          <w:color w:val="1a1c1e"/>
          <w:sz w:val="24"/>
          <w:szCs w:val="24"/>
          <w:rtl w:val="0"/>
        </w:rPr>
        <w:t xml:space="preserve">Science</w:t>
      </w:r>
      <w:r w:rsidDel="00000000" w:rsidR="00000000" w:rsidRPr="00000000">
        <w:rPr>
          <w:rFonts w:ascii="Times New Roman" w:cs="Times New Roman" w:eastAsia="Times New Roman" w:hAnsi="Times New Roman"/>
          <w:color w:val="1a1c1e"/>
          <w:sz w:val="24"/>
          <w:szCs w:val="24"/>
          <w:rtl w:val="0"/>
        </w:rPr>
        <w:t xml:space="preserve">, vol. 366, no. 6464, pp. 447–453, 2019.</w:t>
      </w:r>
    </w:p>
    <w:p w:rsidR="00000000" w:rsidDel="00000000" w:rsidP="00000000" w:rsidRDefault="00000000" w:rsidRPr="00000000" w14:paraId="0000015F">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[26] L. H. Yao, J. Liu, and R. Smith, “Deep learning–based triage in emergency departments,” </w:t>
      </w:r>
      <w:r w:rsidDel="00000000" w:rsidR="00000000" w:rsidRPr="00000000">
        <w:rPr>
          <w:rFonts w:ascii="Times New Roman" w:cs="Times New Roman" w:eastAsia="Times New Roman" w:hAnsi="Times New Roman"/>
          <w:i w:val="1"/>
          <w:iCs w:val="1"/>
          <w:color w:val="1a1c1e"/>
          <w:sz w:val="24"/>
          <w:szCs w:val="24"/>
          <w:rtl w:val="0"/>
        </w:rPr>
        <w:t xml:space="preserve">Journal of Medical Internet Research</w:t>
      </w:r>
      <w:r w:rsidDel="00000000" w:rsidR="00000000" w:rsidRPr="00000000">
        <w:rPr>
          <w:rFonts w:ascii="Times New Roman" w:cs="Times New Roman" w:eastAsia="Times New Roman" w:hAnsi="Times New Roman"/>
          <w:color w:val="1a1c1e"/>
          <w:sz w:val="24"/>
          <w:szCs w:val="24"/>
          <w:rtl w:val="0"/>
        </w:rPr>
        <w:t xml:space="preserve">, vol. 23, no. 12, e27008, 2021.</w:t>
      </w:r>
    </w:p>
    <w:p w:rsidR="00000000" w:rsidDel="00000000" w:rsidP="00000000" w:rsidRDefault="00000000" w:rsidRPr="00000000" w14:paraId="00000160">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[27] C. Brandão-de-Resende </w:t>
      </w:r>
      <w:r w:rsidDel="00000000" w:rsidR="00000000" w:rsidRPr="00000000">
        <w:rPr>
          <w:rFonts w:ascii="Times New Roman" w:cs="Times New Roman" w:eastAsia="Times New Roman" w:hAnsi="Times New Roman"/>
          <w:i w:val="1"/>
          <w:iCs w:val="1"/>
          <w:color w:val="1a1c1e"/>
          <w:sz w:val="24"/>
          <w:szCs w:val="24"/>
          <w:rtl w:val="0"/>
        </w:rPr>
        <w:t xml:space="preserve">et al.</w:t>
      </w:r>
      <w:r w:rsidDel="00000000" w:rsidR="00000000" w:rsidRPr="00000000">
        <w:rPr>
          <w:rFonts w:ascii="Times New Roman" w:cs="Times New Roman" w:eastAsia="Times New Roman" w:hAnsi="Times New Roman"/>
          <w:color w:val="1a1c1e"/>
          <w:sz w:val="24"/>
          <w:szCs w:val="24"/>
          <w:rtl w:val="0"/>
        </w:rPr>
        <w:t xml:space="preserve">, “Machine learning for emergency triage optimisation,” </w:t>
      </w:r>
      <w:r w:rsidDel="00000000" w:rsidR="00000000" w:rsidRPr="00000000">
        <w:rPr>
          <w:rFonts w:ascii="Times New Roman" w:cs="Times New Roman" w:eastAsia="Times New Roman" w:hAnsi="Times New Roman"/>
          <w:i w:val="1"/>
          <w:iCs w:val="1"/>
          <w:color w:val="1a1c1e"/>
          <w:sz w:val="24"/>
          <w:szCs w:val="24"/>
          <w:rtl w:val="0"/>
        </w:rPr>
        <w:t xml:space="preserve">eClinicalMedicine</w:t>
      </w:r>
      <w:r w:rsidDel="00000000" w:rsidR="00000000" w:rsidRPr="00000000">
        <w:rPr>
          <w:rFonts w:ascii="Times New Roman" w:cs="Times New Roman" w:eastAsia="Times New Roman" w:hAnsi="Times New Roman"/>
          <w:color w:val="1a1c1e"/>
          <w:sz w:val="24"/>
          <w:szCs w:val="24"/>
          <w:rtl w:val="0"/>
        </w:rPr>
        <w:t xml:space="preserve">, vol. 58, 2023.</w:t>
      </w:r>
    </w:p>
    <w:p w:rsidR="00000000" w:rsidDel="00000000" w:rsidP="00000000" w:rsidRDefault="00000000" w:rsidRPr="00000000" w14:paraId="00000161">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[28] W. Ip </w:t>
      </w:r>
      <w:r w:rsidDel="00000000" w:rsidR="00000000" w:rsidRPr="00000000">
        <w:rPr>
          <w:rFonts w:ascii="Times New Roman" w:cs="Times New Roman" w:eastAsia="Times New Roman" w:hAnsi="Times New Roman"/>
          <w:i w:val="1"/>
          <w:iCs w:val="1"/>
          <w:color w:val="1a1c1e"/>
          <w:sz w:val="24"/>
          <w:szCs w:val="24"/>
          <w:rtl w:val="0"/>
        </w:rPr>
        <w:t xml:space="preserve">et al.</w:t>
      </w:r>
      <w:r w:rsidDel="00000000" w:rsidR="00000000" w:rsidRPr="00000000">
        <w:rPr>
          <w:rFonts w:ascii="Times New Roman" w:cs="Times New Roman" w:eastAsia="Times New Roman" w:hAnsi="Times New Roman"/>
          <w:color w:val="1a1c1e"/>
          <w:sz w:val="24"/>
          <w:szCs w:val="24"/>
          <w:rtl w:val="0"/>
        </w:rPr>
        <w:t xml:space="preserve">, “Hospitalization prediction from emergency department data using machine learning,” </w:t>
      </w:r>
      <w:r w:rsidDel="00000000" w:rsidR="00000000" w:rsidRPr="00000000">
        <w:rPr>
          <w:rFonts w:ascii="Times New Roman" w:cs="Times New Roman" w:eastAsia="Times New Roman" w:hAnsi="Times New Roman"/>
          <w:i w:val="1"/>
          <w:iCs w:val="1"/>
          <w:color w:val="1a1c1e"/>
          <w:sz w:val="24"/>
          <w:szCs w:val="24"/>
          <w:rtl w:val="0"/>
        </w:rPr>
        <w:t xml:space="preserve">Nature Digital Medicine</w:t>
      </w:r>
      <w:r w:rsidDel="00000000" w:rsidR="00000000" w:rsidRPr="00000000">
        <w:rPr>
          <w:rFonts w:ascii="Times New Roman" w:cs="Times New Roman" w:eastAsia="Times New Roman" w:hAnsi="Times New Roman"/>
          <w:color w:val="1a1c1e"/>
          <w:sz w:val="24"/>
          <w:szCs w:val="24"/>
          <w:rtl w:val="0"/>
        </w:rPr>
        <w:t xml:space="preserve">, vol. 7, 2024.</w:t>
      </w:r>
    </w:p>
    <w:p w:rsidR="00000000" w:rsidDel="00000000" w:rsidP="00000000" w:rsidRDefault="00000000" w:rsidRPr="00000000" w14:paraId="00000162">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[29] R. J. Chen </w:t>
      </w:r>
      <w:r w:rsidDel="00000000" w:rsidR="00000000" w:rsidRPr="00000000">
        <w:rPr>
          <w:rFonts w:ascii="Times New Roman" w:cs="Times New Roman" w:eastAsia="Times New Roman" w:hAnsi="Times New Roman"/>
          <w:i w:val="1"/>
          <w:iCs w:val="1"/>
          <w:color w:val="1a1c1e"/>
          <w:sz w:val="24"/>
          <w:szCs w:val="24"/>
          <w:rtl w:val="0"/>
        </w:rPr>
        <w:t xml:space="preserve">et al.</w:t>
      </w:r>
      <w:r w:rsidDel="00000000" w:rsidR="00000000" w:rsidRPr="00000000">
        <w:rPr>
          <w:rFonts w:ascii="Times New Roman" w:cs="Times New Roman" w:eastAsia="Times New Roman" w:hAnsi="Times New Roman"/>
          <w:color w:val="1a1c1e"/>
          <w:sz w:val="24"/>
          <w:szCs w:val="24"/>
          <w:rtl w:val="0"/>
        </w:rPr>
        <w:t xml:space="preserve">, “Algorithmic fairness in AI for medicine,” </w:t>
      </w:r>
      <w:r w:rsidDel="00000000" w:rsidR="00000000" w:rsidRPr="00000000">
        <w:rPr>
          <w:rFonts w:ascii="Times New Roman" w:cs="Times New Roman" w:eastAsia="Times New Roman" w:hAnsi="Times New Roman"/>
          <w:i w:val="1"/>
          <w:iCs w:val="1"/>
          <w:color w:val="1a1c1e"/>
          <w:sz w:val="24"/>
          <w:szCs w:val="24"/>
          <w:rtl w:val="0"/>
        </w:rPr>
        <w:t xml:space="preserve">The Lancet Digital Health</w:t>
      </w:r>
      <w:r w:rsidDel="00000000" w:rsidR="00000000" w:rsidRPr="00000000">
        <w:rPr>
          <w:rFonts w:ascii="Times New Roman" w:cs="Times New Roman" w:eastAsia="Times New Roman" w:hAnsi="Times New Roman"/>
          <w:color w:val="1a1c1e"/>
          <w:sz w:val="24"/>
          <w:szCs w:val="24"/>
          <w:rtl w:val="0"/>
        </w:rPr>
        <w:t xml:space="preserve">, vol. 5, no. 8, pp. e426–e438, 2023.</w:t>
      </w:r>
    </w:p>
    <w:p w:rsidR="00000000" w:rsidDel="00000000" w:rsidP="00000000" w:rsidRDefault="00000000" w:rsidRPr="00000000" w14:paraId="00000163">
      <w:pPr>
        <w:spacing w:after="240" w:before="240" w:line="360" w:lineRule="auto"/>
        <w:ind w:left="-141.73228346456688" w:firstLine="0"/>
        <w:jc w:val="both"/>
        <w:rPr>
          <w:rFonts w:ascii="Times New Roman" w:cs="Times New Roman" w:eastAsia="Times New Roman" w:hAnsi="Times New Roman"/>
          <w:color w:val="1a1c1e"/>
          <w:sz w:val="24"/>
          <w:szCs w:val="24"/>
        </w:rPr>
      </w:pPr>
      <w:r w:rsidDel="00000000" w:rsidR="00000000" w:rsidRPr="00000000">
        <w:rPr>
          <w:rFonts w:ascii="Times New Roman" w:cs="Times New Roman" w:eastAsia="Times New Roman" w:hAnsi="Times New Roman"/>
          <w:color w:val="1a1c1e"/>
          <w:sz w:val="24"/>
          <w:szCs w:val="24"/>
          <w:rtl w:val="0"/>
        </w:rPr>
        <w:t xml:space="preserve">[30] K. Levin </w:t>
      </w:r>
      <w:r w:rsidDel="00000000" w:rsidR="00000000" w:rsidRPr="00000000">
        <w:rPr>
          <w:rFonts w:ascii="Times New Roman" w:cs="Times New Roman" w:eastAsia="Times New Roman" w:hAnsi="Times New Roman"/>
          <w:i w:val="1"/>
          <w:iCs w:val="1"/>
          <w:color w:val="1a1c1e"/>
          <w:sz w:val="24"/>
          <w:szCs w:val="24"/>
          <w:rtl w:val="0"/>
        </w:rPr>
        <w:t xml:space="preserve">et al.</w:t>
      </w:r>
      <w:r w:rsidDel="00000000" w:rsidR="00000000" w:rsidRPr="00000000">
        <w:rPr>
          <w:rFonts w:ascii="Times New Roman" w:cs="Times New Roman" w:eastAsia="Times New Roman" w:hAnsi="Times New Roman"/>
          <w:color w:val="1a1c1e"/>
          <w:sz w:val="24"/>
          <w:szCs w:val="24"/>
          <w:rtl w:val="0"/>
        </w:rPr>
        <w:t xml:space="preserve">, “Regulatory patterns for AI/ML medical software approvals,” </w:t>
      </w:r>
      <w:r w:rsidDel="00000000" w:rsidR="00000000" w:rsidRPr="00000000">
        <w:rPr>
          <w:rFonts w:ascii="Times New Roman" w:cs="Times New Roman" w:eastAsia="Times New Roman" w:hAnsi="Times New Roman"/>
          <w:i w:val="1"/>
          <w:iCs w:val="1"/>
          <w:color w:val="1a1c1e"/>
          <w:sz w:val="24"/>
          <w:szCs w:val="24"/>
          <w:rtl w:val="0"/>
        </w:rPr>
        <w:t xml:space="preserve">The Lancet Digital Health</w:t>
      </w:r>
      <w:r w:rsidDel="00000000" w:rsidR="00000000" w:rsidRPr="00000000">
        <w:rPr>
          <w:rFonts w:ascii="Times New Roman" w:cs="Times New Roman" w:eastAsia="Times New Roman" w:hAnsi="Times New Roman"/>
          <w:color w:val="1a1c1e"/>
          <w:sz w:val="24"/>
          <w:szCs w:val="24"/>
          <w:rtl w:val="0"/>
        </w:rPr>
        <w:t xml:space="preserve">, vol. 5, no. 4, pp. e195–e203, 2023.</w:t>
      </w:r>
    </w:p>
    <w:p w:rsidR="00000000" w:rsidDel="00000000" w:rsidP="00000000" w:rsidRDefault="00000000" w:rsidRPr="00000000" w14:paraId="00000164">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360" w:lineRule="auto"/>
        <w:ind w:left="-141.73228346456688"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pStyle w:val="Heading1"/>
        <w:keepNext w:val="0"/>
        <w:keepLines w:val="0"/>
        <w:spacing w:before="480" w:line="360" w:lineRule="auto"/>
        <w:ind w:left="-141.73228346456688" w:firstLine="0"/>
        <w:jc w:val="both"/>
        <w:rPr>
          <w:rFonts w:ascii="Times New Roman" w:cs="Times New Roman" w:eastAsia="Times New Roman" w:hAnsi="Times New Roman"/>
          <w:b w:val="1"/>
          <w:bCs w:val="1"/>
          <w:sz w:val="24"/>
          <w:szCs w:val="24"/>
        </w:rPr>
      </w:pPr>
      <w:bookmarkStart w:colFirst="0" w:colLast="0" w:name="_qelr3f2f4kca" w:id="42"/>
      <w:bookmarkEnd w:id="42"/>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67">
      <w:pPr>
        <w:pStyle w:val="Heading1"/>
        <w:keepNext w:val="0"/>
        <w:keepLines w:val="0"/>
        <w:spacing w:before="480" w:line="360" w:lineRule="auto"/>
        <w:ind w:left="-141.73228346456688" w:firstLine="0"/>
        <w:jc w:val="both"/>
        <w:rPr>
          <w:rFonts w:ascii="Times New Roman" w:cs="Times New Roman" w:eastAsia="Times New Roman" w:hAnsi="Times New Roman"/>
          <w:b w:val="1"/>
          <w:bCs w:val="1"/>
          <w:sz w:val="24"/>
          <w:szCs w:val="24"/>
        </w:rPr>
      </w:pPr>
      <w:bookmarkStart w:colFirst="0" w:colLast="0" w:name="_16s2obqc77ha" w:id="43"/>
      <w:bookmarkEnd w:id="43"/>
      <w:r w:rsidDel="00000000" w:rsidR="00000000" w:rsidRPr="00000000">
        <w:rPr>
          <w:rtl w:val="0"/>
        </w:rPr>
      </w:r>
    </w:p>
    <w:p w:rsidR="00000000" w:rsidDel="00000000" w:rsidP="00000000" w:rsidRDefault="00000000" w:rsidRPr="00000000" w14:paraId="00000168">
      <w:pPr>
        <w:pStyle w:val="Heading1"/>
        <w:keepNext w:val="0"/>
        <w:keepLines w:val="0"/>
        <w:spacing w:before="480" w:line="360" w:lineRule="auto"/>
        <w:ind w:left="-141.73228346456688" w:firstLine="0"/>
        <w:jc w:val="both"/>
        <w:rPr>
          <w:rFonts w:ascii="Times New Roman" w:cs="Times New Roman" w:eastAsia="Times New Roman" w:hAnsi="Times New Roman"/>
          <w:b w:val="1"/>
          <w:bCs w:val="1"/>
          <w:sz w:val="24"/>
          <w:szCs w:val="24"/>
        </w:rPr>
      </w:pPr>
      <w:bookmarkStart w:colFirst="0" w:colLast="0" w:name="_h18imbvy81iy" w:id="44"/>
      <w:bookmarkEnd w:id="44"/>
      <w:r w:rsidDel="00000000" w:rsidR="00000000" w:rsidRPr="00000000">
        <w:rPr>
          <w:rtl w:val="0"/>
        </w:rPr>
      </w:r>
    </w:p>
    <w:p w:rsidR="00000000" w:rsidDel="00000000" w:rsidP="00000000" w:rsidRDefault="00000000" w:rsidRPr="00000000" w14:paraId="00000169">
      <w:pPr>
        <w:pStyle w:val="Heading1"/>
        <w:keepNext w:val="0"/>
        <w:keepLines w:val="0"/>
        <w:spacing w:before="480" w:line="360" w:lineRule="auto"/>
        <w:ind w:left="-141.73228346456688" w:firstLine="0"/>
        <w:jc w:val="both"/>
        <w:rPr>
          <w:rFonts w:ascii="Times New Roman" w:cs="Times New Roman" w:eastAsia="Times New Roman" w:hAnsi="Times New Roman"/>
          <w:b w:val="1"/>
          <w:bCs w:val="1"/>
          <w:sz w:val="24"/>
          <w:szCs w:val="24"/>
        </w:rPr>
      </w:pPr>
      <w:bookmarkStart w:colFirst="0" w:colLast="0" w:name="_f2objwmhjm4i" w:id="45"/>
      <w:bookmarkEnd w:id="45"/>
      <w:r w:rsidDel="00000000" w:rsidR="00000000" w:rsidRPr="00000000">
        <w:rPr>
          <w:rtl w:val="0"/>
        </w:rPr>
      </w:r>
    </w:p>
    <w:p w:rsidR="00000000" w:rsidDel="00000000" w:rsidP="00000000" w:rsidRDefault="00000000" w:rsidRPr="00000000" w14:paraId="0000016A">
      <w:pPr>
        <w:pStyle w:val="Heading1"/>
        <w:keepNext w:val="0"/>
        <w:keepLines w:val="0"/>
        <w:spacing w:before="480" w:line="360" w:lineRule="auto"/>
        <w:ind w:left="-141.73228346456688" w:firstLine="0"/>
        <w:jc w:val="both"/>
        <w:rPr>
          <w:rFonts w:ascii="Times New Roman" w:cs="Times New Roman" w:eastAsia="Times New Roman" w:hAnsi="Times New Roman"/>
          <w:b w:val="1"/>
          <w:bCs w:val="1"/>
          <w:sz w:val="24"/>
          <w:szCs w:val="24"/>
        </w:rPr>
      </w:pPr>
      <w:bookmarkStart w:colFirst="0" w:colLast="0" w:name="_gj6tklcijnpr" w:id="46"/>
      <w:bookmarkEnd w:id="46"/>
      <w:r w:rsidDel="00000000" w:rsidR="00000000" w:rsidRPr="00000000">
        <w:rPr>
          <w:rtl w:val="0"/>
        </w:rPr>
      </w:r>
    </w:p>
    <w:p w:rsidR="00000000" w:rsidDel="00000000" w:rsidP="00000000" w:rsidRDefault="00000000" w:rsidRPr="00000000" w14:paraId="0000016B">
      <w:pPr>
        <w:pStyle w:val="Heading1"/>
        <w:keepNext w:val="0"/>
        <w:keepLines w:val="0"/>
        <w:spacing w:before="480" w:line="360" w:lineRule="auto"/>
        <w:ind w:left="-141.73228346456688" w:firstLine="0"/>
        <w:jc w:val="center"/>
        <w:rPr>
          <w:rFonts w:ascii="Times New Roman" w:cs="Times New Roman" w:eastAsia="Times New Roman" w:hAnsi="Times New Roman"/>
          <w:b w:val="1"/>
          <w:bCs w:val="1"/>
          <w:sz w:val="24"/>
          <w:szCs w:val="24"/>
        </w:rPr>
      </w:pPr>
      <w:bookmarkStart w:colFirst="0" w:colLast="0" w:name="_t5j6hh7y47hx" w:id="47"/>
      <w:bookmarkEnd w:id="47"/>
      <w:r w:rsidDel="00000000" w:rsidR="00000000" w:rsidRPr="00000000">
        <w:rPr>
          <w:rtl w:val="0"/>
        </w:rPr>
      </w:r>
    </w:p>
    <w:p w:rsidR="00000000" w:rsidDel="00000000" w:rsidP="00000000" w:rsidRDefault="00000000" w:rsidRPr="00000000" w14:paraId="0000016C">
      <w:pPr>
        <w:pStyle w:val="Heading1"/>
        <w:keepNext w:val="0"/>
        <w:keepLines w:val="0"/>
        <w:spacing w:before="480" w:line="360" w:lineRule="auto"/>
        <w:ind w:left="-141.73228346456688" w:firstLine="0"/>
        <w:jc w:val="center"/>
        <w:rPr>
          <w:rFonts w:ascii="Times New Roman" w:cs="Times New Roman" w:eastAsia="Times New Roman" w:hAnsi="Times New Roman"/>
          <w:b w:val="1"/>
          <w:bCs w:val="1"/>
          <w:sz w:val="24"/>
          <w:szCs w:val="24"/>
        </w:rPr>
      </w:pPr>
      <w:bookmarkStart w:colFirst="0" w:colLast="0" w:name="_xgpgq1cjjtb" w:id="48"/>
      <w:bookmarkEnd w:id="48"/>
      <w:r w:rsidDel="00000000" w:rsidR="00000000" w:rsidRPr="00000000">
        <w:rPr>
          <w:rFonts w:ascii="Times New Roman" w:cs="Times New Roman" w:eastAsia="Times New Roman" w:hAnsi="Times New Roman"/>
          <w:b w:val="1"/>
          <w:bCs w:val="1"/>
          <w:sz w:val="24"/>
          <w:szCs w:val="24"/>
          <w:rtl w:val="0"/>
        </w:rPr>
        <w:t xml:space="preserve">APPENDIX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line="360" w:lineRule="auto"/>
        <w:ind w:left="0" w:firstLine="0"/>
        <w:jc w:val="both"/>
        <w:rPr/>
      </w:pPr>
      <w:r w:rsidDel="00000000" w:rsidR="00000000" w:rsidRPr="00000000">
        <w:rPr>
          <w:rFonts w:ascii="Times New Roman" w:cs="Times New Roman" w:eastAsia="Times New Roman" w:hAnsi="Times New Roman"/>
          <w:sz w:val="24"/>
          <w:szCs w:val="24"/>
          <w:rtl w:val="0"/>
        </w:rPr>
        <w:t xml:space="preserve">Medical triage systems typically process special-category health data and are subject to GDPR articles on lawfulness, data minimization, purpose limitation, and data subject rights;</w:t>
      </w:r>
      <w:r w:rsidDel="00000000" w:rsidR="00000000" w:rsidRPr="00000000">
        <w:rPr>
          <w:rtl w:val="0"/>
        </w:rPr>
      </w:r>
    </w:p>
    <w:p w:rsidR="00000000" w:rsidDel="00000000" w:rsidP="00000000" w:rsidRDefault="00000000" w:rsidRPr="00000000" w14:paraId="00000170">
      <w:pPr>
        <w:pStyle w:val="Heading1"/>
        <w:keepNext w:val="0"/>
        <w:keepLines w:val="0"/>
        <w:spacing w:before="480" w:line="360" w:lineRule="auto"/>
        <w:ind w:left="-141.73228346456688" w:firstLine="0"/>
        <w:jc w:val="left"/>
        <w:rPr>
          <w:rFonts w:ascii="Times New Roman" w:cs="Times New Roman" w:eastAsia="Times New Roman" w:hAnsi="Times New Roman"/>
          <w:b w:val="1"/>
          <w:bCs w:val="1"/>
          <w:sz w:val="24"/>
          <w:szCs w:val="24"/>
        </w:rPr>
      </w:pPr>
      <w:bookmarkStart w:colFirst="0" w:colLast="0" w:name="_t18ah8onkgyj" w:id="49"/>
      <w:bookmarkEnd w:id="49"/>
      <w:r w:rsidDel="00000000" w:rsidR="00000000" w:rsidRPr="00000000">
        <w:rPr>
          <w:rFonts w:ascii="Times New Roman" w:cs="Times New Roman" w:eastAsia="Times New Roman" w:hAnsi="Times New Roman"/>
          <w:b w:val="1"/>
          <w:bCs w:val="1"/>
          <w:sz w:val="24"/>
          <w:szCs w:val="24"/>
          <w:rtl w:val="0"/>
        </w:rPr>
        <w:t xml:space="preserve">Group Work Contribution Declaration </w:t>
      </w:r>
    </w:p>
    <w:p w:rsidR="00000000" w:rsidDel="00000000" w:rsidP="00000000" w:rsidRDefault="00000000" w:rsidRPr="00000000" w14:paraId="00000171">
      <w:pPr>
        <w:pStyle w:val="Heading1"/>
        <w:keepNext w:val="0"/>
        <w:keepLines w:val="0"/>
        <w:numPr>
          <w:ilvl w:val="0"/>
          <w:numId w:val="1"/>
        </w:numPr>
        <w:spacing w:after="0" w:afterAutospacing="0" w:before="480" w:line="360" w:lineRule="auto"/>
        <w:ind w:left="720" w:hanging="360"/>
        <w:jc w:val="left"/>
        <w:rPr>
          <w:rFonts w:ascii="Times New Roman" w:cs="Times New Roman" w:eastAsia="Times New Roman" w:hAnsi="Times New Roman"/>
          <w:sz w:val="24"/>
          <w:szCs w:val="24"/>
          <w:u w:val="none"/>
        </w:rPr>
      </w:pPr>
      <w:bookmarkStart w:colFirst="0" w:colLast="0" w:name="_uaqgenfpw4uj" w:id="50"/>
      <w:bookmarkEnd w:id="50"/>
      <w:r w:rsidDel="00000000" w:rsidR="00000000" w:rsidRPr="00000000">
        <w:rPr>
          <w:rFonts w:ascii="Times New Roman" w:cs="Times New Roman" w:eastAsia="Times New Roman" w:hAnsi="Times New Roman"/>
          <w:sz w:val="24"/>
          <w:szCs w:val="24"/>
          <w:rtl w:val="0"/>
        </w:rPr>
        <w:t xml:space="preserve">Nathaniel Onosemudiana Ovabor (3058557): Did Section 5</w:t>
      </w:r>
    </w:p>
    <w:p w:rsidR="00000000" w:rsidDel="00000000" w:rsidP="00000000" w:rsidRDefault="00000000" w:rsidRPr="00000000" w14:paraId="00000172">
      <w:pPr>
        <w:numPr>
          <w:ilvl w:val="0"/>
          <w:numId w:val="1"/>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sz w:val="24"/>
          <w:szCs w:val="24"/>
          <w:rtl w:val="0"/>
        </w:rPr>
        <w:t xml:space="preserve">Sai Charan Burujukindi    (3018871): Did Section 2</w:t>
      </w:r>
    </w:p>
    <w:p w:rsidR="00000000" w:rsidDel="00000000" w:rsidP="00000000" w:rsidRDefault="00000000" w:rsidRPr="00000000" w14:paraId="00000173">
      <w:pPr>
        <w:numPr>
          <w:ilvl w:val="0"/>
          <w:numId w:val="1"/>
        </w:numPr>
        <w:spacing w:after="24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Robinson Victor Chukwudi (3045867): Did Section 1, 3, 4, 6</w:t>
      </w:r>
    </w:p>
    <w:p w:rsidR="00000000" w:rsidDel="00000000" w:rsidP="00000000" w:rsidRDefault="00000000" w:rsidRPr="00000000" w14:paraId="00000174">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247650</wp:posOffset>
            </wp:positionH>
            <wp:positionV relativeFrom="paragraph">
              <wp:posOffset>371475</wp:posOffset>
            </wp:positionV>
            <wp:extent cx="881063" cy="478291"/>
            <wp:effectExtent b="0" l="0" r="0" t="0"/>
            <wp:wrapNone/>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881063" cy="478291"/>
                    </a:xfrm>
                    <a:prstGeom prst="rect"/>
                    <a:ln/>
                  </pic:spPr>
                </pic:pic>
              </a:graphicData>
            </a:graphic>
          </wp:anchor>
        </w:drawing>
      </w:r>
    </w:p>
    <w:p w:rsidR="00000000" w:rsidDel="00000000" w:rsidP="00000000" w:rsidRDefault="00000000" w:rsidRPr="00000000" w14:paraId="00000176">
      <w:pPr>
        <w:spacing w:after="240" w:before="240" w:line="14.399999999999999"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385888" cy="372457"/>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385888" cy="37245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143803" cy="633857"/>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43803" cy="633857"/>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40" w:before="240" w:line="14.399999999999999"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w:t>
      </w:r>
    </w:p>
    <w:p w:rsidR="00000000" w:rsidDel="00000000" w:rsidP="00000000" w:rsidRDefault="00000000" w:rsidRPr="00000000" w14:paraId="00000178">
      <w:pPr>
        <w:spacing w:after="240" w:before="240" w:line="14.399999999999999"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after="240" w:before="240" w:line="14.399999999999999"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Robinson Victor Chukwudi         Sai Charan Burujukindi             Nathaniel O. Ovabor               </w:t>
      </w:r>
    </w:p>
    <w:p w:rsidR="00000000" w:rsidDel="00000000" w:rsidP="00000000" w:rsidRDefault="00000000" w:rsidRPr="00000000" w14:paraId="0000017A">
      <w:pPr>
        <w:spacing w:after="240" w:before="240" w:line="14.399999999999999"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spacing w:after="240" w:before="240" w:line="14.399999999999999"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C">
      <w:pPr>
        <w:spacing w:after="240" w:before="240" w:line="14.399999999999999"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sectPr>
      <w:headerReference r:id="rId10" w:type="default"/>
      <w:footerReference r:id="rId11" w:type="default"/>
      <w:footerReference r:id="rId12"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