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2FB" w14:textId="77777777" w:rsid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B2509" w14:textId="77777777" w:rsid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B7CF1" w14:textId="634E1291" w:rsidR="00BD11B1" w:rsidRP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9661629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 KONSUMEN</w:t>
      </w:r>
    </w:p>
    <w:p w14:paraId="4C7481E2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B95A0" w14:textId="77777777" w:rsid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0F300" w14:textId="77777777" w:rsid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592FF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A0A7" w14:textId="52B1D815" w:rsidR="00BD11B1" w:rsidRPr="00BD11B1" w:rsidRDefault="00BD11B1" w:rsidP="00BD11B1">
      <w:pPr>
        <w:tabs>
          <w:tab w:val="left" w:pos="567"/>
        </w:tabs>
        <w:spacing w:after="0" w:line="360" w:lineRule="auto"/>
        <w:ind w:left="3402" w:hanging="36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309077" wp14:editId="42D5E36A">
            <wp:extent cx="2842788" cy="2921756"/>
            <wp:effectExtent l="0" t="0" r="0" b="0"/>
            <wp:docPr id="13486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40089" name="Picture 1348640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65" cy="29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A792" w14:textId="77777777" w:rsid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49D4B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F11AD" w14:textId="055BDAD4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1B174E12" w14:textId="22821FCB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CHAERANY ARIEF, </w:t>
      </w:r>
      <w:proofErr w:type="spellStart"/>
      <w:proofErr w:type="gram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S.Pi</w:t>
      </w:r>
      <w:proofErr w:type="spellEnd"/>
      <w:proofErr w:type="gramEnd"/>
    </w:p>
    <w:p w14:paraId="1811FEEC" w14:textId="369D484D" w:rsidR="00BD11B1" w:rsidRPr="00BD11B1" w:rsidRDefault="00BD11B1" w:rsidP="00BD11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138DA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C932B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2720B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2BC25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6ABAD" w14:textId="77777777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66DE1" w14:textId="5604E9BE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PROGRAM STUDI MAGISTER AGRIBISNIS </w:t>
      </w:r>
    </w:p>
    <w:p w14:paraId="39421CF1" w14:textId="1BFA8DEF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FAKULTAS PERTANIAN </w:t>
      </w:r>
    </w:p>
    <w:p w14:paraId="385D18FA" w14:textId="40597DE5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UNIVERSITAS MUHAMMADIYAH KENDARI </w:t>
      </w:r>
    </w:p>
    <w:p w14:paraId="1E557FC4" w14:textId="6693F6F9" w:rsidR="00BD11B1" w:rsidRPr="00BD11B1" w:rsidRDefault="00BD11B1" w:rsidP="00BD11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>2023</w:t>
      </w:r>
      <w:bookmarkEnd w:id="0"/>
      <w:r w:rsidRPr="00BD11B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8FA8C8" w14:textId="77777777" w:rsidR="00350E58" w:rsidRDefault="00350E58" w:rsidP="00BD11B1">
      <w:pPr>
        <w:tabs>
          <w:tab w:val="left" w:pos="3600"/>
        </w:tabs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  <w:sectPr w:rsidR="00350E58" w:rsidSect="004E6A24">
          <w:footerReference w:type="default" r:id="rId9"/>
          <w:footerReference w:type="first" r:id="rId10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BD6D71B" w14:textId="33D21AA8" w:rsidR="00BD11B1" w:rsidRPr="00BD11B1" w:rsidRDefault="00BD11B1" w:rsidP="00BD11B1">
      <w:pPr>
        <w:tabs>
          <w:tab w:val="left" w:pos="3600"/>
        </w:tabs>
        <w:spacing w:after="0" w:line="36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4C06E42D" w14:textId="77777777" w:rsidR="00BD11B1" w:rsidRPr="00BD11B1" w:rsidRDefault="00BD11B1" w:rsidP="00BD11B1">
      <w:pPr>
        <w:tabs>
          <w:tab w:val="left" w:pos="36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D142133" w14:textId="671EBD88" w:rsidR="00350E58" w:rsidRPr="00350E58" w:rsidRDefault="00BD11B1" w:rsidP="00350E58">
      <w:pPr>
        <w:pStyle w:val="ListParagraph"/>
        <w:numPr>
          <w:ilvl w:val="0"/>
          <w:numId w:val="5"/>
        </w:numPr>
        <w:tabs>
          <w:tab w:val="left" w:pos="3600"/>
        </w:tabs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C842B86" w14:textId="2159FEC6" w:rsidR="00350E58" w:rsidRDefault="00350E58" w:rsidP="00350E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orang-orang.</w:t>
      </w:r>
    </w:p>
    <w:p w14:paraId="45866B34" w14:textId="77777777" w:rsidR="00350E58" w:rsidRDefault="00350E58" w:rsidP="00350E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anut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B7438" w14:textId="77777777" w:rsidR="00350E58" w:rsidRPr="00E91E96" w:rsidRDefault="00350E58" w:rsidP="00350E58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E9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91E96">
        <w:rPr>
          <w:rFonts w:ascii="Times New Roman" w:hAnsi="Times New Roman" w:cs="Times New Roman"/>
          <w:sz w:val="24"/>
          <w:szCs w:val="24"/>
        </w:rPr>
        <w:t>.</w:t>
      </w:r>
    </w:p>
    <w:p w14:paraId="365CE1CB" w14:textId="77777777" w:rsidR="00BD11B1" w:rsidRPr="00BD11B1" w:rsidRDefault="00BD11B1" w:rsidP="00BD11B1">
      <w:pPr>
        <w:pStyle w:val="ListParagraph"/>
        <w:numPr>
          <w:ilvl w:val="0"/>
          <w:numId w:val="5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44EF001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14:paraId="035A263E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2. Invisible hand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</w:p>
    <w:p w14:paraId="3479BDC4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3D71C63F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?</w:t>
      </w:r>
    </w:p>
    <w:p w14:paraId="50CF21A6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?</w:t>
      </w:r>
    </w:p>
    <w:p w14:paraId="354AB113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?</w:t>
      </w:r>
    </w:p>
    <w:p w14:paraId="0D780298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>7. Nilai inti Amerika?</w:t>
      </w:r>
    </w:p>
    <w:p w14:paraId="500828C8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?</w:t>
      </w:r>
    </w:p>
    <w:p w14:paraId="641156E6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BD11B1" w:rsidRPr="00BD11B1" w:rsidSect="00350E58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83F9205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9661783"/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9D182D7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-142" w:right="-4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5952E59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1FE7AC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salah,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 Norma-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6E077511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media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2F23073C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Invisible hand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</w:p>
    <w:p w14:paraId="6DD95E96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"invisible hand"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tabu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470E9FDF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negara Asia Timur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Korea, ikan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sushi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yukhoe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sashimi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lain,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negara Barat,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Coca-Cola, McDonald's,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Nike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dunia.</w:t>
      </w:r>
    </w:p>
    <w:bookmarkEnd w:id="1"/>
    <w:p w14:paraId="1717FFC3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mode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mode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eksentrik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Skandinavia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mengedepankan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"invisible hand"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0EBB95D6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memuaskan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4D6FFCD9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kolektivisme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5C43DCF5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lain,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kepraktisan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328091D3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  <w:r w:rsidRPr="00BD11B1">
        <w:rPr>
          <w:rFonts w:ascii="Times New Roman" w:hAnsi="Times New Roman" w:cs="Times New Roman"/>
          <w:sz w:val="24"/>
          <w:szCs w:val="24"/>
        </w:rPr>
        <w:br/>
      </w:r>
      <w:r w:rsidRPr="00BD11B1">
        <w:rPr>
          <w:rFonts w:ascii="Times New Roman" w:hAnsi="Times New Roman" w:cs="Times New Roman"/>
          <w:sz w:val="24"/>
          <w:szCs w:val="24"/>
        </w:rPr>
        <w:br/>
      </w:r>
    </w:p>
    <w:p w14:paraId="096717EF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Budaya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dipelajari</w:t>
      </w:r>
      <w:proofErr w:type="spellEnd"/>
    </w:p>
    <w:p w14:paraId="530DDBDA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menginternalisasi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55B82498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11B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media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1460B25D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5CA756C6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dinamis</w:t>
      </w:r>
      <w:proofErr w:type="spellEnd"/>
    </w:p>
    <w:p w14:paraId="1AB8E497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42263598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internet,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4EE2DFA9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gender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Pola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B2F42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pasar.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adaptabilitas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7240E126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</w:p>
    <w:p w14:paraId="3E0A577B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vs. modern"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".</w:t>
      </w:r>
    </w:p>
    <w:p w14:paraId="2DCADA15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etnografi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etnografi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5A1D2DA5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2C6D00DD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6E3AB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inti Amerika</w:t>
      </w:r>
    </w:p>
    <w:p w14:paraId="2518F89B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  <w:t xml:space="preserve">Nilai inti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fundamental. Nilai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A0611EC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Amerika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merek-merek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individualitas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eksklusivitas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65EA6CBD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Amerika. Pasar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Materialisme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material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6D5A7EFA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inti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43C62160" w14:textId="77777777" w:rsidR="00BD11B1" w:rsidRPr="00BD11B1" w:rsidRDefault="00BD11B1" w:rsidP="00BD11B1">
      <w:pPr>
        <w:pStyle w:val="ListParagraph"/>
        <w:numPr>
          <w:ilvl w:val="0"/>
          <w:numId w:val="4"/>
        </w:num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Mengenal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b/>
          <w:bCs/>
          <w:sz w:val="24"/>
          <w:szCs w:val="24"/>
        </w:rPr>
        <w:t>berbelanja</w:t>
      </w:r>
      <w:proofErr w:type="spellEnd"/>
    </w:p>
    <w:p w14:paraId="22FB30BA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festival.</w:t>
      </w:r>
      <w:r w:rsidRPr="00BD1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902AD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3855AE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menawar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sangat formal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tata krama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643BBBD7" w14:textId="77777777" w:rsidR="00BD11B1" w:rsidRPr="00BD11B1" w:rsidRDefault="00BD11B1" w:rsidP="00BD11B1">
      <w:pPr>
        <w:tabs>
          <w:tab w:val="left" w:pos="567"/>
        </w:tabs>
        <w:spacing w:after="0" w:line="360" w:lineRule="auto"/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BD11B1" w:rsidRPr="00BD11B1" w:rsidSect="00A71340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62A219D2" w14:textId="77777777" w:rsidR="00BD11B1" w:rsidRPr="00BD11B1" w:rsidRDefault="00BD11B1" w:rsidP="00BD11B1">
      <w:pPr>
        <w:tabs>
          <w:tab w:val="left" w:pos="36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7FC56AA5" w14:textId="77777777" w:rsidR="00BD11B1" w:rsidRPr="00BD11B1" w:rsidRDefault="00BD11B1" w:rsidP="00BD11B1">
      <w:pPr>
        <w:tabs>
          <w:tab w:val="left" w:pos="36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3994895" w14:textId="77777777" w:rsidR="00BD11B1" w:rsidRPr="00BD11B1" w:rsidRDefault="00BD11B1" w:rsidP="00BD11B1">
      <w:pPr>
        <w:pStyle w:val="ListParagraph"/>
        <w:numPr>
          <w:ilvl w:val="0"/>
          <w:numId w:val="6"/>
        </w:numPr>
        <w:tabs>
          <w:tab w:val="left" w:pos="360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ADEC724" w14:textId="77777777" w:rsidR="008449DB" w:rsidRDefault="008449DB" w:rsidP="008449DB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diwariskan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"invisible hand"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>.</w:t>
      </w:r>
    </w:p>
    <w:p w14:paraId="6FCC6B38" w14:textId="3F8A76F6" w:rsidR="008449DB" w:rsidRPr="008449DB" w:rsidRDefault="008449DB" w:rsidP="008449DB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49DB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449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D2A0A5" w14:textId="1FC1FB25" w:rsidR="00BD11B1" w:rsidRPr="00BD11B1" w:rsidRDefault="00BD11B1" w:rsidP="00BD11B1">
      <w:pPr>
        <w:tabs>
          <w:tab w:val="left" w:pos="1985"/>
          <w:tab w:val="left" w:pos="36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49DB">
        <w:rPr>
          <w:rFonts w:ascii="Times New Roman" w:hAnsi="Times New Roman" w:cs="Times New Roman"/>
          <w:sz w:val="24"/>
          <w:szCs w:val="24"/>
        </w:rPr>
        <w:br w:type="page"/>
      </w:r>
      <w:r w:rsidRPr="00BD1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F69BBE0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6659435C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Usman, H., &amp; Gunawan, D. (2018).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097A091A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D., &amp;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Darmastuti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R. (2017).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Muslim di Kota Semarang.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, 4(3), 216-229.</w:t>
      </w:r>
    </w:p>
    <w:p w14:paraId="29BBD468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Kotler, P., Keller, K. L., Ang, S. H., Leong, S. M., &amp; Tan, C. T. (2017).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di Indonesia. Jakarta: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>.</w:t>
      </w:r>
    </w:p>
    <w:p w14:paraId="25D068D5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Tjiptono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F., &amp; Chandra, G. (2018). Service, Quality, and Satisfaction. Yogyakarta: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Andi.</w:t>
      </w:r>
    </w:p>
    <w:p w14:paraId="47527F0E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sz w:val="24"/>
          <w:szCs w:val="24"/>
        </w:rPr>
        <w:t xml:space="preserve">Suryani, T. (2019).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: Kajian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Yogyakarta: Gadjah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University Press.</w:t>
      </w:r>
    </w:p>
    <w:p w14:paraId="42E12775" w14:textId="77777777" w:rsidR="00BD11B1" w:rsidRPr="00BD11B1" w:rsidRDefault="00BD11B1" w:rsidP="00BD11B1">
      <w:pPr>
        <w:tabs>
          <w:tab w:val="left" w:pos="3600"/>
        </w:tabs>
        <w:spacing w:after="0" w:line="360" w:lineRule="auto"/>
        <w:ind w:left="567" w:right="-472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1B1">
        <w:rPr>
          <w:rFonts w:ascii="Times New Roman" w:hAnsi="Times New Roman" w:cs="Times New Roman"/>
          <w:sz w:val="24"/>
          <w:szCs w:val="24"/>
        </w:rPr>
        <w:t>Tjiptono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, F., &amp; Anastasia, N. (2020).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Strategik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BD11B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D11B1">
        <w:rPr>
          <w:rFonts w:ascii="Times New Roman" w:hAnsi="Times New Roman" w:cs="Times New Roman"/>
          <w:sz w:val="24"/>
          <w:szCs w:val="24"/>
        </w:rPr>
        <w:t xml:space="preserve"> Andi.</w:t>
      </w:r>
    </w:p>
    <w:p w14:paraId="00F5E39F" w14:textId="731B22B0" w:rsidR="00322CCE" w:rsidRPr="00BD11B1" w:rsidRDefault="00BD11B1" w:rsidP="007175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1B1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322CCE" w:rsidRPr="00BD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9758" w14:textId="77777777" w:rsidR="00A37D9D" w:rsidRDefault="00A37D9D">
      <w:pPr>
        <w:spacing w:after="0" w:line="240" w:lineRule="auto"/>
      </w:pPr>
      <w:r>
        <w:separator/>
      </w:r>
    </w:p>
  </w:endnote>
  <w:endnote w:type="continuationSeparator" w:id="0">
    <w:p w14:paraId="32855AFB" w14:textId="77777777" w:rsidR="00A37D9D" w:rsidRDefault="00A3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671402"/>
      <w:docPartObj>
        <w:docPartGallery w:val="Page Numbers (Bottom of Page)"/>
        <w:docPartUnique/>
      </w:docPartObj>
    </w:sdtPr>
    <w:sdtContent>
      <w:p w14:paraId="52B39882" w14:textId="33F0DD29" w:rsidR="00F809EC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EEE875F" w14:textId="77777777" w:rsidR="00A64DF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7585" w14:textId="7A6DB3FF" w:rsidR="004E6A24" w:rsidRDefault="00000000" w:rsidP="00350E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666D" w14:textId="77777777" w:rsidR="00A37D9D" w:rsidRDefault="00A37D9D">
      <w:pPr>
        <w:spacing w:after="0" w:line="240" w:lineRule="auto"/>
      </w:pPr>
      <w:r>
        <w:separator/>
      </w:r>
    </w:p>
  </w:footnote>
  <w:footnote w:type="continuationSeparator" w:id="0">
    <w:p w14:paraId="50EEA97E" w14:textId="77777777" w:rsidR="00A37D9D" w:rsidRDefault="00A37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2239"/>
    <w:multiLevelType w:val="hybridMultilevel"/>
    <w:tmpl w:val="8D48A8C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7DAF"/>
    <w:multiLevelType w:val="hybridMultilevel"/>
    <w:tmpl w:val="6540C5B6"/>
    <w:lvl w:ilvl="0" w:tplc="21E227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553F"/>
    <w:multiLevelType w:val="hybridMultilevel"/>
    <w:tmpl w:val="1D964762"/>
    <w:lvl w:ilvl="0" w:tplc="C666E456">
      <w:start w:val="1"/>
      <w:numFmt w:val="decimal"/>
      <w:lvlText w:val="2.%1"/>
      <w:lvlJc w:val="left"/>
      <w:pPr>
        <w:ind w:left="144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52053D"/>
    <w:multiLevelType w:val="hybridMultilevel"/>
    <w:tmpl w:val="B82E70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A4198"/>
    <w:multiLevelType w:val="hybridMultilevel"/>
    <w:tmpl w:val="55F4EC52"/>
    <w:lvl w:ilvl="0" w:tplc="A97C653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A2956"/>
    <w:multiLevelType w:val="hybridMultilevel"/>
    <w:tmpl w:val="03948294"/>
    <w:lvl w:ilvl="0" w:tplc="F1C81E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663B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48B8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8404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24C8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388B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5CB38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1C8D5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98E8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75244">
    <w:abstractNumId w:val="0"/>
  </w:num>
  <w:num w:numId="2" w16cid:durableId="1032922073">
    <w:abstractNumId w:val="5"/>
  </w:num>
  <w:num w:numId="3" w16cid:durableId="299270087">
    <w:abstractNumId w:val="3"/>
  </w:num>
  <w:num w:numId="4" w16cid:durableId="1651715815">
    <w:abstractNumId w:val="2"/>
  </w:num>
  <w:num w:numId="5" w16cid:durableId="472406586">
    <w:abstractNumId w:val="1"/>
  </w:num>
  <w:num w:numId="6" w16cid:durableId="448014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CE"/>
    <w:rsid w:val="0012254C"/>
    <w:rsid w:val="00322CCE"/>
    <w:rsid w:val="00350E58"/>
    <w:rsid w:val="00575759"/>
    <w:rsid w:val="00717557"/>
    <w:rsid w:val="007A6980"/>
    <w:rsid w:val="007A6BF9"/>
    <w:rsid w:val="008449DB"/>
    <w:rsid w:val="00894BF4"/>
    <w:rsid w:val="008F6C09"/>
    <w:rsid w:val="00914C67"/>
    <w:rsid w:val="009669A0"/>
    <w:rsid w:val="00A37D9D"/>
    <w:rsid w:val="00BD11B1"/>
    <w:rsid w:val="00C630EA"/>
    <w:rsid w:val="00CC02FA"/>
    <w:rsid w:val="00CC64B7"/>
    <w:rsid w:val="00D414EB"/>
    <w:rsid w:val="00DA7CDE"/>
    <w:rsid w:val="00E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D4DA0"/>
  <w15:docId w15:val="{739136F8-BA50-4D7A-BC06-1F864BDB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D11B1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D11B1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1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8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782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3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8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2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0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48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3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BB104EC2-B104-43CB-81CB-4A9BFB20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</dc:creator>
  <cp:keywords/>
  <dc:description/>
  <cp:lastModifiedBy>Ibnu</cp:lastModifiedBy>
  <cp:revision>5</cp:revision>
  <dcterms:created xsi:type="dcterms:W3CDTF">2023-07-07T13:37:00Z</dcterms:created>
  <dcterms:modified xsi:type="dcterms:W3CDTF">2023-07-07T20:25:00Z</dcterms:modified>
</cp:coreProperties>
</file>