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i w:val="0"/>
          <w:color w:val="1F3A5F"/>
          <w:sz w:val="44"/>
        </w:rPr>
        <w:t>Product-owner confirmation checklist</w:t>
      </w:r>
    </w:p>
    <w:p>
      <w:pPr>
        <w:spacing w:after="160"/>
      </w:pPr>
      <w:r>
        <w:rPr>
          <w:rFonts w:ascii="Calibri" w:hAnsi="Calibri" w:eastAsia="Calibri"/>
          <w:b w:val="0"/>
          <w:i w:val="0"/>
          <w:color w:val="1F4E79"/>
          <w:sz w:val="24"/>
        </w:rPr>
        <w:t>CJIS Applicant Tracker</w:t>
      </w:r>
    </w:p>
    <w:p>
      <w:pPr>
        <w:spacing w:before="0" w:after="20"/>
      </w:pPr>
      <w:r>
        <w:rPr>
          <w:rFonts w:ascii="Calibri" w:hAnsi="Calibri" w:eastAsia="Calibri"/>
          <w:b/>
          <w:i w:val="0"/>
          <w:color w:val="1F3A5F"/>
          <w:sz w:val="22"/>
        </w:rPr>
        <w:t xml:space="preserve">Status: </w:t>
      </w:r>
      <w:r>
        <w:rPr>
          <w:rFonts w:ascii="Calibri" w:hAnsi="Calibri" w:eastAsia="Calibri"/>
          <w:b w:val="0"/>
          <w:i w:val="0"/>
          <w:sz w:val="22"/>
        </w:rPr>
        <w:t>DRAFT — pending product-owner confirmation</w:t>
      </w:r>
    </w:p>
    <w:p>
      <w:pPr>
        <w:spacing w:before="0" w:after="20"/>
      </w:pPr>
      <w:r>
        <w:rPr>
          <w:rFonts w:ascii="Calibri" w:hAnsi="Calibri" w:eastAsia="Calibri"/>
          <w:b/>
          <w:i w:val="0"/>
          <w:color w:val="1F3A5F"/>
          <w:sz w:val="22"/>
        </w:rPr>
        <w:t xml:space="preserve">Owners asked to confirm: </w:t>
      </w:r>
      <w:r>
        <w:rPr>
          <w:rFonts w:ascii="Calibri" w:hAnsi="Calibri" w:eastAsia="Calibri"/>
          <w:b w:val="0"/>
          <w:i w:val="0"/>
          <w:sz w:val="22"/>
        </w:rPr>
        <w:t>Jessica Solis (product owner) and Annamarie Zambrano (joint outcome owner)</w:t>
      </w:r>
    </w:p>
    <w:p>
      <w:pPr>
        <w:spacing w:before="0" w:after="20"/>
      </w:pPr>
      <w:r>
        <w:rPr>
          <w:rFonts w:ascii="Calibri" w:hAnsi="Calibri" w:eastAsia="Calibri"/>
          <w:b/>
          <w:i w:val="0"/>
          <w:color w:val="1F3A5F"/>
          <w:sz w:val="22"/>
        </w:rPr>
        <w:t xml:space="preserve">Version: </w:t>
      </w:r>
      <w:r>
        <w:rPr>
          <w:rFonts w:ascii="Calibri" w:hAnsi="Calibri" w:eastAsia="Calibri"/>
          <w:b w:val="0"/>
          <w:i w:val="0"/>
          <w:sz w:val="22"/>
        </w:rPr>
        <w:t>0.1.0</w:t>
      </w:r>
    </w:p>
    <w:p>
      <w:pPr>
        <w:spacing w:before="0" w:after="20"/>
      </w:pPr>
      <w:r>
        <w:rPr>
          <w:rFonts w:ascii="Calibri" w:hAnsi="Calibri" w:eastAsia="Calibri"/>
          <w:b/>
          <w:i w:val="0"/>
          <w:color w:val="1F3A5F"/>
          <w:sz w:val="22"/>
        </w:rPr>
        <w:t xml:space="preserve">Approval: </w:t>
      </w:r>
      <w:r>
        <w:rPr>
          <w:rFonts w:ascii="Calibri" w:hAnsi="Calibri" w:eastAsia="Calibri"/>
          <w:b w:val="0"/>
          <w:i w:val="0"/>
          <w:sz w:val="22"/>
        </w:rPr>
        <w:t>Pending</w:t>
      </w:r>
    </w:p>
    <w:p>
      <w:pPr>
        <w:spacing w:before="0" w:after="20"/>
      </w:pPr>
      <w:r>
        <w:rPr>
          <w:rFonts w:ascii="Calibri" w:hAnsi="Calibri" w:eastAsia="Calibri"/>
          <w:b/>
          <w:i w:val="0"/>
          <w:color w:val="1F3A5F"/>
          <w:sz w:val="22"/>
        </w:rPr>
        <w:t xml:space="preserve">Date: </w:t>
      </w:r>
      <w:r>
        <w:rPr>
          <w:rFonts w:ascii="Calibri" w:hAnsi="Calibri" w:eastAsia="Calibri"/>
          <w:b w:val="0"/>
          <w:i w:val="0"/>
          <w:sz w:val="22"/>
        </w:rPr>
        <w:t>2026-10-13</w:t>
      </w:r>
    </w:p>
    <w:p>
      <w:pPr>
        <w:spacing w:before="0" w:after="20"/>
      </w:pPr>
      <w:r>
        <w:rPr>
          <w:rFonts w:ascii="Calibri" w:hAnsi="Calibri" w:eastAsia="Calibri"/>
          <w:b/>
          <w:i w:val="0"/>
          <w:color w:val="1F3A5F"/>
          <w:sz w:val="22"/>
        </w:rPr>
        <w:t xml:space="preserve">Source: </w:t>
      </w:r>
      <w:r>
        <w:rPr>
          <w:rFonts w:ascii="Calibri" w:hAnsi="Calibri" w:eastAsia="Calibri"/>
          <w:b w:val="0"/>
          <w:i w:val="0"/>
          <w:sz w:val="22"/>
        </w:rPr>
        <w:t>Planning answers recorded 2026-10-05 in Codex thread “Connect GitHub account plugin,” summarized 2026-10-13</w:t>
      </w:r>
    </w:p>
    <w:p>
      <w:pPr>
        <w:pStyle w:val="Heading1"/>
      </w:pPr>
      <w:r>
        <w:t>How to use this checklist</w:t>
      </w:r>
    </w:p>
    <w:p>
      <w:pPr>
        <w:spacing w:before="0" w:after="120" w:line="259" w:lineRule="auto"/>
      </w:pPr>
      <w:r>
        <w:rPr>
          <w:rFonts w:ascii="Calibri" w:hAnsi="Calibri" w:eastAsia="Calibri"/>
          <w:b w:val="0"/>
          <w:i w:val="0"/>
          <w:sz w:val="22"/>
        </w:rPr>
        <w:t>Each statement is a planning decision waiting for your confirmation. It does not change the approved product definition or authorize implementation.</w:t>
      </w:r>
    </w:p>
    <w:p>
      <w:pPr>
        <w:spacing w:before="0" w:after="120" w:line="259" w:lineRule="auto"/>
      </w:pPr>
      <w:r>
        <w:rPr>
          <w:rFonts w:ascii="Calibri" w:hAnsi="Calibri" w:eastAsia="Calibri"/>
          <w:b w:val="0"/>
          <w:i w:val="0"/>
          <w:sz w:val="22"/>
        </w:rPr>
        <w:t xml:space="preserve">For each item, mark </w:t>
      </w:r>
      <w:r>
        <w:rPr>
          <w:rFonts w:ascii="Calibri" w:hAnsi="Calibri" w:eastAsia="Calibri"/>
          <w:b/>
          <w:i w:val="0"/>
          <w:sz w:val="22"/>
        </w:rPr>
        <w:t>Confirm</w:t>
      </w:r>
      <w:r>
        <w:rPr>
          <w:rFonts w:ascii="Calibri" w:hAnsi="Calibri" w:eastAsia="Calibri"/>
          <w:b w:val="0"/>
          <w:i w:val="0"/>
          <w:sz w:val="22"/>
        </w:rPr>
        <w:t xml:space="preserve"> if the statement is correct. If it needs a change, mark </w:t>
      </w:r>
      <w:r>
        <w:rPr>
          <w:rFonts w:ascii="Calibri" w:hAnsi="Calibri" w:eastAsia="Calibri"/>
          <w:b/>
          <w:i w:val="0"/>
          <w:sz w:val="22"/>
        </w:rPr>
        <w:t>Change</w:t>
      </w:r>
      <w:r>
        <w:rPr>
          <w:rFonts w:ascii="Calibri" w:hAnsi="Calibri" w:eastAsia="Calibri"/>
          <w:b w:val="0"/>
          <w:i w:val="0"/>
          <w:sz w:val="22"/>
        </w:rPr>
        <w:t xml:space="preserve"> and write the correction in the notes under that section. Sign the sections you accept at the end.</w:t>
      </w:r>
    </w:p>
    <w:p>
      <w:pPr>
        <w:spacing w:before="0" w:after="120" w:line="259" w:lineRule="auto"/>
      </w:pPr>
      <w:r>
        <w:rPr>
          <w:rFonts w:ascii="Calibri" w:hAnsi="Calibri" w:eastAsia="Calibri"/>
          <w:b w:val="0"/>
          <w:i w:val="0"/>
          <w:sz w:val="22"/>
        </w:rPr>
        <w:t xml:space="preserve">Project records spell the product owner </w:t>
      </w:r>
      <w:r>
        <w:rPr>
          <w:rFonts w:ascii="Calibri" w:hAnsi="Calibri" w:eastAsia="Calibri"/>
          <w:b/>
          <w:i w:val="0"/>
          <w:sz w:val="22"/>
        </w:rPr>
        <w:t>Jessica Solis</w:t>
      </w:r>
      <w:r>
        <w:rPr>
          <w:rFonts w:ascii="Calibri" w:hAnsi="Calibri" w:eastAsia="Calibri"/>
          <w:b w:val="0"/>
          <w:i w:val="0"/>
          <w:sz w:val="22"/>
        </w:rPr>
        <w:t xml:space="preserve">. The 5 Oct 2026 planning thread spelled that name </w:t>
      </w:r>
      <w:r>
        <w:rPr>
          <w:rFonts w:ascii="Calibri" w:hAnsi="Calibri" w:eastAsia="Calibri"/>
          <w:b/>
          <w:i w:val="0"/>
          <w:sz w:val="22"/>
        </w:rPr>
        <w:t>Jessica Solice</w:t>
      </w:r>
      <w:r>
        <w:rPr>
          <w:rFonts w:ascii="Calibri" w:hAnsi="Calibri" w:eastAsia="Calibri"/>
          <w:b w:val="0"/>
          <w:i w:val="0"/>
          <w:sz w:val="22"/>
        </w:rPr>
        <w:t>. Confirm the spelling on the signature lines.</w:t>
      </w:r>
    </w:p>
    <w:p>
      <w:pPr>
        <w:pStyle w:val="Heading1"/>
      </w:pPr>
      <w:r>
        <w:t>1. Workflow</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One profile exists per person, identified by a unique control number from the external approved system.</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may create a draft profile before that control number is available. The control number is required before a request can be submitted for processing.</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control number already assigned to another profile is blocked. Staff are directed to the existing profile.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may correct a control number. The correction requires a reason and is kept in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Only administrators may merge two profiles for the same person. The merge keeps all requests and history. The administrator resolves conflicting values and records a reason.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An applicant may have only one open request at a time.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new request starts only after the previous request is closed and its access has ended.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vendor change requires an externally confirmed end of the old access, then a fresh request for the new vendor.</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returning applicant reuses the existing profile and receives a new request and checklist. Previous requests stay as history. Previous access is not restored.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 xml:space="preserve">A request moves from Draft to Pending only when these are present: applicant name, vendor, requestor, requested access type, email, phone, the date the information was provided, and the external control number. Staff then select </w:t>
      </w:r>
      <w:r>
        <w:rPr>
          <w:rFonts w:ascii="Calibri" w:hAnsi="Calibri" w:eastAsia="Calibri"/>
          <w:b/>
          <w:i w:val="0"/>
          <w:sz w:val="22"/>
        </w:rPr>
        <w:t>Submit for Processing</w:t>
      </w:r>
      <w:r>
        <w:rPr>
          <w:rFonts w:ascii="Calibri" w:hAnsi="Calibri" w:eastAsia="Calibri"/>
          <w:b w:val="0"/>
          <w:i w:val="0"/>
          <w:sz w:val="22"/>
        </w:rPr>
        <w: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Processing follows this order: III check, fingerprints, security awareness training, signed security addendum, NCIC certification, external decision.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may record a later step before an earlier step is finished. The displayed stage stays on the earliest incomplete step.</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may override the calculated stage. The override requires a recorded reason.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Full Clearance and One Time Visit use the same checklist.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Every checklist item is mandatory. NCIC certification is the exception: staff or administrators may mark it Not Applicable with a recorded reason.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External decisions are recorded as Full Clearance, One Time Visit, or No Access Given. Each decision includes the decision date and the external decision-maker’s name.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One access-type field is updated to match the latest external decision. Earlier values remain in change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If Full Clearance or One Time Visit is received before the checklist is complete, the decision is saved. Limited View shows No Access Given until the checklist is complete.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One Time Visit access uses an Albuquerque local window, including daylight-saving time. Staff may enter a full-day date range or a precise start and end. Access is active only inside that window, and only after the checklist is complete.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may reschedule a visit with a recorded reason. The same checklist is reused. Expired requirements are flagged.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After a visit window ends, routine reminders stop. History and unresolved issues remain visible.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If a requirement expires during an active visit, the tracker shows Review Required and alerts staff. The visit window stays as approved until an external decision changes it.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Full Clearance may have an optional access end date for a contract or assignment with a known end. When that date passes, the tracker shows Review Required until staff record the external end-of-access decision.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revocation includes an effective date and time in Albuquerque local time. If staff enter it after that time has passed, the tracker shows No Access Given immediately and keeps both the effective time and the entry time.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Before a future revocation takes effect, Limited View shows the current access status and “Access ends [date/time].”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may correct or cancel a scheduled revocation when a revised external decision is received. The change requires a reason and is kept in history.</w:t>
      </w:r>
    </w:p>
    <w:p>
      <w:pPr>
        <w:keepNext/>
        <w:spacing w:before="200" w:after="80"/>
      </w:pPr>
      <w:r>
        <w:rPr>
          <w:rFonts w:ascii="Calibri" w:hAnsi="Calibri" w:eastAsia="Calibri"/>
          <w:b/>
          <w:i w:val="0"/>
          <w:color w:val="1F3A5F"/>
          <w:sz w:val="24"/>
        </w:rPr>
        <w:t>Workflow corrections</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Item</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Correction</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keepNext/>
        <w:spacing w:before="200" w:after="80"/>
      </w:pPr>
      <w:r>
        <w:rPr>
          <w:rFonts w:ascii="Calibri" w:hAnsi="Calibri" w:eastAsia="Calibri"/>
          <w:b/>
          <w:i w:val="0"/>
          <w:color w:val="1F3A5F"/>
          <w:sz w:val="24"/>
        </w:rPr>
        <w:t>Workflow sign-off</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Name</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Confirm this section</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Product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Jessica Solis</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Outcome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Annamarie Zambrano</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pStyle w:val="Heading1"/>
      </w:pPr>
      <w:r>
        <w:t>2. Renewals, queue, and email</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Five-year query deadlines stay anchored to the original III completion date, including when a repeat query is completed late.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Completing a late query clears the overdue flag. The next deadline stays on the original schedule. Example: a query due in 2025 and completed in 2026 has its next deadline in 2030.</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Every query completion is kept in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Administrators may correct a query date. The correction requires a reason, and the original value stays in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query-date correction recalculates overdue flags and retention-review dates. Correcting the original III completion date also recalculates the five-year schedule. Each recalculation keeps the previous dates, the revised dates, and the correction that caused it.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Overdue security awareness training, an overdue five-year query, and overdue NCIC certification where it is required set the applicant to Review Required.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missing required date shows Information Missing and creates a follow-up. Access status stays unchanged.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Review Required clears when every triggering issue is resolved. The access status that otherwise applies is restored. A denial or ended access remains in effect.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Advance warnings appear 30, 14, and 7 days before a requirement is due.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The Staff/Admin follow-up queue shows overdue items first, then missing information, then upcoming deadlines.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track follow-up in notes. An issue stays open until the underlying requirement is resolved.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After a visit window ends, routine reminders stop. History and unresolved issues remain visible.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The shared queue and internal daily email cover active applicants with overdue or missing requirements, and archived applicants with unresolved issues.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Email and other notifications are a later phase. The first release uses the shared work queue.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When email is added, it goes only to internal staff and administrators selected by an administrator. Applicants are not recipients.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When email is added, the summary is sent at 8:00 a.m. Albuquerque time on weekdays, including a “No outstanding issues” message when the queue is clear. It lists applicant names, issue types, and due dates, and includes the 30-, 14-, and 7-day warnings.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When email is added, a failed send is recorded on an administrators-only status page. The tracker does not retry it automatically and does not send a separate failure alert.</w:t>
      </w:r>
    </w:p>
    <w:p>
      <w:pPr>
        <w:keepNext/>
        <w:spacing w:before="200" w:after="80"/>
      </w:pPr>
      <w:r>
        <w:rPr>
          <w:rFonts w:ascii="Calibri" w:hAnsi="Calibri" w:eastAsia="Calibri"/>
          <w:b/>
          <w:i w:val="0"/>
          <w:color w:val="1F3A5F"/>
          <w:sz w:val="24"/>
        </w:rPr>
        <w:t>Renewals, queue, and email corrections</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Item</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Correction</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keepNext/>
        <w:spacing w:before="200" w:after="80"/>
      </w:pPr>
      <w:r>
        <w:rPr>
          <w:rFonts w:ascii="Calibri" w:hAnsi="Calibri" w:eastAsia="Calibri"/>
          <w:b/>
          <w:i w:val="0"/>
          <w:color w:val="1F3A5F"/>
          <w:sz w:val="24"/>
        </w:rPr>
        <w:t>Renewals, queue, and email sign-off</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Name</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Confirm this section</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Product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Jessica Solis</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Outcome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Annamarie Zambrano</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pStyle w:val="Heading1"/>
      </w:pPr>
      <w:r>
        <w:t>3. Sign-in, visibility, and editing</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Internal users sign in with their City work account through single sign-on.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City sign-in establishes identity. Tracker administrators assign the application role.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City user with no tracker role may request access and cannot see applicant data until an administrator approves the request.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An access request includes the name and City email from sign-in, the requested role, department, business reason, and supervisor’s name. The supervisor’s name is for reference. Supervisor approval is not a required step.</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Administrators review access requests in the tracker and receive an email when a request is submitted.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Jessica Solis, Annamarie Zambrano, or City IT may independently grant or remove the Admin role.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Limited View shows active applicants only: name, vendor, clearance/access status, a general reason when access is unavailable, Review Required flags, and training, certification, and query due dates.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Limited View hides the external control number, email, phone, access types, III and fingerprint outcomes, and notes. Limited View users cannot search by the external control number.</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While processing is incomplete, Limited View shows No Access Given. Staff keep the external decision on the staff record.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Limited View shows a general no-access reason. Background-check details stay hidden. An external denial displays as “No Access Given.”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can see and edit III and fingerprint outcomes received from outside the tracker.</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can create applicant records, add vendors while creating a request, add notes, and view detailed change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Administrators can correct or merge vendor names, merge applicant profiles, assign roles, and perform retention actions.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Limited View users see a home screen with the applicant directory only. Staff and administrators see the follow-up queue first and the searchable directory below it.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Directory search covers applicant name, external control number, and vendor. Staff and administrators can also search email and phone.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The directory shows the clearance decision. Access types appear in the detailed record, visible to staff and administrators.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Change history keeps who changed a field, when, and the previous and new values. Changes to a clearance decision or access status require a reason.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Notes are separate dated entries. Staff and administrators can add them. Limited View users cannot see them. An author may edit their own note, and the edit is kept in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Notes are for tracking, such as who authorized clearance and follow-up dates. Date of birth, charges, and seizure details are prohibited in notes.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The first release shows a standing warning on the notes field and uses staff procedure for prohibited information. Automated detection, administrator pop-ups, and review flags wait for a later release.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In the first release, an administrator may redact prohibited note text. History keeps who corrected it, when, and why. The prohibited text is removed from the retained note and from retained audit content.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While one person is editing a record, the record is locked. The lock releases after 10 minutes of inactivity. The user is warned one minute before release and can choose to keep editing. When the lock expires, unsaved edits are discarded and the latest saved record is shown.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Applicant-record export and document upload are out of the planned scope.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Administrators may update requirement and renewal rules with a recorded reason. A rule change applies to new requests. Existing requests keep the rules in effect when they were created. Profile merging and configurable rules may wait for a later release.</w:t>
      </w:r>
    </w:p>
    <w:p>
      <w:pPr>
        <w:keepNext/>
        <w:spacing w:before="200" w:after="80"/>
      </w:pPr>
      <w:r>
        <w:rPr>
          <w:rFonts w:ascii="Calibri" w:hAnsi="Calibri" w:eastAsia="Calibri"/>
          <w:b/>
          <w:i w:val="0"/>
          <w:color w:val="1F3A5F"/>
          <w:sz w:val="24"/>
        </w:rPr>
        <w:t>Sign-in, visibility, and editing corrections</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Item</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Correction</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keepNext/>
        <w:spacing w:before="200" w:after="80"/>
      </w:pPr>
      <w:r>
        <w:rPr>
          <w:rFonts w:ascii="Calibri" w:hAnsi="Calibri" w:eastAsia="Calibri"/>
          <w:b/>
          <w:i w:val="0"/>
          <w:color w:val="1F3A5F"/>
          <w:sz w:val="24"/>
        </w:rPr>
        <w:t>Sign-in, visibility, and editing sign-off</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Name</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Confirm this section</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Product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Jessica Solis</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Outcome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Annamarie Zambrano</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pStyle w:val="Heading1"/>
      </w:pPr>
      <w:r>
        <w:t>4. Retention</w:t>
      </w:r>
    </w:p>
    <w:p>
      <w:pPr>
        <w:spacing w:before="0" w:after="120" w:line="259" w:lineRule="auto"/>
      </w:pPr>
      <w:r>
        <w:rPr>
          <w:rFonts w:ascii="Calibri" w:hAnsi="Calibri" w:eastAsia="Calibri"/>
          <w:b w:val="0"/>
          <w:i w:val="0"/>
          <w:sz w:val="22"/>
        </w:rPr>
        <w:t>These statements are the retention rules from the later stakeholder answers. City records or legal confirmation is still a separate approval. The first release calculates review dates and does not delete records.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Active records are kept until the person separates from the department.</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After deactivation, the proposed retention period is three years from the most recent III query date.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Deactivation does not restart that three-year clock.</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If the three-year period has already elapsed when the applicant is deactivated, the record is flagged immediately for administrator retention review.</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deactivated record with no III query date is kept and flagged as missing that date. No deletion deadline is calculated.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Audit history has its own proposed retention of seven years after a request is deleted. That proposal stays pending City records or legal approval.</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Each request has its own retention clock. Updating an applicant’s contact details does not restart the clock on historical requests.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Jessica Solis coordinates confirmation of these retention rules and the hold process with City records or legal.</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The first release calculates retention-review dates and flags eligible records for administrators. Archiving, deletion, and legal or records holds wait for a later release.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First-release flags read “Retention review due — hold check required.” The flag is a review task.</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can see retention-review flags. Staff may add follow-up notes. Administrators complete the retention review.</w:t>
      </w:r>
    </w:p>
    <w:p>
      <w:pPr>
        <w:keepNext/>
        <w:spacing w:before="200" w:after="80"/>
      </w:pPr>
      <w:r>
        <w:rPr>
          <w:rFonts w:ascii="Calibri" w:hAnsi="Calibri" w:eastAsia="Calibri"/>
          <w:b/>
          <w:i w:val="0"/>
          <w:color w:val="1F3A5F"/>
          <w:sz w:val="24"/>
        </w:rPr>
        <w:t>Retention corrections</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Item</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Correction</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keepNext/>
        <w:spacing w:before="200" w:after="80"/>
      </w:pPr>
      <w:r>
        <w:rPr>
          <w:rFonts w:ascii="Calibri" w:hAnsi="Calibri" w:eastAsia="Calibri"/>
          <w:b/>
          <w:i w:val="0"/>
          <w:color w:val="1F3A5F"/>
          <w:sz w:val="24"/>
        </w:rPr>
        <w:t>Retention sign-off</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Name</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Confirm this section</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Product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Jessica Solis</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Outcome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Annamarie Zambrano</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pStyle w:val="Heading1"/>
      </w:pPr>
      <w:r>
        <w:t>5. Deactivation and denials</w:t>
      </w:r>
    </w:p>
    <w:p>
      <w:pPr>
        <w:spacing w:before="0" w:after="120" w:line="259" w:lineRule="auto"/>
      </w:pPr>
      <w:r>
        <w:rPr>
          <w:rFonts w:ascii="Calibri" w:hAnsi="Calibri" w:eastAsia="Calibri"/>
          <w:b w:val="0"/>
          <w:i w:val="0"/>
          <w:sz w:val="22"/>
        </w:rPr>
        <w:t>These statements incorporate the stakeholder feedback recorded after the first planning pass.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Staff and administrators may deactivate an applicant. They record the externally confirmed separation or access-end date and a reason.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A deactivated profile is labeled Deactivated and hidden from Limited View. The first release keeps the record. Archiving waits for a later release.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Deactivation closes the open request, keeps unfinished checklist items, and ends recorded access on the confirmed effective date.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Recording a future-dated deactivation immediately marks the profile Deactivated and hides it from Limited View. The access-end date remains the future date entered.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Until that future time arrives, Staff and Admin see “Deactivated” and “Access scheduled to end [date/time].”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Only administrators may cancel a future-dated deactivation. A new external confirmation and a mandatory reason are not required. The cancellation is still kept in history.</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Canceling a future-dated deactivation immediately returns the profile to Limited View at the access status that currently applies.</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If that cancellation happens before the effective date, an unfinished request reopens at its previous processing stage. Its checklist and history are preserved.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Jessica Solis or Annamarie Zambrano may confirm a denial. Either may handle it. A separate awareness step for Jessica is not required.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While a proposed denial awaits confirmation, the existing access status stays unchanged.</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Requests awaiting denial confirmation appear in the shared Staff/Admin work queue with an “Awaiting Denial Confirmation” flag. There is no separate queue limited to Jessica and Annamarie.</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That flag stays visible until Jessica or Annamarie confirms the denial or records a revised external decision.</w:t>
      </w:r>
    </w:p>
    <w:p>
      <w:pPr>
        <w:keepLines/>
        <w:spacing w:before="40" w:after="80" w:line="259" w:lineRule="auto"/>
        <w:ind w:left="216"/>
      </w:pPr>
      <w:r>
        <w:rPr>
          <w:rFonts w:ascii="Calibri" w:hAnsi="Calibri" w:eastAsia="Calibri"/>
          <w:b/>
          <w:i w:val="0"/>
          <w:color w:val="1F4E79"/>
          <w:sz w:val="22"/>
        </w:rPr>
        <w:t>☐  Confirm</w:t>
      </w:r>
      <w:r>
        <w:rPr>
          <w:rFonts w:ascii="Calibri" w:hAnsi="Calibri" w:eastAsia="Calibri"/>
          <w:b/>
          <w:i w:val="0"/>
          <w:color w:val="8A4B08"/>
          <w:sz w:val="22"/>
        </w:rPr>
        <w:t xml:space="preserve">      ☐  Change</w:t>
      </w:r>
      <w:r>
        <w:rPr>
          <w:rFonts w:ascii="Calibri" w:hAnsi="Calibri" w:eastAsia="Calibri"/>
          <w:b w:val="0"/>
          <w:i w:val="0"/>
          <w:sz w:val="22"/>
        </w:rPr>
        <w:t xml:space="preserve">   </w:t>
      </w:r>
      <w:r>
        <w:rPr>
          <w:rFonts w:ascii="Calibri" w:hAnsi="Calibri" w:eastAsia="Calibri"/>
          <w:b w:val="0"/>
          <w:i w:val="0"/>
          <w:sz w:val="22"/>
        </w:rPr>
        <w:t>When a lead administrator confirms the denial, access becomes No Access Given and the request closes. Unfinished checklist items are preserved. The displayed status is “No Access Given,” without a separate “Denied” label.</w:t>
      </w:r>
    </w:p>
    <w:p>
      <w:pPr>
        <w:keepNext/>
        <w:spacing w:before="200" w:after="80"/>
      </w:pPr>
      <w:r>
        <w:rPr>
          <w:rFonts w:ascii="Calibri" w:hAnsi="Calibri" w:eastAsia="Calibri"/>
          <w:b/>
          <w:i w:val="0"/>
          <w:color w:val="1F3A5F"/>
          <w:sz w:val="24"/>
        </w:rPr>
        <w:t>Deactivation and denials corrections</w:t>
      </w:r>
    </w:p>
    <w:tbl>
      <w:tblPr>
        <w:tblStyle w:val="TableGrid"/>
        <w:tblW w:type="auto" w:w="0"/>
        <w:jc w:val="center"/>
        <w:tblLayout w:type="autofit"/>
        <w:tblLook w:firstColumn="1" w:firstRow="1" w:lastColumn="0" w:lastRow="0" w:noHBand="0" w:noVBand="1" w:val="04A0"/>
      </w:tblPr>
      <w:tblGrid>
        <w:gridCol w:w="4896"/>
        <w:gridCol w:w="4896"/>
      </w:tblGrid>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Item</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Correction</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Pr>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7920"/>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keepNext/>
        <w:spacing w:before="200" w:after="80"/>
      </w:pPr>
      <w:r>
        <w:rPr>
          <w:rFonts w:ascii="Calibri" w:hAnsi="Calibri" w:eastAsia="Calibri"/>
          <w:b/>
          <w:i w:val="0"/>
          <w:color w:val="1F3A5F"/>
          <w:sz w:val="24"/>
        </w:rPr>
        <w:t>Deactivation and denials sign-off</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Name</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Confirm this section</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Product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Jessica Solis</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2088"/>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Outcome owner</w:t>
            </w:r>
          </w:p>
        </w:tc>
        <w:tc>
          <w:tcPr>
            <w:tcW w:type="dxa" w:w="309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Annamarie Zambrano</w:t>
            </w:r>
          </w:p>
        </w:tc>
        <w:tc>
          <w:tcPr>
            <w:tcW w:type="dxa" w:w="2736"/>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1872"/>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pStyle w:val="Heading1"/>
      </w:pPr>
      <w:r>
        <w:t>Overall confirmation</w:t>
      </w:r>
    </w:p>
    <w:p>
      <w:pPr>
        <w:spacing w:before="0" w:after="120" w:line="259" w:lineRule="auto"/>
      </w:pPr>
      <w:r>
        <w:rPr>
          <w:rFonts w:ascii="Calibri" w:hAnsi="Calibri" w:eastAsia="Calibri"/>
          <w:b w:val="0"/>
          <w:i w:val="0"/>
          <w:sz w:val="22"/>
        </w:rPr>
        <w:t>Checking this box means each section above is either confirmed or has a written correction.</w:t>
      </w:r>
    </w:p>
    <w:p>
      <w:pPr>
        <w:spacing w:before="60" w:after="60"/>
        <w:ind w:left="216"/>
      </w:pPr>
      <w:r>
        <w:rPr>
          <w:rFonts w:ascii="Calibri" w:hAnsi="Calibri" w:eastAsia="Calibri"/>
          <w:b/>
          <w:i w:val="0"/>
          <w:color w:val="1F4E79"/>
          <w:sz w:val="22"/>
        </w:rPr>
        <w:t xml:space="preserve">☐  </w:t>
      </w:r>
      <w:r>
        <w:rPr>
          <w:rFonts w:ascii="Calibri" w:hAnsi="Calibri" w:eastAsia="Calibri"/>
          <w:b w:val="0"/>
          <w:i w:val="0"/>
          <w:sz w:val="22"/>
        </w:rPr>
        <w:t>Jessica Solis confirms the sections marked above, including any written corrections.</w:t>
      </w:r>
    </w:p>
    <w:p>
      <w:pPr>
        <w:spacing w:before="60" w:after="60"/>
        <w:ind w:left="216"/>
      </w:pPr>
      <w:r>
        <w:rPr>
          <w:rFonts w:ascii="Calibri" w:hAnsi="Calibri" w:eastAsia="Calibri"/>
          <w:b/>
          <w:i w:val="0"/>
          <w:color w:val="1F4E79"/>
          <w:sz w:val="22"/>
        </w:rPr>
        <w:t xml:space="preserve">☐  </w:t>
      </w:r>
      <w:r>
        <w:rPr>
          <w:rFonts w:ascii="Calibri" w:hAnsi="Calibri" w:eastAsia="Calibri"/>
          <w:b w:val="0"/>
          <w:i w:val="0"/>
          <w:sz w:val="22"/>
        </w:rPr>
        <w:t>Annamarie Zambrano confirms the sections marked above, including any written corrections.</w:t>
      </w:r>
    </w:p>
    <w:tbl>
      <w:tblPr>
        <w:tblStyle w:val="TableGrid"/>
        <w:tblW w:type="auto" w:w="0"/>
        <w:jc w:val="center"/>
        <w:tblLayout w:type="autofit"/>
        <w:tblLook w:firstColumn="1" w:firstRow="1" w:lastColumn="0" w:lastRow="0" w:noHBand="0" w:noVBand="1" w:val="04A0"/>
      </w:tblPr>
      <w:tblGrid>
        <w:gridCol w:w="3264"/>
        <w:gridCol w:w="3264"/>
        <w:gridCol w:w="3264"/>
      </w:tblGrid>
      <w:tr>
        <w:trPr>
          <w:cantSplit/>
          <w:trHeight w:val="792"/>
        </w:trPr>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 xml:space="preserve"> </w:t>
            </w:r>
          </w:p>
        </w:tc>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Signature</w:t>
            </w:r>
          </w:p>
        </w:tc>
        <w:tc>
          <w:tcPr>
            <w:tcW w:type="dxa" w:w="230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1F4E79" w:val="clear"/>
          </w:tcPr>
          <w:p>
            <w:pPr>
              <w:spacing w:after="0" w:before="0"/>
            </w:pPr>
            <w:r/>
            <w:r>
              <w:rPr>
                <w:rFonts w:ascii="Calibri" w:hAnsi="Calibri" w:eastAsia="Calibri"/>
                <w:b/>
                <w:i w:val="0"/>
                <w:color w:val="FFFFFF"/>
                <w:sz w:val="20"/>
              </w:rPr>
              <w:t>Date</w:t>
            </w:r>
          </w:p>
        </w:tc>
      </w:tr>
      <w:tr>
        <w:trPr>
          <w:cantSplit/>
          <w:trHeight w:val="792"/>
        </w:trPr>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Jessica Solis, product owner</w:t>
            </w:r>
          </w:p>
        </w:tc>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230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r>
        <w:trPr>
          <w:cantSplit/>
          <w:trHeight w:val="792"/>
        </w:trPr>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shd w:fill="F3F6F9" w:val="clear"/>
          </w:tcPr>
          <w:p>
            <w:pPr>
              <w:spacing w:after="0" w:before="0"/>
            </w:pPr>
            <w:r/>
            <w:r>
              <w:rPr>
                <w:rFonts w:ascii="Calibri" w:hAnsi="Calibri" w:eastAsia="Calibri"/>
                <w:b/>
                <w:i w:val="0"/>
                <w:sz w:val="20"/>
              </w:rPr>
              <w:t>Annamarie Zambrano, outcome owner</w:t>
            </w:r>
          </w:p>
        </w:tc>
        <w:tc>
          <w:tcPr>
            <w:tcW w:type="dxa" w:w="374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c>
          <w:tcPr>
            <w:tcW w:type="dxa" w:w="2304"/>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tcPr>
          <w:p>
            <w:pPr>
              <w:spacing w:after="0" w:before="0"/>
            </w:pPr>
            <w:r/>
            <w:r>
              <w:rPr>
                <w:rFonts w:ascii="Calibri" w:hAnsi="Calibri" w:eastAsia="Calibri"/>
                <w:b w:val="0"/>
                <w:i w:val="0"/>
                <w:sz w:val="20"/>
              </w:rPr>
              <w:t xml:space="preserve"> </w:t>
            </w:r>
          </w:p>
        </w:tc>
      </w:tr>
    </w:tbl>
    <w:p>
      <w:pPr>
        <w:spacing w:after="40"/>
      </w:pPr>
    </w:p>
    <w:p>
      <w:pPr>
        <w:spacing w:before="0" w:after="120" w:line="259" w:lineRule="auto"/>
      </w:pPr>
      <w:r>
        <w:rPr>
          <w:rFonts w:ascii="Calibri" w:hAnsi="Calibri" w:eastAsia="Calibri"/>
          <w:b w:val="0"/>
          <w:i w:val="0"/>
          <w:sz w:val="22"/>
        </w:rPr>
        <w:t>This checklist is a request for confirmation. Recording an accepted result in `project.json`, or changing the approved product definition, is a separate decision after both owners sign.</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color w:val="444444"/>
        <w:sz w:val="18"/>
      </w:rPr>
      <w:t xml:space="preserve">Pending confirmation  ·  Not an approved product change  ·  Page </w:t>
    </w:r>
    <w:r>
      <w:rPr>
        <w:rFonts w:ascii="Calibri" w:hAnsi="Calibri" w:eastAsia="Calibri"/>
        <w:b w:val="0"/>
        <w:i w:val="0"/>
        <w:sz w:val="18"/>
      </w:rPr>
      <w:t xml:space="preserve">    </w:t>
    </w:r>
    <w:r>
      <w:rPr>
        <w:rFonts w:ascii="Calibri" w:hAnsi="Calibri" w:eastAsia="Calibri"/>
        <w:b w:val="0"/>
        <w:i w:val="0"/>
        <w:color w:val="44444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F4E79"/>
        <w:sz w:val="18"/>
      </w:rPr>
      <w:t>CJIS Applicant Tracker  ·  Draft for product-owner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Product-owner confirmation checklist</dc:title>
  <dc:subject>CJIS Applicant Tracker planning confirmation for Jessica Solis and Annamarie Zambrano</dc:subject>
  <dc:creator>python-docx</dc:creator>
  <cp:keywords/>
  <dc:description>Pending product-owner confirmation. Does not change the approved product definition.</dc:description>
  <cp:lastModifiedBy/>
  <cp:revision>1</cp:revision>
  <dcterms:created xsi:type="dcterms:W3CDTF">2013-12-23T23:15:00Z</dcterms:created>
  <dcterms:modified xsi:type="dcterms:W3CDTF">2013-12-23T23:15:00Z</dcterms:modified>
  <cp:category>Draft</cp:category>
</cp:coreProperties>
</file>