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Transformation; Business Operations; Cross-Functional Leadership; Workflow Governance; Executive Stakeholder Management; Process Excellence; Quality Assurance; MarTech Strategy; Product Operations; Emerging Media; Product Prototyping;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