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Trisha Lynch</w:t>
      </w:r>
    </w:p>
    <w:p>
      <w:pPr>
        <w:pStyle w:val="ResumePositioning"/>
      </w:pPr>
      <w:r>
        <w:t>Senior Operations &amp; Program Leader | Governance | Transformation | Cross-Functional Delivery</w:t>
      </w:r>
    </w:p>
    <w:p>
      <w:pPr>
        <w:pStyle w:val="ResumeContact"/>
      </w:pPr>
      <w:r>
        <w:t xml:space="preserve">Los Angeles, CA | </w:t>
      </w:r>
      <w:r>
        <w:t>tslynch@mac.com</w:t>
      </w:r>
      <w:r>
        <w:t xml:space="preserve"> | LinkedIn: </w:t>
      </w:r>
      <w:r>
        <w:t>https://www.linkedin.com/in/trisha-lynch-3433417</w:t>
      </w:r>
    </w:p>
    <w:p>
      <w:pPr>
        <w:pStyle w:val="Heading1"/>
      </w:pPr>
      <w:r>
        <w:t>Profile</w:t>
      </w:r>
    </w:p>
    <w:p>
      <w:pPr/>
      <w:r>
        <w:t>Operations and program leader who delivers complex cross-functional work through clear roadmaps, milestones, dependencies, risks, quality standards, and stakeholder visibility.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Workflow Governance; Cross-Functional Leadership; Process Excellence; Marketing Operations; Program Leadership; Creative Operations; Entertainment Marketing; Change Management; Stakeholder Management; AI Workflow Design; Business Operations; Operational Strategy</w:t>
      </w:r>
    </w:p>
    <w:p>
      <w:pPr>
        <w:pStyle w:val="Heading1"/>
      </w:pPr>
      <w:r>
        <w:t>Platforms &amp; Technologies</w:t>
      </w:r>
    </w:p>
    <w:p>
      <w:pPr>
        <w:pStyle w:val="ResumePlatformGroup"/>
      </w:pPr>
      <w:r>
        <w:rPr>
          <w:b/>
        </w:rPr>
        <w:t xml:space="preserve">AdTech &amp; Measurement: </w:t>
      </w:r>
      <w:r>
        <w:t>CM360, DV360, The Trade Desk, Innovid, DoubleVerify, IAS, LiveRamp, VideoAmp, TransUnion, Meta Ads, Google Marketing Platform</w:t>
      </w:r>
    </w:p>
    <w:p>
      <w:pPr>
        <w:pStyle w:val="ResumePlatformGroup"/>
      </w:pPr>
      <w:r>
        <w:rPr>
          <w:b/>
        </w:rPr>
        <w:t xml:space="preserve">AI, Automation &amp; Operational Systems: </w:t>
      </w:r>
      <w:r>
        <w:t>ChatGPT, Claude, Codex, Perplexity, Python (Working Knowledge), AI Workflow Design, Process Automation</w:t>
      </w:r>
    </w:p>
    <w:p>
      <w:pPr>
        <w:pStyle w:val="ResumePlatformGroup"/>
      </w:pPr>
      <w:r>
        <w:rPr>
          <w:b/>
        </w:rPr>
        <w:t xml:space="preserve">Workflow &amp; Collaboration: </w:t>
      </w:r>
      <w:r>
        <w:t>Airtable, Notion, Excel, Microsoft Office, Google Workspace, PowerPoint, Word</w:t>
      </w:r>
    </w:p>
    <w:p>
      <w:pPr>
        <w:pStyle w:val="ResumePlatformGroup"/>
      </w:pPr>
      <w:r>
        <w:rPr>
          <w:b/>
        </w:rPr>
        <w:t xml:space="preserve">Publishing &amp; Content: </w:t>
      </w:r>
      <w:r>
        <w:t>WordPress, Mailchimp, Substack, Newsletter Development, Editorial Production</w:t>
      </w:r>
    </w:p>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Helped operationalize the Disney+ launch through onboarding, quality assurance, measurement readiness, platform coordination, and execution workflows.</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Advanced through five roles from Campaign Manager to Group Director while expanding responsibility across enterprise operations and transformation.</w:t>
      </w:r>
    </w:p>
    <w:p>
      <w:pPr>
        <w:pStyle w:val="Heading1"/>
      </w:pPr>
      <w:r>
        <w:t>Relevant Projects &amp; Impact</w:t>
      </w:r>
    </w:p>
    <w:p>
      <w:pPr>
        <w:pStyle w:val="Heading2"/>
      </w:pPr>
      <w:r>
        <w:t>Disney+ Launch Readiness - Tracking, Measurement and Operational Governance</w:t>
      </w:r>
    </w:p>
    <w:p>
      <w:pPr>
        <w:pStyle w:val="ResumeMetadata"/>
      </w:pPr>
      <w:r>
        <w:t>OMG23 (Omnicom Media Group) · The Walt Disney Company - Disney+ / Disney Streaming Services · Cross-Functional Platform Launch Readiness</w:t>
      </w:r>
    </w:p>
    <w:p>
      <w:pPr>
        <w:pStyle w:val="ResumeBullet"/>
        <w:numPr>
          <w:ilvl w:val="0"/>
          <w:numId w:val="10"/>
        </w:numPr>
      </w:pPr>
      <w:r>
        <w:t>Served as a senior Ad Operations member of the Disney+ launch task force, partnering with Disney Technology and Disney Streaming Services on tracking and measurement readiness.</w:t>
      </w:r>
    </w:p>
    <w:p>
      <w:pPr>
        <w:pStyle w:val="ResumeBullet"/>
        <w:numPr>
          <w:ilvl w:val="0"/>
          <w:numId w:val="10"/>
        </w:numPr>
      </w:pPr>
      <w:r>
        <w:t>Supported the launch readiness of Disney+ marketing operations by establishing clearer tracking requirements, governance, implementation standards, and quality-assurance practices.</w:t>
      </w:r>
    </w:p>
    <w:p>
      <w:pPr>
        <w:pStyle w:val="Heading2"/>
      </w:pPr>
      <w:r>
        <w:t>Career Catalyst - AI-Enabled Career Intelligence &amp; Application Operations Platform</w:t>
      </w:r>
    </w:p>
    <w:p>
      <w:pPr>
        <w:pStyle w:val="ResumeMetadata"/>
      </w:pPr>
      <w:r>
        <w:t>RoboXT Studios · Career Catalyst · AI-Enabled Product Development</w:t>
      </w:r>
    </w:p>
    <w:p>
      <w:pPr>
        <w:pStyle w:val="ResumeBullet"/>
        <w:numPr>
          <w:ilvl w:val="0"/>
          <w:numId w:val="10"/>
        </w:numPr>
      </w:pPr>
      <w:r>
        <w:t>Created and led development of an active AI-enabled career intelligence and application-operations product, defining product vision, requirements, priorities, workflows, acceptance criteria, and release guardrails.</w:t>
      </w:r>
    </w:p>
    <w:p>
      <w:pPr>
        <w:pStyle w:val="ResumeBullet"/>
        <w:numPr>
          <w:ilvl w:val="0"/>
          <w:numId w:val="10"/>
        </w:numPr>
      </w:pPr>
      <w:r>
        <w:t>Built and iterated a tested local application integrating prospect evaluation, evidence selection, tailored materials, follow-up planning, interview preparation, status management, and role archiving.</w:t>
      </w:r>
    </w:p>
    <w:p>
      <w:pPr>
        <w:pStyle w:val="Heading2"/>
      </w:pPr>
      <w:r>
        <w:t>CampaignOS - Campaign Operations Workflow Prototype</w:t>
      </w:r>
    </w:p>
    <w:p>
      <w:pPr>
        <w:pStyle w:val="ResumeMetadata"/>
      </w:pPr>
      <w:r>
        <w:t>RoboXT Studios · CampaignOS · Working Product Prototype</w:t>
      </w:r>
    </w:p>
    <w:p>
      <w:pPr>
        <w:pStyle w:val="ResumeBullet"/>
        <w:numPr>
          <w:ilvl w:val="0"/>
          <w:numId w:val="10"/>
        </w:numPr>
      </w:pPr>
      <w:r>
        <w:t>Designed and developed CampaignOS as a working prototype for centralizing campaign intake, workflow stages, ownership, documentation, status visibility, governance, and quality assurance.</w:t>
      </w:r>
    </w:p>
    <w:p>
      <w:pPr>
        <w:pStyle w:val="ResumeBullet"/>
        <w:numPr>
          <w:ilvl w:val="0"/>
          <w:numId w:val="10"/>
        </w:numPr>
      </w:pPr>
      <w:r>
        <w:t>Created a functioning prototype that demonstrates how campaign teams could manage requirements, dependencies, approvals, quality controls, and execution visibility through one structured workflow.</w:t>
      </w:r>
    </w:p>
    <w:sectPr w:rsidR="00FC693F" w:rsidRPr="0006063C" w:rsidSect="00034616">
      <w:pgSz w:w="12240" w:h="15840"/>
      <w:pgMar w:top="936" w:right="936" w:bottom="936" w:left="936" w:header="432" w:footer="432"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40" w:lineRule="auto" w:line="252"/>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40" w:lineRule="auto" w:line="240"/>
      <w:outlineLvl w:val="0"/>
    </w:pPr>
    <w:rPr>
      <w:rFonts w:asciiTheme="majorHAnsi" w:eastAsiaTheme="majorEastAsia" w:hAnsiTheme="majorHAnsi" w:cstheme="majorBidi" w:ascii="Calibri" w:hAnsi="Calibri" w:eastAsia="Calibri"/>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Calibri" w:hAnsi="Calibri" w:eastAsia="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widowControl/>
      <w:spacing w:before="0" w:after="20" w:lineRule="auto" w:line="240"/>
    </w:pPr>
    <w:rPr>
      <w:rFonts w:ascii="Calibri" w:hAnsi="Calibri" w:eastAsia="Calibri"/>
      <w:b/>
      <w:color w:val="000000"/>
      <w:sz w:val="36"/>
    </w:rPr>
  </w:style>
  <w:style w:type="paragraph" w:customStyle="1" w:styleId="ResumePositioning">
    <w:name w:val="Resume Positioning"/>
    <w:pPr>
      <w:keepNext/>
      <w:widowControl/>
      <w:spacing w:before="0" w:after="20" w:lineRule="auto" w:line="240"/>
    </w:pPr>
    <w:rPr>
      <w:rFonts w:ascii="Calibri" w:hAnsi="Calibri" w:eastAsia="Calibri"/>
      <w:b/>
      <w:color w:val="000000"/>
      <w:sz w:val="21"/>
    </w:rPr>
  </w:style>
  <w:style w:type="paragraph" w:customStyle="1" w:styleId="ResumeContact">
    <w:name w:val="Resume Contact"/>
    <w:pPr>
      <w:keepNext w:val="0"/>
      <w:widowControl/>
      <w:spacing w:before="0" w:after="80" w:lineRule="auto" w:line="240"/>
    </w:pPr>
    <w:rPr>
      <w:rFonts w:ascii="Calibri" w:hAnsi="Calibri" w:eastAsia="Calibri"/>
      <w:color w:val="000000"/>
      <w:sz w:val="20"/>
    </w:rPr>
  </w:style>
  <w:style w:type="paragraph" w:customStyle="1" w:styleId="ResumeMetadata">
    <w:name w:val="Resume Metadata"/>
    <w:pPr>
      <w:keepNext/>
      <w:widowControl/>
      <w:spacing w:before="0" w:after="20" w:lineRule="auto" w:line="240"/>
    </w:pPr>
    <w:rPr>
      <w:rFonts w:ascii="Calibri" w:hAnsi="Calibri" w:eastAsia="Calibri"/>
      <w:i/>
      <w:color w:val="000000"/>
      <w:sz w:val="20"/>
    </w:rPr>
  </w:style>
  <w:style w:type="paragraph" w:customStyle="1" w:styleId="ResumeBullet">
    <w:name w:val="Resume Bullet"/>
    <w:pPr>
      <w:keepNext w:val="0"/>
      <w:widowControl/>
      <w:spacing w:before="0" w:after="30" w:lineRule="auto" w:line="247"/>
    </w:pPr>
    <w:rPr>
      <w:rFonts w:ascii="Calibri" w:hAnsi="Calibri" w:eastAsia="Calibri"/>
      <w:color w:val="000000"/>
      <w:sz w:val="21"/>
    </w:rPr>
  </w:style>
  <w:style w:type="paragraph" w:customStyle="1" w:styleId="ResumeCompetencies">
    <w:name w:val="Resume Competencies"/>
    <w:pPr>
      <w:keepNext w:val="0"/>
      <w:widowControl/>
      <w:spacing w:before="0" w:after="60" w:lineRule="auto" w:line="247"/>
    </w:pPr>
    <w:rPr>
      <w:rFonts w:ascii="Calibri" w:hAnsi="Calibri" w:eastAsia="Calibri"/>
      <w:color w:val="000000"/>
      <w:sz w:val="21"/>
    </w:rPr>
  </w:style>
  <w:style w:type="paragraph" w:customStyle="1" w:styleId="ResumePlatformGroup">
    <w:name w:val="Resume Platform Group"/>
    <w:pPr>
      <w:keepNext w:val="0"/>
      <w:widowControl/>
      <w:spacing w:before="0" w:after="30" w:lineRule="auto" w:line="247"/>
    </w:pPr>
    <w:rPr>
      <w:rFonts w:ascii="Calibri" w:hAnsi="Calibri" w:eastAsia="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