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of Matrix Operations &amp; Organizational Efficiency role at FieldAI caught my attention because matrix operations becomes consequential when a fast-moving organization needs to scale without losing clarity. The challenge is to create shared cadences, capacity visibility, and decision paths that help teams move faster, not to layer corporate process onto them. That tension between speed and operating discipline is one I know well.</w:t>
      </w:r>
    </w:p>
    <w:p>
      <w:pPr>
        <w:keepLines/>
      </w:pPr>
      <w:r>
        <w:t>I have designed operating practices across marketing, creative, analytics, technology, and delivery functions, coordinating teams of more than 60 people when the work required it. My work has included capacity and workflow planning, governance, quality systems, dashboards, partner coordination, and executive visibility. Much of that experience was built in entertainment around an organizational problem: making ownership, dependencies, risk, and progress visible across a matrix without slowing down the people doing the work.</w:t>
      </w:r>
    </w:p>
    <w:p>
      <w:pPr>
        <w:keepLines/>
      </w:pPr>
      <w:r>
        <w:t>At OMG23 / Omnicom Media Group, 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opportunity to contribute to FieldAI in the Director of Matrix Operations &amp; Organizational Efficiency role. I look forward to discussing how my experience can support the team's priorities. I would bring hands-on systems thinking, comfort with ambiguity, and a practical approach to organizational efficiency that connects operating cadences, data, automation, and accountable execution. I also understand that systems earn trust through use. The measures, dashboards, and routines have to help technical and business teams make faster decisions, not merely document activity.</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