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Marketing Operations; Operational Strategy; Cross-Functional Leadership; Creative Operations; Operational Automation; Process Excellence; Workflow Governance; Change Management; Stakeholder Management;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