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Business Operations; Change Management; Cross-Functional Leadership; Marketing Operations; Process Excellence; Operational Strategy; Stakeholder Management; Program Leadership; Team Leadership; Creative Operations; Workflow Governance; AI Workflow Design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AdTech &amp; Measurement: </w:t>
      </w:r>
      <w:r>
        <w:t>CM360, DV360, The Trade Desk, Innovid, DoubleVerify, IAS, LiveRamp, VideoAmp, TransUnion, Meta Ads, Google Marketing Platform</w:t>
      </w:r>
    </w:p>
    <w:p>
      <w:pPr>
        <w:pStyle w:val="ResumePlatformGroup"/>
      </w:pPr>
      <w:r>
        <w:rPr>
          <w:b/>
        </w:rPr>
        <w:t xml:space="preserve">AI, Automation &amp; Operational Systems: </w:t>
      </w:r>
      <w:r>
        <w:t>ChatGPT, Claude, Codex, Perplexity, Python (Working Knowledge), AI Workflow Design, Process Automation</w:t>
      </w:r>
    </w:p>
    <w:p>
      <w:pPr>
        <w:pStyle w:val="ResumePlatformGroup"/>
      </w:pPr>
      <w:r>
        <w:rPr>
          <w:b/>
        </w:rPr>
        <w:t xml:space="preserve">Workflow &amp; Collaboration: </w:t>
      </w:r>
      <w:r>
        <w:t>Airtable, Notion, Excel, Microsoft Office, Google Workspace, PowerPoint, Word</w:t>
      </w:r>
    </w:p>
    <w:p>
      <w:pPr>
        <w:pStyle w:val="ResumePlatformGroup"/>
      </w:pPr>
      <w:r>
        <w:rPr>
          <w:b/>
        </w:rPr>
        <w:t xml:space="preserve">Publishing &amp; Content: </w:t>
      </w:r>
      <w:r>
        <w:t>WordPress, Mailchimp, Substack, Newsletter Development, Editorial Production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ResumeBullet"/>
        <w:numPr>
          <w:ilvl w:val="0"/>
          <w:numId w:val="10"/>
        </w:numPr>
      </w:pPr>
      <w:r>
        <w:t>Built schema-driven workflows, validation frameworks, and operational reporting that reduce manual effort while improving consistency, visibility, and decision-making.</w:t>
      </w:r>
    </w:p>
    <w:p>
      <w:pPr>
        <w:pStyle w:val="ResumeBullet"/>
        <w:numPr>
          <w:ilvl w:val="0"/>
          <w:numId w:val="10"/>
        </w:numPr>
      </w:pPr>
      <w:r>
        <w:t>Applied nearly two decades of enterprise entertainment operations experience to solve recurring organizational challenges through AI, automation, and product thinking.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