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Trisha Lynch</w:t>
      </w:r>
    </w:p>
    <w:p>
      <w:pPr>
        <w:pStyle w:val="ResumePositioning"/>
      </w:pPr>
      <w:r>
        <w:t>Operations Leader | Entertainment | Workflow Governance | Cross-Functional Strategy</w:t>
      </w:r>
    </w:p>
    <w:p>
      <w:pPr>
        <w:pStyle w:val="ResumeContact"/>
      </w:pPr>
      <w:r>
        <w:t xml:space="preserve">Los Angeles, CA | </w:t>
      </w:r>
      <w:r>
        <w:t>tslynch@mac.com</w:t>
      </w:r>
      <w:r>
        <w:t xml:space="preserve"> | LinkedIn: </w:t>
      </w:r>
      <w:r>
        <w:t>https://www.linkedin.com/in/trisha-lynch-3433417</w:t>
      </w:r>
    </w:p>
    <w:p>
      <w:pPr>
        <w:pStyle w:val="Heading1"/>
      </w:pPr>
      <w:r>
        <w:t>Profile</w:t>
      </w:r>
    </w:p>
    <w:p>
      <w:pPr/>
      <w:r>
        <w:t>Product-minded operations leader who turns recurring friction into useful workflows, validation rules, and decision tools. Works from the problem outward, combining structured discovery, hands-on systems design, governance, and human judgment to make complex work easier to run.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Marketing Operations; Creative Operations; Workflow Governance; AI Workflow Design; Business Operations; Program Leadership; Operational Strategy; Cross-Functional Leadership; Team Leadership; Entertainment Marketing; Operational Automation; Product Development</w:t>
      </w:r>
    </w:p>
    <w:p>
      <w:pPr>
        <w:pStyle w:val="Heading1"/>
      </w:pPr>
      <w:r>
        <w:t>Platforms &amp; Technologies</w:t>
      </w:r>
    </w:p>
    <w:p>
      <w:pPr>
        <w:pStyle w:val="ResumePlatformGroup"/>
      </w:pPr>
      <w:r>
        <w:rPr>
          <w:b/>
        </w:rPr>
        <w:t xml:space="preserve">AdTech &amp; Measurement: </w:t>
      </w:r>
      <w:r>
        <w:t>CM360, DV360, The Trade Desk, Innovid, DoubleVerify, IAS, LiveRamp, VideoAmp, TransUnion, Meta Ads, Google Marketing Platform</w:t>
      </w:r>
    </w:p>
    <w:p>
      <w:pPr>
        <w:pStyle w:val="ResumePlatformGroup"/>
      </w:pPr>
      <w:r>
        <w:rPr>
          <w:b/>
        </w:rPr>
        <w:t xml:space="preserve">AI, Automation &amp; Operational Systems: </w:t>
      </w:r>
      <w:r>
        <w:t>ChatGPT, Claude, Codex, Perplexity, Python (Working Knowledge), AI Workflow Design, Process Automation</w:t>
      </w:r>
    </w:p>
    <w:p>
      <w:pPr>
        <w:pStyle w:val="ResumePlatformGroup"/>
      </w:pPr>
      <w:r>
        <w:rPr>
          <w:b/>
        </w:rPr>
        <w:t xml:space="preserve">Workflow &amp; Collaboration: </w:t>
      </w:r>
      <w:r>
        <w:t>Airtable, Notion, Excel, Microsoft Office, Google Workspace, PowerPoint, Word</w:t>
      </w:r>
    </w:p>
    <w:p>
      <w:pPr>
        <w:pStyle w:val="ResumePlatformGroup"/>
      </w:pPr>
      <w:r>
        <w:rPr>
          <w:b/>
        </w:rPr>
        <w:t xml:space="preserve">Publishing &amp; Content: </w:t>
      </w:r>
      <w:r>
        <w:t>WordPress, Mailchimp, Newsletter Development, Editorial Production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OMG23 / OMD Entertainment,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Aligned creative, marketing, media, analytics, technology, and operations teams supporting theatrical and streaming entertainment campaigns.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Advanced from Campaign Manager to Group Director while leading campaign operations across Disney Studios Theatrical and Disney Streaming/DSS.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OMG23 Multiverse Newsletter</w:t>
      </w:r>
    </w:p>
    <w:p>
      <w:pPr>
        <w:pStyle w:val="ResumeMetadata"/>
      </w:pPr>
      <w:r>
        <w:t>Creator &amp; Managing Editor | 2023-2026</w:t>
      </w:r>
    </w:p>
    <w:p>
      <w:pPr>
        <w:pStyle w:val="ResumeBullet"/>
        <w:numPr>
          <w:ilvl w:val="0"/>
          <w:numId w:val="10"/>
        </w:numPr>
      </w:pPr>
      <w:r>
        <w:t>Internal culture publication spanning creativity, innovation, music, and emerging media.</w:t>
      </w:r>
    </w:p>
    <w:p>
      <w:pPr>
        <w:pStyle w:val="ResumeBullet"/>
        <w:numPr>
          <w:ilvl w:val="0"/>
          <w:numId w:val="10"/>
        </w:numPr>
      </w:pPr>
      <w:r>
        <w:t>Developed editorial voice.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FC693F" w:rsidRPr="0006063C" w:rsidSect="00034616">
      <w:pgSz w:w="12240" w:h="15840"/>
      <w:pgMar w:top="936" w:right="936" w:bottom="936" w:left="936" w:header="432" w:footer="432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52"/>
    </w:pPr>
    <w:rPr>
      <w:rFonts w:ascii="Calibri" w:hAnsi="Calibri" w:eastAsia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40" w:after="40" w:lineRule="auto" w:line="2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36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21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Calibri" w:hAnsi="Calibri" w:eastAsia="Calibri"/>
      <w:color w:val="000000"/>
      <w:sz w:val="20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Calibri" w:hAnsi="Calibri" w:eastAsia="Calibri"/>
      <w:i/>
      <w:color w:val="000000"/>
      <w:sz w:val="20"/>
    </w:rPr>
  </w:style>
  <w:style w:type="paragraph" w:customStyle="1" w:styleId="ResumeBullet">
    <w:name w:val="Resume Bullet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Competencies">
    <w:name w:val="Resume Competencies"/>
    <w:pPr>
      <w:keepNext w:val="0"/>
      <w:widowControl/>
      <w:spacing w:before="0" w:after="6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PlatformGroup">
    <w:name w:val="Resume Platform Group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